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88517">
      <w:pPr>
        <w:spacing w:line="540" w:lineRule="exact"/>
        <w:jc w:val="center"/>
        <w:rPr>
          <w:rFonts w:eastAsia="华文中宋"/>
          <w:b/>
          <w:kern w:val="0"/>
          <w:sz w:val="52"/>
          <w:szCs w:val="52"/>
        </w:rPr>
      </w:pPr>
    </w:p>
    <w:p w14:paraId="3FCA4EF0">
      <w:pPr>
        <w:spacing w:line="540" w:lineRule="exact"/>
        <w:rPr>
          <w:rFonts w:eastAsia="华文中宋"/>
          <w:b/>
          <w:kern w:val="0"/>
          <w:sz w:val="52"/>
          <w:szCs w:val="52"/>
        </w:rPr>
      </w:pPr>
    </w:p>
    <w:p w14:paraId="5FA2C4AE">
      <w:pPr>
        <w:spacing w:line="540" w:lineRule="exact"/>
        <w:jc w:val="center"/>
        <w:rPr>
          <w:rFonts w:eastAsia="华文中宋"/>
          <w:b/>
          <w:kern w:val="0"/>
          <w:sz w:val="52"/>
          <w:szCs w:val="52"/>
        </w:rPr>
      </w:pPr>
    </w:p>
    <w:p w14:paraId="5F08F788">
      <w:pPr>
        <w:spacing w:line="540" w:lineRule="exact"/>
        <w:jc w:val="center"/>
        <w:rPr>
          <w:rFonts w:eastAsia="华文中宋"/>
          <w:b/>
          <w:kern w:val="0"/>
          <w:sz w:val="52"/>
          <w:szCs w:val="52"/>
        </w:rPr>
      </w:pPr>
    </w:p>
    <w:p w14:paraId="6A032389">
      <w:pPr>
        <w:spacing w:line="540" w:lineRule="exact"/>
        <w:jc w:val="center"/>
        <w:rPr>
          <w:rFonts w:eastAsia="方正小标宋_GBK"/>
          <w:b/>
          <w:kern w:val="0"/>
          <w:sz w:val="48"/>
          <w:szCs w:val="48"/>
        </w:rPr>
      </w:pPr>
      <w:r>
        <w:rPr>
          <w:rFonts w:hint="eastAsia" w:eastAsia="方正小标宋_GBK"/>
          <w:b/>
          <w:kern w:val="0"/>
          <w:sz w:val="48"/>
          <w:szCs w:val="48"/>
        </w:rPr>
        <w:t>医院政府采购</w:t>
      </w:r>
      <w:r>
        <w:rPr>
          <w:rFonts w:eastAsia="方正小标宋_GBK"/>
          <w:b/>
          <w:kern w:val="0"/>
          <w:sz w:val="48"/>
          <w:szCs w:val="48"/>
        </w:rPr>
        <w:t>资金项目支出</w:t>
      </w:r>
    </w:p>
    <w:p w14:paraId="20277CF6">
      <w:pPr>
        <w:spacing w:line="540" w:lineRule="exact"/>
        <w:jc w:val="center"/>
        <w:rPr>
          <w:rFonts w:eastAsia="方正小标宋_GBK"/>
          <w:kern w:val="0"/>
          <w:sz w:val="48"/>
          <w:szCs w:val="48"/>
        </w:rPr>
      </w:pPr>
      <w:r>
        <w:rPr>
          <w:rFonts w:eastAsia="方正小标宋_GBK"/>
          <w:kern w:val="0"/>
          <w:sz w:val="48"/>
          <w:szCs w:val="48"/>
        </w:rPr>
        <w:t>绩效评价报告</w:t>
      </w:r>
    </w:p>
    <w:p w14:paraId="3C5154B7">
      <w:pPr>
        <w:spacing w:line="540" w:lineRule="exact"/>
        <w:jc w:val="center"/>
        <w:rPr>
          <w:rFonts w:eastAsia="华文中宋"/>
          <w:b/>
          <w:kern w:val="0"/>
          <w:sz w:val="52"/>
          <w:szCs w:val="52"/>
        </w:rPr>
      </w:pPr>
    </w:p>
    <w:p w14:paraId="5B08DAC2">
      <w:pPr>
        <w:spacing w:line="540" w:lineRule="exact"/>
        <w:jc w:val="center"/>
        <w:rPr>
          <w:rFonts w:eastAsia="仿宋_GB2312"/>
          <w:kern w:val="0"/>
          <w:sz w:val="36"/>
          <w:szCs w:val="36"/>
        </w:rPr>
      </w:pPr>
      <w:r>
        <w:rPr>
          <w:rFonts w:eastAsia="仿宋_GB2312"/>
          <w:kern w:val="0"/>
          <w:sz w:val="36"/>
          <w:szCs w:val="36"/>
        </w:rPr>
        <w:t>（ 2023年度）</w:t>
      </w:r>
    </w:p>
    <w:p w14:paraId="0B10FC52">
      <w:pPr>
        <w:spacing w:line="540" w:lineRule="exact"/>
        <w:jc w:val="center"/>
        <w:rPr>
          <w:rFonts w:eastAsia="仿宋_GB2312"/>
          <w:kern w:val="0"/>
          <w:sz w:val="30"/>
          <w:szCs w:val="30"/>
        </w:rPr>
      </w:pPr>
    </w:p>
    <w:p w14:paraId="44AF51AA">
      <w:pPr>
        <w:spacing w:line="540" w:lineRule="exact"/>
        <w:jc w:val="center"/>
        <w:rPr>
          <w:rFonts w:eastAsia="仿宋_GB2312"/>
          <w:kern w:val="0"/>
          <w:sz w:val="30"/>
          <w:szCs w:val="30"/>
        </w:rPr>
      </w:pPr>
    </w:p>
    <w:p w14:paraId="7BD39CBE">
      <w:pPr>
        <w:spacing w:line="540" w:lineRule="exact"/>
        <w:jc w:val="center"/>
        <w:rPr>
          <w:rFonts w:eastAsia="仿宋_GB2312"/>
          <w:kern w:val="0"/>
          <w:sz w:val="30"/>
          <w:szCs w:val="30"/>
        </w:rPr>
      </w:pPr>
    </w:p>
    <w:p w14:paraId="10077B7D">
      <w:pPr>
        <w:spacing w:line="540" w:lineRule="exact"/>
        <w:jc w:val="center"/>
        <w:rPr>
          <w:rFonts w:eastAsia="仿宋_GB2312"/>
          <w:kern w:val="0"/>
          <w:sz w:val="30"/>
          <w:szCs w:val="30"/>
        </w:rPr>
      </w:pPr>
    </w:p>
    <w:p w14:paraId="147B6688">
      <w:pPr>
        <w:spacing w:line="540" w:lineRule="exact"/>
        <w:rPr>
          <w:rFonts w:eastAsia="仿宋_GB2312"/>
          <w:kern w:val="0"/>
          <w:sz w:val="30"/>
          <w:szCs w:val="30"/>
        </w:rPr>
      </w:pPr>
    </w:p>
    <w:p w14:paraId="41BEB611">
      <w:pPr>
        <w:spacing w:line="700" w:lineRule="exact"/>
        <w:ind w:firstLine="1080" w:firstLineChars="3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项目名称：医院政府采购项目</w:t>
      </w:r>
    </w:p>
    <w:p w14:paraId="4319B0BF">
      <w:pPr>
        <w:spacing w:line="700" w:lineRule="exact"/>
        <w:ind w:firstLine="1080" w:firstLineChars="300"/>
        <w:jc w:val="left"/>
        <w:rPr>
          <w:rFonts w:hint="default" w:ascii="Times New Roman" w:hAnsi="Times New Roman" w:eastAsia="仿宋_GB2312" w:cs="Times New Roman"/>
          <w:w w:val="90"/>
          <w:kern w:val="0"/>
          <w:sz w:val="36"/>
          <w:szCs w:val="36"/>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w w:val="90"/>
          <w:kern w:val="0"/>
          <w:sz w:val="36"/>
          <w:szCs w:val="36"/>
        </w:rPr>
        <w:t>新疆医科大学第二附属医院</w:t>
      </w:r>
    </w:p>
    <w:p w14:paraId="29BA774A">
      <w:pPr>
        <w:spacing w:line="700" w:lineRule="exact"/>
        <w:ind w:firstLine="1080" w:firstLineChars="3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主管部门（公章）：新疆维吾尔自治区卫生健康委员会</w:t>
      </w:r>
    </w:p>
    <w:p w14:paraId="682EF31C">
      <w:pPr>
        <w:spacing w:line="700" w:lineRule="exact"/>
        <w:ind w:firstLine="1080" w:firstLineChars="300"/>
        <w:jc w:val="left"/>
        <w:rPr>
          <w:rFonts w:hint="eastAsia"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罗坤</w:t>
      </w:r>
    </w:p>
    <w:p w14:paraId="2EA51F33">
      <w:pPr>
        <w:spacing w:line="700" w:lineRule="exact"/>
        <w:ind w:firstLine="1080" w:firstLineChars="3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填报时间：2024年3月6日</w:t>
      </w:r>
    </w:p>
    <w:p w14:paraId="25F76D9E">
      <w:pPr>
        <w:spacing w:line="540" w:lineRule="exact"/>
        <w:jc w:val="center"/>
        <w:rPr>
          <w:rFonts w:eastAsia="仿宋_GB2312"/>
          <w:kern w:val="0"/>
          <w:sz w:val="30"/>
          <w:szCs w:val="30"/>
        </w:rPr>
      </w:pPr>
    </w:p>
    <w:p w14:paraId="2CE7C040">
      <w:pPr>
        <w:spacing w:line="540" w:lineRule="exact"/>
        <w:rPr>
          <w:rStyle w:val="14"/>
          <w:rFonts w:eastAsia="黑体"/>
          <w:b w:val="0"/>
          <w:spacing w:val="-4"/>
          <w:sz w:val="32"/>
          <w:szCs w:val="32"/>
        </w:rPr>
      </w:pPr>
    </w:p>
    <w:p w14:paraId="68A25CE9">
      <w:pPr>
        <w:spacing w:line="540" w:lineRule="exact"/>
        <w:ind w:firstLine="640"/>
        <w:rPr>
          <w:rStyle w:val="14"/>
          <w:rFonts w:eastAsia="黑体"/>
          <w:b w:val="0"/>
          <w:spacing w:val="-4"/>
          <w:sz w:val="32"/>
          <w:szCs w:val="32"/>
        </w:rPr>
      </w:pPr>
    </w:p>
    <w:p w14:paraId="535DDAE6">
      <w:pPr>
        <w:spacing w:line="560" w:lineRule="exact"/>
        <w:ind w:firstLine="624" w:firstLineChars="200"/>
        <w:rPr>
          <w:rStyle w:val="14"/>
          <w:rFonts w:eastAsia="黑体"/>
          <w:b w:val="0"/>
          <w:spacing w:val="-4"/>
          <w:sz w:val="32"/>
          <w:szCs w:val="32"/>
        </w:rPr>
      </w:pPr>
    </w:p>
    <w:p w14:paraId="4BE6DE73">
      <w:pPr>
        <w:spacing w:line="560" w:lineRule="exact"/>
        <w:ind w:firstLine="640" w:firstLineChars="200"/>
        <w:rPr>
          <w:rFonts w:eastAsia="黑体"/>
          <w:bCs/>
          <w:sz w:val="32"/>
          <w:szCs w:val="32"/>
        </w:rPr>
      </w:pPr>
      <w:r>
        <w:rPr>
          <w:rFonts w:eastAsia="黑体"/>
          <w:bCs/>
          <w:sz w:val="32"/>
          <w:szCs w:val="32"/>
        </w:rPr>
        <w:t>一、基本情况</w:t>
      </w:r>
    </w:p>
    <w:p w14:paraId="2A6C1273">
      <w:pPr>
        <w:spacing w:line="560" w:lineRule="exact"/>
        <w:ind w:firstLine="643" w:firstLineChars="200"/>
        <w:rPr>
          <w:rFonts w:eastAsia="楷体_GB2312"/>
          <w:b/>
          <w:bCs/>
          <w:sz w:val="32"/>
          <w:szCs w:val="32"/>
        </w:rPr>
      </w:pPr>
      <w:r>
        <w:rPr>
          <w:rFonts w:eastAsia="楷体_GB2312"/>
          <w:b/>
          <w:bCs/>
          <w:sz w:val="32"/>
          <w:szCs w:val="32"/>
        </w:rPr>
        <w:t>（一）项目概况</w:t>
      </w:r>
    </w:p>
    <w:p w14:paraId="74A04424">
      <w:pPr>
        <w:spacing w:line="560" w:lineRule="exact"/>
        <w:ind w:firstLine="640" w:firstLineChars="200"/>
        <w:rPr>
          <w:rFonts w:ascii="仿宋" w:hAnsi="仿宋" w:eastAsia="仿宋"/>
          <w:bCs/>
          <w:sz w:val="32"/>
          <w:szCs w:val="32"/>
        </w:rPr>
      </w:pPr>
      <w:r>
        <w:rPr>
          <w:rFonts w:ascii="仿宋" w:hAnsi="仿宋" w:eastAsia="仿宋"/>
          <w:bCs/>
          <w:sz w:val="32"/>
          <w:szCs w:val="32"/>
        </w:rPr>
        <w:t>1、项目背景</w:t>
      </w:r>
    </w:p>
    <w:p w14:paraId="7CF840DE">
      <w:pPr>
        <w:pStyle w:val="21"/>
        <w:spacing w:line="56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新疆医科大学第二附属医院建于1954年，历经70年的发展和建设，现已建成一所集医疗、教学、科研、康复、预防、保健于一体的省级综合型三级甲等医院。</w:t>
      </w:r>
    </w:p>
    <w:p w14:paraId="3FB33514">
      <w:pPr>
        <w:pStyle w:val="21"/>
        <w:spacing w:line="56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医院现有国家临床重点专科1个，自治区级临床重点专科13个，挂牌新疆医科大学神经脑科临床诊疗中心、心脏康复中心、康复中心、睡眠中心。立足学科专业优势和特色，医院致力于打造国家神经脑科临床诊疗中心新疆分中心，推进“强而精”高水平特色医院建设。成功挂牌国家级高级卒中中心和胸痛中心，建立了全国领先、技术路线成熟的脑卒中绿色通道体系，获批新疆神经系统疾病临床医学研究中心、新疆神经系统疾病研究重点实验室、新疆耳聋防治及听力重建中心、新疆关节及周围神经疾病诊疗中心，神经变性疾病、脑血管病、神经重症等亚专业逐步成为新疆神经脑科中心品牌。</w:t>
      </w:r>
    </w:p>
    <w:p w14:paraId="12467E05">
      <w:pPr>
        <w:pStyle w:val="21"/>
        <w:spacing w:line="560" w:lineRule="exact"/>
        <w:ind w:firstLine="640"/>
        <w:rPr>
          <w:rFonts w:ascii="仿宋" w:hAnsi="仿宋" w:eastAsia="仿宋" w:cs="宋体"/>
          <w:bCs/>
          <w:kern w:val="0"/>
          <w:sz w:val="32"/>
          <w:szCs w:val="32"/>
        </w:rPr>
      </w:pPr>
      <w:r>
        <w:rPr>
          <w:rFonts w:hint="eastAsia" w:ascii="仿宋" w:hAnsi="仿宋" w:eastAsia="仿宋" w:cs="宋体"/>
          <w:bCs/>
          <w:kern w:val="0"/>
          <w:sz w:val="32"/>
          <w:szCs w:val="32"/>
        </w:rPr>
        <w:t>医院抢抓国家振兴中西部高等教育的机遇，聚焦新疆经济社会发展，不断凝练办医特色，在人才培养、学术交流、重大项目合作、高层互访等方面加强与国内外知名高校、科研院所和援疆兄弟院校的深度合作，助力学院（医院）高质量内涵发展。国家精神心理疾病临床医学研究中心（新疆分中心）、国家老年疾病临床医学研究中心（新疆分中心）、全国神经内科各类重症疾病诊治资格基地和全国脑血管健康管理物联网新疆基地和同济大学附属同济医院盆底疾病诊治与培训中心（新疆分中心）相继落户我院，成为国家神经系统疾病临床医学研究中心</w:t>
      </w:r>
      <w:r>
        <w:rPr>
          <w:rFonts w:hint="eastAsia" w:ascii="仿宋" w:hAnsi="仿宋" w:eastAsia="仿宋" w:cs="宋体"/>
          <w:bCs/>
          <w:kern w:val="0"/>
          <w:sz w:val="32"/>
          <w:szCs w:val="32"/>
          <w:lang w:eastAsia="zh-CN"/>
        </w:rPr>
        <w:t>－</w:t>
      </w:r>
      <w:r>
        <w:rPr>
          <w:rFonts w:hint="eastAsia" w:ascii="仿宋" w:hAnsi="仿宋" w:eastAsia="仿宋" w:cs="宋体"/>
          <w:bCs/>
          <w:kern w:val="0"/>
          <w:sz w:val="32"/>
          <w:szCs w:val="32"/>
        </w:rPr>
        <w:t>神经系统疾病专科联盟、国家心脑血管疾病联盟、中国帕金森防治联盟、西部帕金森防治联盟、中国e帕联盟-帕金森病慢病管理平台成员单位、帕金森病专科全国标准化中心和国家老年疾病临床医学研究中心老年综合评估与管理指导单位。与疆内70余家医院签订医联体合作协议，建立紧密型新疆神经脑科临床诊疗中心卒中中心、帕金森病专病等联盟。</w:t>
      </w:r>
    </w:p>
    <w:p w14:paraId="4D4B9E30">
      <w:pPr>
        <w:pStyle w:val="2"/>
        <w:numPr>
          <w:ilvl w:val="0"/>
          <w:numId w:val="1"/>
        </w:numPr>
        <w:spacing w:before="0" w:after="0" w:line="560" w:lineRule="exact"/>
        <w:ind w:firstLine="640" w:firstLineChars="200"/>
        <w:jc w:val="both"/>
        <w:rPr>
          <w:rFonts w:ascii="仿宋" w:hAnsi="仿宋" w:eastAsia="仿宋"/>
          <w:b w:val="0"/>
          <w:kern w:val="2"/>
        </w:rPr>
      </w:pPr>
      <w:r>
        <w:rPr>
          <w:rFonts w:ascii="仿宋" w:hAnsi="仿宋" w:eastAsia="仿宋"/>
          <w:b w:val="0"/>
          <w:kern w:val="2"/>
        </w:rPr>
        <w:t>项目主要内容：</w:t>
      </w:r>
    </w:p>
    <w:p w14:paraId="3A70013B">
      <w:pPr>
        <w:spacing w:line="560" w:lineRule="exact"/>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项目主要内容：根据《新疆维吾尔自治区2021-2022年度政府集中采购目录及标准》落实政府采购政策，并通过该项目实施达到提高诊疗水平，解决“看病难、看病贵</w:t>
      </w:r>
      <w:r>
        <w:rPr>
          <w:rFonts w:hint="eastAsia" w:ascii="仿宋" w:hAnsi="仿宋" w:eastAsia="仿宋" w:cs="___WRD_EMBED_SUB_39"/>
          <w:bCs/>
          <w:kern w:val="0"/>
          <w:sz w:val="32"/>
          <w:szCs w:val="32"/>
        </w:rPr>
        <w:t>”的问题。政府采购项目预算数为</w:t>
      </w:r>
      <w:r>
        <w:rPr>
          <w:rFonts w:hint="eastAsia" w:ascii="仿宋" w:hAnsi="仿宋" w:eastAsia="仿宋" w:cs="宋体"/>
          <w:bCs/>
          <w:kern w:val="0"/>
          <w:sz w:val="32"/>
          <w:szCs w:val="32"/>
        </w:rPr>
        <w:t>3509万元。其中：</w:t>
      </w:r>
    </w:p>
    <w:p w14:paraId="175B4C1E">
      <w:pPr>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（1）医疗专用设备2170万元。</w:t>
      </w:r>
    </w:p>
    <w:p w14:paraId="74B958BB">
      <w:pPr>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（2）通用电气</w:t>
      </w:r>
      <w:r>
        <w:rPr>
          <w:rFonts w:hint="eastAsia" w:ascii="仿宋" w:hAnsi="仿宋" w:eastAsia="仿宋" w:cs="___WRD_EMBED_SUB_39"/>
          <w:bCs/>
          <w:kern w:val="0"/>
          <w:sz w:val="32"/>
          <w:szCs w:val="32"/>
        </w:rPr>
        <w:t>设备购置</w:t>
      </w:r>
      <w:r>
        <w:rPr>
          <w:rFonts w:hint="eastAsia" w:ascii="仿宋" w:hAnsi="仿宋" w:eastAsia="仿宋" w:cs="宋体"/>
          <w:bCs/>
          <w:kern w:val="0"/>
          <w:sz w:val="32"/>
          <w:szCs w:val="32"/>
        </w:rPr>
        <w:t>75万元，其中：空</w:t>
      </w:r>
      <w:r>
        <w:rPr>
          <w:rFonts w:hint="eastAsia" w:ascii="仿宋" w:hAnsi="仿宋" w:eastAsia="仿宋" w:cs="___WRD_EMBED_SUB_39"/>
          <w:bCs/>
          <w:kern w:val="0"/>
          <w:sz w:val="32"/>
          <w:szCs w:val="32"/>
        </w:rPr>
        <w:t>调、</w:t>
      </w:r>
      <w:r>
        <w:rPr>
          <w:rFonts w:hint="eastAsia" w:ascii="仿宋" w:hAnsi="仿宋" w:eastAsia="仿宋" w:cs="宋体"/>
          <w:bCs/>
          <w:kern w:val="0"/>
          <w:sz w:val="32"/>
          <w:szCs w:val="32"/>
        </w:rPr>
        <w:t>冰箱</w:t>
      </w:r>
      <w:r>
        <w:rPr>
          <w:rFonts w:hint="eastAsia" w:ascii="仿宋" w:hAnsi="仿宋" w:eastAsia="仿宋" w:cs="___WRD_EMBED_SUB_39"/>
          <w:bCs/>
          <w:kern w:val="0"/>
          <w:sz w:val="32"/>
          <w:szCs w:val="32"/>
        </w:rPr>
        <w:t>、</w:t>
      </w:r>
      <w:r>
        <w:rPr>
          <w:rFonts w:hint="eastAsia" w:ascii="仿宋" w:hAnsi="仿宋" w:eastAsia="仿宋" w:cs="宋体"/>
          <w:bCs/>
          <w:kern w:val="0"/>
          <w:sz w:val="32"/>
          <w:szCs w:val="32"/>
        </w:rPr>
        <w:t>冷藏柜</w:t>
      </w:r>
      <w:r>
        <w:rPr>
          <w:rFonts w:hint="eastAsia" w:ascii="仿宋" w:hAnsi="仿宋" w:eastAsia="仿宋" w:cs="___WRD_EMBED_SUB_39"/>
          <w:bCs/>
          <w:kern w:val="0"/>
          <w:sz w:val="32"/>
          <w:szCs w:val="32"/>
        </w:rPr>
        <w:t>、</w:t>
      </w:r>
      <w:r>
        <w:rPr>
          <w:rFonts w:hint="eastAsia" w:ascii="仿宋" w:hAnsi="仿宋" w:eastAsia="仿宋" w:cs="宋体"/>
          <w:bCs/>
          <w:kern w:val="0"/>
          <w:sz w:val="32"/>
          <w:szCs w:val="32"/>
        </w:rPr>
        <w:t>电视</w:t>
      </w:r>
      <w:r>
        <w:rPr>
          <w:rFonts w:hint="eastAsia" w:ascii="仿宋" w:hAnsi="仿宋" w:eastAsia="仿宋" w:cs="___WRD_EMBED_SUB_39"/>
          <w:bCs/>
          <w:kern w:val="0"/>
          <w:sz w:val="32"/>
          <w:szCs w:val="32"/>
        </w:rPr>
        <w:t>机等生</w:t>
      </w:r>
      <w:r>
        <w:rPr>
          <w:rFonts w:hint="eastAsia" w:ascii="仿宋" w:hAnsi="仿宋" w:eastAsia="仿宋" w:cs="宋体"/>
          <w:bCs/>
          <w:kern w:val="0"/>
          <w:sz w:val="32"/>
          <w:szCs w:val="32"/>
        </w:rPr>
        <w:t>活</w:t>
      </w:r>
      <w:r>
        <w:rPr>
          <w:rFonts w:hint="eastAsia" w:ascii="仿宋" w:hAnsi="仿宋" w:eastAsia="仿宋" w:cs="___WRD_EMBED_SUB_39"/>
          <w:bCs/>
          <w:kern w:val="0"/>
          <w:sz w:val="32"/>
          <w:szCs w:val="32"/>
        </w:rPr>
        <w:t>用</w:t>
      </w:r>
      <w:r>
        <w:rPr>
          <w:rFonts w:hint="eastAsia" w:ascii="仿宋" w:hAnsi="仿宋" w:eastAsia="仿宋" w:cs="宋体"/>
          <w:bCs/>
          <w:kern w:val="0"/>
          <w:sz w:val="32"/>
          <w:szCs w:val="32"/>
        </w:rPr>
        <w:t>电器33万元，电梯27万元，其他电气</w:t>
      </w:r>
      <w:r>
        <w:rPr>
          <w:rFonts w:hint="eastAsia" w:ascii="仿宋" w:hAnsi="仿宋" w:eastAsia="仿宋" w:cs="___WRD_EMBED_SUB_39"/>
          <w:bCs/>
          <w:kern w:val="0"/>
          <w:sz w:val="32"/>
          <w:szCs w:val="32"/>
        </w:rPr>
        <w:t>设备</w:t>
      </w:r>
      <w:r>
        <w:rPr>
          <w:rFonts w:hint="eastAsia" w:ascii="仿宋" w:hAnsi="仿宋" w:eastAsia="仿宋" w:cs="宋体"/>
          <w:bCs/>
          <w:kern w:val="0"/>
          <w:sz w:val="32"/>
          <w:szCs w:val="32"/>
        </w:rPr>
        <w:t>15万元。</w:t>
      </w:r>
    </w:p>
    <w:p w14:paraId="1FDB8C81">
      <w:pPr>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（3）信息硬</w:t>
      </w:r>
      <w:r>
        <w:rPr>
          <w:rFonts w:hint="eastAsia" w:ascii="仿宋" w:hAnsi="仿宋" w:eastAsia="仿宋" w:cs="___WRD_EMBED_SUB_39"/>
          <w:bCs/>
          <w:kern w:val="0"/>
          <w:sz w:val="32"/>
          <w:szCs w:val="32"/>
        </w:rPr>
        <w:t>件设备</w:t>
      </w:r>
      <w:r>
        <w:rPr>
          <w:rFonts w:hint="eastAsia" w:ascii="仿宋" w:hAnsi="仿宋" w:eastAsia="仿宋" w:cs="宋体"/>
          <w:bCs/>
          <w:kern w:val="0"/>
          <w:sz w:val="32"/>
          <w:szCs w:val="32"/>
        </w:rPr>
        <w:t>248万元。其中：云桌</w:t>
      </w:r>
      <w:r>
        <w:rPr>
          <w:rFonts w:hint="eastAsia" w:ascii="仿宋" w:hAnsi="仿宋" w:eastAsia="仿宋" w:cs="___WRD_EMBED_SUB_39"/>
          <w:bCs/>
          <w:kern w:val="0"/>
          <w:sz w:val="32"/>
          <w:szCs w:val="32"/>
        </w:rPr>
        <w:t>面</w:t>
      </w:r>
      <w:r>
        <w:rPr>
          <w:rFonts w:hint="eastAsia" w:ascii="仿宋" w:hAnsi="仿宋" w:eastAsia="仿宋" w:cs="宋体"/>
          <w:bCs/>
          <w:kern w:val="0"/>
          <w:sz w:val="32"/>
          <w:szCs w:val="32"/>
        </w:rPr>
        <w:t>90万元，存储扩</w:t>
      </w:r>
      <w:r>
        <w:rPr>
          <w:rFonts w:hint="eastAsia" w:ascii="仿宋" w:hAnsi="仿宋" w:eastAsia="仿宋" w:cs="___WRD_EMBED_SUB_39"/>
          <w:bCs/>
          <w:kern w:val="0"/>
          <w:sz w:val="32"/>
          <w:szCs w:val="32"/>
        </w:rPr>
        <w:t>容</w:t>
      </w:r>
      <w:r>
        <w:rPr>
          <w:rFonts w:hint="eastAsia" w:ascii="仿宋" w:hAnsi="仿宋" w:eastAsia="仿宋" w:cs="宋体"/>
          <w:bCs/>
          <w:kern w:val="0"/>
          <w:sz w:val="32"/>
          <w:szCs w:val="32"/>
        </w:rPr>
        <w:t>20万元，服务器58万元，台式</w:t>
      </w:r>
      <w:r>
        <w:rPr>
          <w:rFonts w:hint="eastAsia" w:ascii="仿宋" w:hAnsi="仿宋" w:eastAsia="仿宋" w:cs="___WRD_EMBED_SUB_39"/>
          <w:bCs/>
          <w:kern w:val="0"/>
          <w:sz w:val="32"/>
          <w:szCs w:val="32"/>
        </w:rPr>
        <w:t>计算机</w:t>
      </w:r>
      <w:r>
        <w:rPr>
          <w:rFonts w:hint="eastAsia" w:ascii="仿宋" w:hAnsi="仿宋" w:eastAsia="仿宋" w:cs="宋体"/>
          <w:bCs/>
          <w:kern w:val="0"/>
          <w:sz w:val="32"/>
          <w:szCs w:val="32"/>
        </w:rPr>
        <w:t>12万元，便携式</w:t>
      </w:r>
      <w:r>
        <w:rPr>
          <w:rFonts w:hint="eastAsia" w:ascii="仿宋" w:hAnsi="仿宋" w:eastAsia="仿宋" w:cs="___WRD_EMBED_SUB_39"/>
          <w:bCs/>
          <w:kern w:val="0"/>
          <w:sz w:val="32"/>
          <w:szCs w:val="32"/>
        </w:rPr>
        <w:t>计算机</w:t>
      </w:r>
      <w:r>
        <w:rPr>
          <w:rFonts w:hint="eastAsia" w:ascii="仿宋" w:hAnsi="仿宋" w:eastAsia="仿宋" w:cs="宋体"/>
          <w:bCs/>
          <w:kern w:val="0"/>
          <w:sz w:val="32"/>
          <w:szCs w:val="32"/>
        </w:rPr>
        <w:t>3.6万元，平板式</w:t>
      </w:r>
      <w:r>
        <w:rPr>
          <w:rFonts w:hint="eastAsia" w:ascii="仿宋" w:hAnsi="仿宋" w:eastAsia="仿宋" w:cs="___WRD_EMBED_SUB_39"/>
          <w:bCs/>
          <w:kern w:val="0"/>
          <w:sz w:val="32"/>
          <w:szCs w:val="32"/>
        </w:rPr>
        <w:t>计算机</w:t>
      </w:r>
      <w:r>
        <w:rPr>
          <w:rFonts w:hint="eastAsia" w:ascii="仿宋" w:hAnsi="仿宋" w:eastAsia="仿宋" w:cs="宋体"/>
          <w:bCs/>
          <w:kern w:val="0"/>
          <w:sz w:val="32"/>
          <w:szCs w:val="32"/>
        </w:rPr>
        <w:t>5.1万元，高拍仪12.5万元，门诊和住</w:t>
      </w:r>
      <w:r>
        <w:rPr>
          <w:rFonts w:hint="eastAsia" w:ascii="仿宋" w:hAnsi="仿宋" w:eastAsia="仿宋" w:cs="___WRD_EMBED_SUB_39"/>
          <w:bCs/>
          <w:kern w:val="0"/>
          <w:sz w:val="32"/>
          <w:szCs w:val="32"/>
        </w:rPr>
        <w:t>院网</w:t>
      </w:r>
      <w:r>
        <w:rPr>
          <w:rFonts w:hint="eastAsia" w:ascii="仿宋" w:hAnsi="仿宋" w:eastAsia="仿宋" w:cs="宋体"/>
          <w:bCs/>
          <w:kern w:val="0"/>
          <w:sz w:val="32"/>
          <w:szCs w:val="32"/>
        </w:rPr>
        <w:t>络</w:t>
      </w:r>
      <w:r>
        <w:rPr>
          <w:rFonts w:hint="eastAsia" w:ascii="仿宋" w:hAnsi="仿宋" w:eastAsia="仿宋" w:cs="___WRD_EMBED_SUB_39"/>
          <w:bCs/>
          <w:kern w:val="0"/>
          <w:sz w:val="32"/>
          <w:szCs w:val="32"/>
        </w:rPr>
        <w:t>改造</w:t>
      </w:r>
      <w:r>
        <w:rPr>
          <w:rFonts w:hint="eastAsia" w:ascii="仿宋" w:hAnsi="仿宋" w:eastAsia="仿宋" w:cs="宋体"/>
          <w:bCs/>
          <w:kern w:val="0"/>
          <w:sz w:val="32"/>
          <w:szCs w:val="32"/>
        </w:rPr>
        <w:t>18.4万元。</w:t>
      </w:r>
    </w:p>
    <w:p w14:paraId="15F45D95">
      <w:pPr>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（4）软</w:t>
      </w:r>
      <w:r>
        <w:rPr>
          <w:rFonts w:hint="eastAsia" w:ascii="仿宋" w:hAnsi="仿宋" w:eastAsia="仿宋" w:cs="___WRD_EMBED_SUB_39"/>
          <w:bCs/>
          <w:kern w:val="0"/>
          <w:sz w:val="32"/>
          <w:szCs w:val="32"/>
        </w:rPr>
        <w:t>件</w:t>
      </w:r>
      <w:r>
        <w:rPr>
          <w:rFonts w:hint="eastAsia" w:ascii="仿宋" w:hAnsi="仿宋" w:eastAsia="仿宋" w:cs="宋体"/>
          <w:bCs/>
          <w:kern w:val="0"/>
          <w:sz w:val="32"/>
          <w:szCs w:val="32"/>
        </w:rPr>
        <w:t>736万元。其中：基础软</w:t>
      </w:r>
      <w:r>
        <w:rPr>
          <w:rFonts w:hint="eastAsia" w:ascii="仿宋" w:hAnsi="仿宋" w:eastAsia="仿宋" w:cs="___WRD_EMBED_SUB_39"/>
          <w:bCs/>
          <w:kern w:val="0"/>
          <w:sz w:val="32"/>
          <w:szCs w:val="32"/>
        </w:rPr>
        <w:t>件开发服务</w:t>
      </w:r>
      <w:r>
        <w:rPr>
          <w:rFonts w:hint="eastAsia" w:ascii="仿宋" w:hAnsi="仿宋" w:eastAsia="仿宋" w:cs="宋体"/>
          <w:bCs/>
          <w:kern w:val="0"/>
          <w:sz w:val="32"/>
          <w:szCs w:val="32"/>
        </w:rPr>
        <w:t>20万元、行业软</w:t>
      </w:r>
      <w:r>
        <w:rPr>
          <w:rFonts w:hint="eastAsia" w:ascii="仿宋" w:hAnsi="仿宋" w:eastAsia="仿宋" w:cs="___WRD_EMBED_SUB_39"/>
          <w:bCs/>
          <w:kern w:val="0"/>
          <w:sz w:val="32"/>
          <w:szCs w:val="32"/>
        </w:rPr>
        <w:t>件</w:t>
      </w:r>
      <w:r>
        <w:rPr>
          <w:rFonts w:hint="eastAsia" w:ascii="仿宋" w:hAnsi="仿宋" w:eastAsia="仿宋" w:cs="宋体"/>
          <w:bCs/>
          <w:kern w:val="0"/>
          <w:sz w:val="32"/>
          <w:szCs w:val="32"/>
        </w:rPr>
        <w:t>716万元。</w:t>
      </w:r>
    </w:p>
    <w:p w14:paraId="1755F176">
      <w:pPr>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（5）家具和营具20万元。</w:t>
      </w:r>
    </w:p>
    <w:p w14:paraId="749DEE8A">
      <w:pPr>
        <w:ind w:firstLine="640" w:firstLineChars="200"/>
        <w:jc w:val="left"/>
        <w:rPr>
          <w:rFonts w:ascii="仿宋" w:hAnsi="仿宋" w:eastAsia="仿宋" w:cs="宋体"/>
          <w:bCs/>
          <w:kern w:val="0"/>
          <w:sz w:val="32"/>
          <w:szCs w:val="32"/>
        </w:rPr>
      </w:pPr>
      <w:r>
        <w:rPr>
          <w:rFonts w:hint="eastAsia" w:ascii="仿宋" w:hAnsi="仿宋" w:eastAsia="仿宋" w:cs="宋体"/>
          <w:bCs/>
          <w:kern w:val="0"/>
          <w:sz w:val="32"/>
          <w:szCs w:val="32"/>
        </w:rPr>
        <w:t>（6）房屋</w:t>
      </w:r>
      <w:r>
        <w:rPr>
          <w:rFonts w:hint="eastAsia" w:ascii="仿宋" w:hAnsi="仿宋" w:eastAsia="仿宋" w:cs="___WRD_EMBED_SUB_39"/>
          <w:bCs/>
          <w:kern w:val="0"/>
          <w:sz w:val="32"/>
          <w:szCs w:val="32"/>
        </w:rPr>
        <w:t>维</w:t>
      </w:r>
      <w:r>
        <w:rPr>
          <w:rFonts w:hint="eastAsia" w:ascii="仿宋" w:hAnsi="仿宋" w:eastAsia="仿宋" w:cs="宋体"/>
          <w:bCs/>
          <w:kern w:val="0"/>
          <w:sz w:val="32"/>
          <w:szCs w:val="32"/>
        </w:rPr>
        <w:t>修</w:t>
      </w:r>
      <w:r>
        <w:rPr>
          <w:rFonts w:hint="eastAsia" w:ascii="仿宋" w:hAnsi="仿宋" w:eastAsia="仿宋" w:cs="___WRD_EMBED_SUB_39"/>
          <w:bCs/>
          <w:kern w:val="0"/>
          <w:sz w:val="32"/>
          <w:szCs w:val="32"/>
        </w:rPr>
        <w:t>和</w:t>
      </w:r>
      <w:r>
        <w:rPr>
          <w:rFonts w:hint="eastAsia" w:ascii="仿宋" w:hAnsi="仿宋" w:eastAsia="仿宋" w:cs="宋体"/>
          <w:bCs/>
          <w:kern w:val="0"/>
          <w:sz w:val="32"/>
          <w:szCs w:val="32"/>
        </w:rPr>
        <w:t>装修260万元。</w:t>
      </w:r>
    </w:p>
    <w:p w14:paraId="4E401FD6">
      <w:pPr>
        <w:spacing w:line="560" w:lineRule="exact"/>
        <w:ind w:firstLine="640" w:firstLineChars="200"/>
        <w:rPr>
          <w:rFonts w:ascii="仿宋" w:hAnsi="仿宋" w:eastAsia="仿宋"/>
        </w:rPr>
      </w:pPr>
      <w:r>
        <w:rPr>
          <w:rFonts w:ascii="仿宋" w:hAnsi="仿宋" w:eastAsia="仿宋"/>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1D2B34D">
      <w:pPr>
        <w:spacing w:line="560" w:lineRule="exact"/>
        <w:ind w:firstLine="640" w:firstLineChars="200"/>
        <w:rPr>
          <w:rFonts w:ascii="仿宋" w:hAnsi="仿宋" w:eastAsia="仿宋"/>
          <w:bCs/>
          <w:sz w:val="32"/>
          <w:szCs w:val="32"/>
        </w:rPr>
      </w:pPr>
      <w:r>
        <w:rPr>
          <w:rFonts w:ascii="仿宋" w:hAnsi="仿宋" w:eastAsia="仿宋"/>
          <w:bCs/>
          <w:sz w:val="32"/>
          <w:szCs w:val="32"/>
        </w:rPr>
        <w:t>3、资金投入和使用情况</w:t>
      </w:r>
    </w:p>
    <w:p w14:paraId="4C823F0F">
      <w:pPr>
        <w:spacing w:line="560" w:lineRule="exact"/>
        <w:ind w:firstLine="640" w:firstLineChars="200"/>
        <w:rPr>
          <w:rFonts w:ascii="仿宋" w:hAnsi="仿宋" w:eastAsia="仿宋"/>
          <w:sz w:val="20"/>
          <w:szCs w:val="20"/>
        </w:rPr>
      </w:pPr>
      <w:r>
        <w:rPr>
          <w:rFonts w:ascii="仿宋" w:hAnsi="仿宋" w:eastAsia="仿宋"/>
          <w:sz w:val="32"/>
          <w:szCs w:val="32"/>
        </w:rPr>
        <w:t>（1）</w:t>
      </w:r>
      <w:r>
        <w:rPr>
          <w:rFonts w:hint="eastAsia" w:ascii="仿宋" w:hAnsi="仿宋" w:eastAsia="仿宋"/>
          <w:sz w:val="32"/>
          <w:szCs w:val="32"/>
        </w:rPr>
        <w:t>资金投入情况</w:t>
      </w:r>
    </w:p>
    <w:p w14:paraId="5D3A8711">
      <w:pPr>
        <w:spacing w:line="560" w:lineRule="exact"/>
        <w:ind w:firstLine="640" w:firstLineChars="200"/>
        <w:rPr>
          <w:rFonts w:ascii="仿宋" w:hAnsi="仿宋" w:eastAsia="仿宋"/>
          <w:sz w:val="32"/>
          <w:szCs w:val="32"/>
        </w:rPr>
      </w:pPr>
      <w:r>
        <w:rPr>
          <w:rFonts w:hint="eastAsia" w:ascii="仿宋" w:hAnsi="仿宋" w:eastAsia="仿宋"/>
          <w:sz w:val="32"/>
          <w:szCs w:val="32"/>
        </w:rPr>
        <w:t>项目年度总预算3509万元，其中：财政拨款资金0万元，其他资金3509万元。项目资金到位3509万元，资金到位率100%。资金来源于医院的事业收入。</w:t>
      </w:r>
    </w:p>
    <w:p w14:paraId="2D04C46C">
      <w:pPr>
        <w:spacing w:line="560" w:lineRule="exact"/>
        <w:ind w:firstLine="640" w:firstLineChars="200"/>
        <w:rPr>
          <w:rFonts w:ascii="仿宋" w:hAnsi="仿宋" w:eastAsia="仿宋"/>
          <w:sz w:val="32"/>
          <w:szCs w:val="32"/>
        </w:rPr>
      </w:pPr>
      <w:r>
        <w:rPr>
          <w:rFonts w:ascii="仿宋" w:hAnsi="仿宋" w:eastAsia="仿宋"/>
          <w:sz w:val="32"/>
          <w:szCs w:val="32"/>
        </w:rPr>
        <w:t>（2）资金使用情况</w:t>
      </w:r>
      <w:bookmarkStart w:id="0" w:name="page10"/>
      <w:bookmarkEnd w:id="0"/>
    </w:p>
    <w:p w14:paraId="72647DC8">
      <w:pPr>
        <w:pStyle w:val="2"/>
        <w:spacing w:before="0" w:after="0" w:line="560" w:lineRule="exact"/>
        <w:ind w:firstLine="640" w:firstLineChars="200"/>
        <w:jc w:val="both"/>
        <w:rPr>
          <w:rFonts w:ascii="仿宋" w:hAnsi="仿宋" w:eastAsia="仿宋"/>
          <w:b w:val="0"/>
          <w:bCs w:val="0"/>
          <w:kern w:val="2"/>
        </w:rPr>
      </w:pPr>
      <w:r>
        <w:rPr>
          <w:rFonts w:hint="eastAsia" w:ascii="仿宋" w:hAnsi="仿宋" w:eastAsia="仿宋"/>
          <w:b w:val="0"/>
          <w:bCs w:val="0"/>
          <w:kern w:val="2"/>
          <w:lang w:eastAsia="zh-CN"/>
        </w:rPr>
        <w:t>截至2023年</w:t>
      </w:r>
      <w:r>
        <w:rPr>
          <w:rFonts w:hint="eastAsia" w:ascii="仿宋" w:hAnsi="仿宋" w:eastAsia="仿宋"/>
          <w:b w:val="0"/>
          <w:bCs w:val="0"/>
          <w:kern w:val="2"/>
        </w:rPr>
        <w:t>12月31日，该项目全年预算数3509万元，全年执行数2800.56万元，预算执行率79.81%。主要</w:t>
      </w:r>
      <w:r>
        <w:rPr>
          <w:rFonts w:ascii="仿宋" w:hAnsi="仿宋" w:eastAsia="仿宋"/>
          <w:b w:val="0"/>
          <w:bCs w:val="0"/>
          <w:kern w:val="2"/>
        </w:rPr>
        <w:t>用于支付项目实施进程中的各项费用。</w:t>
      </w:r>
      <w:r>
        <w:rPr>
          <w:rFonts w:ascii="仿宋" w:hAnsi="仿宋" w:eastAsia="仿宋"/>
          <w:b w:val="0"/>
          <w:bCs w:val="0"/>
        </w:rPr>
        <w:t>按照单位财务制度等相关规定，资金支出符合</w:t>
      </w:r>
      <w:r>
        <w:rPr>
          <w:rFonts w:hint="eastAsia" w:ascii="仿宋" w:hAnsi="仿宋" w:eastAsia="仿宋"/>
          <w:b w:val="0"/>
          <w:bCs w:val="0"/>
        </w:rPr>
        <w:t>医院政府采购项目</w:t>
      </w:r>
      <w:r>
        <w:rPr>
          <w:rFonts w:ascii="仿宋" w:hAnsi="仿宋" w:eastAsia="仿宋"/>
          <w:b w:val="0"/>
          <w:bCs w:val="0"/>
        </w:rPr>
        <w:t>资金费用范围，做到了专款专用。在项目资金拨付和使用过程中，为确保项目资金的安全性，提高项目资金使用效率，严格遵循</w:t>
      </w:r>
      <w:r>
        <w:rPr>
          <w:rFonts w:hint="eastAsia" w:ascii="仿宋" w:hAnsi="仿宋" w:eastAsia="仿宋"/>
          <w:b w:val="0"/>
          <w:bCs w:val="0"/>
        </w:rPr>
        <w:t>医院政府采购项目</w:t>
      </w:r>
      <w:r>
        <w:rPr>
          <w:rFonts w:ascii="仿宋" w:hAnsi="仿宋" w:eastAsia="仿宋"/>
          <w:b w:val="0"/>
          <w:bCs w:val="0"/>
        </w:rPr>
        <w:t>资金的拨付程序，认真审核项目实施各阶段的相关材料和手续，根据项目实施进展情况拨付资金。</w:t>
      </w:r>
    </w:p>
    <w:p w14:paraId="74459029">
      <w:pPr>
        <w:spacing w:line="560" w:lineRule="exact"/>
        <w:ind w:firstLine="643" w:firstLineChars="200"/>
        <w:rPr>
          <w:rFonts w:eastAsia="楷体_GB2312"/>
          <w:b/>
          <w:bCs/>
          <w:sz w:val="32"/>
          <w:szCs w:val="32"/>
        </w:rPr>
      </w:pPr>
      <w:r>
        <w:rPr>
          <w:rFonts w:eastAsia="楷体_GB2312"/>
          <w:b/>
          <w:bCs/>
          <w:sz w:val="32"/>
          <w:szCs w:val="32"/>
        </w:rPr>
        <w:t>（二）项目绩效目标</w:t>
      </w:r>
    </w:p>
    <w:p w14:paraId="2CF60FAA">
      <w:pPr>
        <w:spacing w:line="560" w:lineRule="exact"/>
        <w:ind w:firstLine="640" w:firstLineChars="200"/>
        <w:rPr>
          <w:rFonts w:ascii="仿宋" w:hAnsi="仿宋" w:eastAsia="仿宋"/>
          <w:sz w:val="32"/>
          <w:szCs w:val="32"/>
        </w:rPr>
      </w:pPr>
      <w:r>
        <w:rPr>
          <w:rFonts w:ascii="仿宋" w:hAnsi="仿宋" w:eastAsia="仿宋"/>
          <w:sz w:val="32"/>
          <w:szCs w:val="32"/>
        </w:rPr>
        <w:t>1、总体目标</w:t>
      </w:r>
    </w:p>
    <w:p w14:paraId="098A0908">
      <w:pPr>
        <w:pStyle w:val="2"/>
        <w:spacing w:before="0" w:after="0" w:line="560" w:lineRule="exact"/>
        <w:ind w:firstLine="640" w:firstLineChars="200"/>
        <w:jc w:val="both"/>
        <w:rPr>
          <w:rFonts w:ascii="仿宋" w:hAnsi="仿宋" w:eastAsia="仿宋"/>
          <w:b w:val="0"/>
          <w:bCs w:val="0"/>
          <w:kern w:val="2"/>
        </w:rPr>
      </w:pPr>
      <w:r>
        <w:rPr>
          <w:rFonts w:hint="eastAsia" w:ascii="仿宋" w:hAnsi="仿宋" w:eastAsia="仿宋"/>
          <w:b w:val="0"/>
          <w:bCs w:val="0"/>
          <w:kern w:val="2"/>
        </w:rPr>
        <w:t>（1）解决医院周边环境人员的就医问题。</w:t>
      </w:r>
    </w:p>
    <w:p w14:paraId="0EC34989">
      <w:pPr>
        <w:pStyle w:val="2"/>
        <w:spacing w:before="0" w:after="0" w:line="560" w:lineRule="exact"/>
        <w:ind w:firstLine="640" w:firstLineChars="200"/>
        <w:jc w:val="both"/>
        <w:rPr>
          <w:rFonts w:ascii="仿宋" w:hAnsi="仿宋" w:eastAsia="仿宋"/>
          <w:b w:val="0"/>
          <w:bCs w:val="0"/>
          <w:kern w:val="2"/>
        </w:rPr>
      </w:pPr>
      <w:r>
        <w:rPr>
          <w:rFonts w:hint="eastAsia" w:ascii="仿宋" w:hAnsi="仿宋" w:eastAsia="仿宋"/>
          <w:b w:val="0"/>
          <w:bCs w:val="0"/>
          <w:kern w:val="2"/>
        </w:rPr>
        <w:t>（2）紧紧围绕医院“强而精”医院定位</w:t>
      </w:r>
      <w:r>
        <w:rPr>
          <w:rFonts w:hint="eastAsia" w:ascii="仿宋" w:hAnsi="仿宋" w:eastAsia="仿宋"/>
          <w:b w:val="0"/>
          <w:bCs w:val="0"/>
          <w:kern w:val="2"/>
          <w:lang w:eastAsia="zh-CN"/>
        </w:rPr>
        <w:t>，</w:t>
      </w:r>
      <w:r>
        <w:rPr>
          <w:rFonts w:hint="eastAsia" w:ascii="仿宋" w:hAnsi="仿宋" w:eastAsia="仿宋"/>
          <w:b w:val="0"/>
          <w:bCs w:val="0"/>
          <w:kern w:val="2"/>
        </w:rPr>
        <w:t>奋力发展优势学科、专科建设。</w:t>
      </w:r>
    </w:p>
    <w:p w14:paraId="05BC406A">
      <w:pPr>
        <w:pStyle w:val="2"/>
        <w:spacing w:before="0" w:after="0" w:line="560" w:lineRule="exact"/>
        <w:ind w:firstLine="640" w:firstLineChars="200"/>
        <w:jc w:val="both"/>
        <w:rPr>
          <w:rFonts w:ascii="仿宋" w:hAnsi="仿宋" w:eastAsia="仿宋"/>
          <w:b w:val="0"/>
          <w:bCs w:val="0"/>
          <w:kern w:val="2"/>
        </w:rPr>
      </w:pPr>
      <w:r>
        <w:rPr>
          <w:rFonts w:hint="eastAsia" w:ascii="仿宋" w:hAnsi="仿宋" w:eastAsia="仿宋"/>
          <w:b w:val="0"/>
          <w:bCs w:val="0"/>
          <w:kern w:val="2"/>
        </w:rPr>
        <w:t>（3）适应改革，积极推行现代化医院管理，加强医院内涵建设。</w:t>
      </w:r>
    </w:p>
    <w:p w14:paraId="277C2B07">
      <w:pPr>
        <w:spacing w:line="560" w:lineRule="exact"/>
        <w:ind w:firstLine="640" w:firstLineChars="200"/>
        <w:rPr>
          <w:rFonts w:ascii="仿宋" w:hAnsi="仿宋" w:eastAsia="仿宋"/>
        </w:rPr>
      </w:pPr>
      <w:r>
        <w:rPr>
          <w:rFonts w:ascii="仿宋" w:hAnsi="仿宋" w:eastAsia="仿宋"/>
          <w:sz w:val="32"/>
          <w:szCs w:val="32"/>
        </w:rPr>
        <w:t>2、阶段性目标</w:t>
      </w:r>
    </w:p>
    <w:p w14:paraId="51CFA82B">
      <w:pPr>
        <w:spacing w:line="560" w:lineRule="exact"/>
        <w:ind w:firstLine="640" w:firstLineChars="200"/>
        <w:rPr>
          <w:rFonts w:ascii="仿宋" w:hAnsi="仿宋" w:eastAsia="仿宋"/>
          <w:sz w:val="32"/>
          <w:szCs w:val="32"/>
        </w:rPr>
      </w:pPr>
      <w:r>
        <w:rPr>
          <w:rFonts w:hint="eastAsia" w:ascii="仿宋" w:hAnsi="仿宋" w:eastAsia="仿宋"/>
          <w:sz w:val="32"/>
          <w:szCs w:val="32"/>
        </w:rPr>
        <w:t>（1）解决了解决医院周边环境人员的就医问题。2023年收治门诊患者684387人次，出院患者43519人次。（2）紧紧围绕医院“强而精”医院定位</w:t>
      </w:r>
      <w:r>
        <w:rPr>
          <w:rFonts w:hint="eastAsia" w:ascii="仿宋" w:hAnsi="仿宋" w:eastAsia="仿宋"/>
          <w:sz w:val="32"/>
          <w:szCs w:val="32"/>
          <w:lang w:eastAsia="zh-CN"/>
        </w:rPr>
        <w:t>，</w:t>
      </w:r>
      <w:r>
        <w:rPr>
          <w:rFonts w:hint="eastAsia" w:ascii="仿宋" w:hAnsi="仿宋" w:eastAsia="仿宋"/>
          <w:sz w:val="32"/>
          <w:szCs w:val="32"/>
        </w:rPr>
        <w:t>奋力发展优势学科、专科建设。获批国家自治区重点专科1个自治区重点专科13个。（3）适应改革，积极推行现代化医院管理，修订相关制度，加强医院内涵建设。</w:t>
      </w:r>
    </w:p>
    <w:p w14:paraId="6E5D908E">
      <w:pPr>
        <w:spacing w:line="560" w:lineRule="exact"/>
        <w:ind w:firstLine="640" w:firstLineChars="200"/>
        <w:rPr>
          <w:rFonts w:eastAsia="黑体"/>
          <w:sz w:val="32"/>
          <w:szCs w:val="32"/>
        </w:rPr>
      </w:pPr>
      <w:r>
        <w:rPr>
          <w:rFonts w:eastAsia="黑体"/>
          <w:sz w:val="32"/>
          <w:szCs w:val="32"/>
        </w:rPr>
        <w:t>二、绩效评价工作开展情况</w:t>
      </w:r>
    </w:p>
    <w:p w14:paraId="78AB993D">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F6A10E6">
      <w:pPr>
        <w:pStyle w:val="2"/>
        <w:widowControl w:val="0"/>
        <w:spacing w:before="0" w:after="0" w:line="560" w:lineRule="exact"/>
        <w:ind w:firstLine="640" w:firstLineChars="200"/>
        <w:jc w:val="both"/>
        <w:outlineLvl w:val="9"/>
        <w:rPr>
          <w:rFonts w:ascii="仿宋" w:hAnsi="仿宋" w:eastAsia="仿宋"/>
          <w:b w:val="0"/>
          <w:bCs w:val="0"/>
        </w:rPr>
      </w:pPr>
      <w:r>
        <w:rPr>
          <w:rFonts w:ascii="仿宋" w:hAnsi="仿宋" w:eastAsia="仿宋"/>
          <w:b w:val="0"/>
          <w:bCs w:val="0"/>
        </w:rPr>
        <w:t>1、绩效评价的目的</w:t>
      </w:r>
    </w:p>
    <w:p w14:paraId="602A9CF3">
      <w:pPr>
        <w:spacing w:line="560" w:lineRule="exact"/>
        <w:ind w:firstLine="640" w:firstLineChars="200"/>
        <w:rPr>
          <w:rFonts w:ascii="仿宋" w:hAnsi="仿宋" w:eastAsia="仿宋"/>
          <w:sz w:val="32"/>
          <w:szCs w:val="32"/>
        </w:rPr>
      </w:pPr>
      <w:r>
        <w:rPr>
          <w:rFonts w:ascii="仿宋" w:hAnsi="仿宋" w:eastAsia="仿宋"/>
          <w:sz w:val="32"/>
          <w:szCs w:val="32"/>
        </w:rPr>
        <w:t>支出绩效评价运用科学、规范的绩效评价方法，制定评价标准，使资金得到事前、事中和事后多方面的控制。支出绩效评价贯穿于支出安排和实施的全过程，是对支出效益、管理水平、投入风险等方面的综合评价；是</w:t>
      </w:r>
      <w:r>
        <w:rPr>
          <w:rFonts w:hint="eastAsia" w:ascii="仿宋" w:hAnsi="仿宋" w:eastAsia="仿宋"/>
          <w:sz w:val="32"/>
          <w:szCs w:val="32"/>
        </w:rPr>
        <w:t>医院加强运营管理</w:t>
      </w:r>
      <w:r>
        <w:rPr>
          <w:rFonts w:ascii="仿宋" w:hAnsi="仿宋" w:eastAsia="仿宋"/>
          <w:sz w:val="32"/>
          <w:szCs w:val="32"/>
        </w:rPr>
        <w:t>、提高资金安排科学性、促进</w:t>
      </w:r>
      <w:r>
        <w:rPr>
          <w:rFonts w:hint="eastAsia" w:ascii="仿宋" w:hAnsi="仿宋" w:eastAsia="仿宋"/>
          <w:sz w:val="32"/>
          <w:szCs w:val="32"/>
        </w:rPr>
        <w:t>医院提升诊疗水平和保持公益性</w:t>
      </w:r>
      <w:r>
        <w:rPr>
          <w:rFonts w:ascii="仿宋" w:hAnsi="仿宋" w:eastAsia="仿宋"/>
          <w:sz w:val="32"/>
          <w:szCs w:val="32"/>
        </w:rPr>
        <w:t>的重要保证。</w:t>
      </w:r>
    </w:p>
    <w:p w14:paraId="7292E212">
      <w:pPr>
        <w:numPr>
          <w:ilvl w:val="0"/>
          <w:numId w:val="2"/>
        </w:numPr>
        <w:spacing w:line="560" w:lineRule="exact"/>
        <w:ind w:firstLine="640" w:firstLineChars="200"/>
        <w:rPr>
          <w:rFonts w:ascii="仿宋" w:hAnsi="仿宋" w:eastAsia="仿宋"/>
          <w:sz w:val="32"/>
          <w:szCs w:val="32"/>
        </w:rPr>
      </w:pPr>
      <w:r>
        <w:rPr>
          <w:rFonts w:ascii="仿宋" w:hAnsi="仿宋" w:eastAsia="仿宋"/>
          <w:sz w:val="32"/>
          <w:szCs w:val="32"/>
        </w:rPr>
        <w:t>项目在实施前向项目负责人提供支出绩效方面的资金管理信息，促进项目支出严格按照资金管理规定进行。</w:t>
      </w:r>
    </w:p>
    <w:p w14:paraId="4939F0A2">
      <w:pPr>
        <w:spacing w:line="560" w:lineRule="exact"/>
        <w:ind w:firstLine="640" w:firstLineChars="200"/>
        <w:rPr>
          <w:rFonts w:ascii="仿宋" w:hAnsi="仿宋" w:eastAsia="仿宋"/>
          <w:sz w:val="32"/>
          <w:szCs w:val="32"/>
        </w:rPr>
      </w:pPr>
      <w:r>
        <w:rPr>
          <w:rFonts w:ascii="仿宋" w:hAnsi="仿宋" w:eastAsia="仿宋"/>
          <w:sz w:val="32"/>
          <w:szCs w:val="32"/>
        </w:rPr>
        <w:t>（2）项目绩效管理支出运行提供及时、有效的信息。</w:t>
      </w:r>
    </w:p>
    <w:p w14:paraId="16E7AFC7">
      <w:pPr>
        <w:pStyle w:val="17"/>
        <w:spacing w:line="560" w:lineRule="exact"/>
        <w:ind w:firstLine="640" w:firstLineChars="200"/>
        <w:rPr>
          <w:rFonts w:ascii="仿宋" w:hAnsi="仿宋" w:eastAsia="仿宋"/>
          <w:kern w:val="2"/>
          <w:sz w:val="32"/>
          <w:szCs w:val="32"/>
        </w:rPr>
      </w:pPr>
      <w:r>
        <w:rPr>
          <w:rFonts w:ascii="仿宋" w:hAnsi="仿宋" w:eastAsia="仿宋"/>
          <w:sz w:val="32"/>
          <w:szCs w:val="32"/>
        </w:rPr>
        <w:t>综合来看，通过开展有效的支出绩效评价管理，</w:t>
      </w:r>
      <w:r>
        <w:rPr>
          <w:rFonts w:hint="eastAsia" w:ascii="仿宋" w:hAnsi="仿宋" w:eastAsia="仿宋"/>
          <w:kern w:val="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ascii="仿宋" w:hAnsi="仿宋" w:eastAsia="仿宋"/>
          <w:kern w:val="2"/>
          <w:sz w:val="32"/>
          <w:szCs w:val="32"/>
        </w:rPr>
        <w:t>改进预算管理、控制节约成本，</w:t>
      </w:r>
      <w:r>
        <w:rPr>
          <w:rFonts w:hint="eastAsia" w:ascii="仿宋" w:hAnsi="仿宋" w:eastAsia="仿宋"/>
          <w:kern w:val="2"/>
          <w:sz w:val="32"/>
          <w:szCs w:val="32"/>
        </w:rPr>
        <w:t>优化资源配置、</w:t>
      </w:r>
      <w:r>
        <w:rPr>
          <w:rFonts w:ascii="仿宋" w:hAnsi="仿宋" w:eastAsia="仿宋"/>
          <w:kern w:val="2"/>
          <w:sz w:val="32"/>
          <w:szCs w:val="32"/>
        </w:rPr>
        <w:t>提高预算资金使用效益的目的。</w:t>
      </w:r>
    </w:p>
    <w:p w14:paraId="51CC21CD">
      <w:pPr>
        <w:pStyle w:val="2"/>
        <w:widowControl w:val="0"/>
        <w:spacing w:before="0" w:after="0" w:line="560" w:lineRule="exact"/>
        <w:ind w:firstLine="640" w:firstLineChars="200"/>
        <w:jc w:val="both"/>
        <w:outlineLvl w:val="9"/>
        <w:rPr>
          <w:rFonts w:ascii="仿宋" w:hAnsi="仿宋" w:eastAsia="仿宋"/>
          <w:b w:val="0"/>
          <w:bCs w:val="0"/>
        </w:rPr>
      </w:pPr>
      <w:r>
        <w:rPr>
          <w:rFonts w:ascii="仿宋" w:hAnsi="仿宋" w:eastAsia="仿宋"/>
          <w:b w:val="0"/>
          <w:bCs w:val="0"/>
        </w:rPr>
        <w:t>2、绩效评价的对象</w:t>
      </w:r>
    </w:p>
    <w:p w14:paraId="3B222F79">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医院政府采购项目所包含的全部项目内容。</w:t>
      </w:r>
    </w:p>
    <w:p w14:paraId="467201A6">
      <w:pPr>
        <w:pStyle w:val="2"/>
        <w:widowControl w:val="0"/>
        <w:spacing w:before="0" w:after="0" w:line="560" w:lineRule="exact"/>
        <w:ind w:firstLine="640" w:firstLineChars="200"/>
        <w:jc w:val="both"/>
        <w:outlineLvl w:val="9"/>
        <w:rPr>
          <w:rFonts w:ascii="仿宋" w:hAnsi="仿宋" w:eastAsia="仿宋"/>
          <w:b w:val="0"/>
          <w:bCs w:val="0"/>
        </w:rPr>
      </w:pPr>
      <w:r>
        <w:rPr>
          <w:rFonts w:ascii="仿宋" w:hAnsi="仿宋" w:eastAsia="仿宋"/>
          <w:b w:val="0"/>
          <w:bCs w:val="0"/>
        </w:rPr>
        <w:t>3、绩效评价的范围</w:t>
      </w:r>
    </w:p>
    <w:p w14:paraId="116F4DEB">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本次评价从项目决策（包括项目立项、绩效目标、资金投入）、项目过程（包括资金管理、组织实施）、项目产出（包括项目产出数量、产出质量、产出时效和产出成本）、项目效益（实施效益、满意度）四个维度对医院政府采购项目进行评价，评价核心为项目资金的支出完成情况和效果。</w:t>
      </w:r>
    </w:p>
    <w:p w14:paraId="0DB22977">
      <w:pPr>
        <w:spacing w:line="560" w:lineRule="exact"/>
        <w:ind w:firstLine="643" w:firstLineChars="200"/>
      </w:pPr>
      <w:r>
        <w:rPr>
          <w:rFonts w:eastAsia="楷体_GB2312"/>
          <w:b/>
          <w:bCs/>
          <w:sz w:val="32"/>
          <w:szCs w:val="32"/>
        </w:rPr>
        <w:t>（二）绩效评价原则、评价指标体系（详情见表1）、评价方法、评价标准。</w:t>
      </w:r>
    </w:p>
    <w:p w14:paraId="65722132">
      <w:pPr>
        <w:pStyle w:val="2"/>
        <w:widowControl w:val="0"/>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1、绩效评价原则</w:t>
      </w:r>
    </w:p>
    <w:p w14:paraId="204CBA82">
      <w:pPr>
        <w:spacing w:line="560" w:lineRule="exact"/>
        <w:ind w:firstLine="640" w:firstLineChars="200"/>
        <w:jc w:val="left"/>
        <w:rPr>
          <w:rFonts w:ascii="仿宋" w:hAnsi="仿宋" w:eastAsia="仿宋"/>
          <w:color w:val="000000"/>
          <w:sz w:val="32"/>
          <w:szCs w:val="32"/>
        </w:rPr>
      </w:pPr>
      <w:r>
        <w:rPr>
          <w:rFonts w:ascii="仿宋" w:hAnsi="仿宋" w:eastAsia="仿宋"/>
          <w:color w:val="000000"/>
          <w:sz w:val="32"/>
          <w:szCs w:val="32"/>
        </w:rPr>
        <w:t>本次项目绩效评价遵循以下基本原则：</w:t>
      </w:r>
    </w:p>
    <w:p w14:paraId="453FA921">
      <w:pPr>
        <w:pStyle w:val="2"/>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（1）科学公正。绩效评价应当运用科学合理的方法，按照规范的程序，对项目绩效进行客观、公正</w:t>
      </w:r>
      <w:r>
        <w:rPr>
          <w:rFonts w:hint="eastAsia" w:ascii="仿宋" w:hAnsi="仿宋" w:eastAsia="仿宋"/>
          <w:b w:val="0"/>
          <w:bCs w:val="0"/>
          <w:lang w:eastAsia="zh-CN"/>
        </w:rPr>
        <w:t>的</w:t>
      </w:r>
      <w:bookmarkStart w:id="5" w:name="_GoBack"/>
      <w:bookmarkEnd w:id="5"/>
      <w:r>
        <w:rPr>
          <w:rFonts w:ascii="仿宋" w:hAnsi="仿宋" w:eastAsia="仿宋"/>
          <w:b w:val="0"/>
          <w:bCs w:val="0"/>
        </w:rPr>
        <w:t>反映。</w:t>
      </w:r>
    </w:p>
    <w:p w14:paraId="6DD88642">
      <w:pPr>
        <w:pStyle w:val="2"/>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（2）统筹兼顾。单位自评、部门评价和财政评价应职责明确，各有侧重，相互衔接。单位自评应由项目单位自主实施，即“谁支出、谁自评”。部门评价和财政评价应在单位自评的基础上开展。</w:t>
      </w:r>
    </w:p>
    <w:p w14:paraId="2313BB4F">
      <w:pPr>
        <w:pStyle w:val="2"/>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（3）激励约束。绩效评价结果应与预算安排、政策调整、改进管理实质性挂钩，体现奖优罚劣和激励相容导向，有效要安排、低效要压减、无效要问责。</w:t>
      </w:r>
    </w:p>
    <w:p w14:paraId="160CE2A9">
      <w:pPr>
        <w:pStyle w:val="2"/>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（4）公开透明。绩效评价结果应依法依规公开，并自觉接受社会监督。</w:t>
      </w:r>
    </w:p>
    <w:p w14:paraId="200676BD">
      <w:pPr>
        <w:pStyle w:val="2"/>
        <w:widowControl w:val="0"/>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2、评价指标体系</w:t>
      </w:r>
    </w:p>
    <w:p w14:paraId="4E2D9FE1">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绩效评价框架是开展绩效评价的核心。绩效评价框架包括评价准则、关键评价问题、评价指标、数据来源、数据收集方法等。指标体系建立过程如下：</w:t>
      </w:r>
    </w:p>
    <w:p w14:paraId="2CA5811B">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（1）确定评价指标</w:t>
      </w:r>
    </w:p>
    <w:p w14:paraId="7D50B2AE">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52A822F">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（2）确定权重</w:t>
      </w:r>
    </w:p>
    <w:p w14:paraId="38A9F690">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5CF21A5">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（3）确定指标标准值</w:t>
      </w:r>
    </w:p>
    <w:p w14:paraId="2E62B292">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指标标准值是绩效评价指标的尺度，既要反映同类项目的先进水平，又要符合项目的实际绩效水平。具体采用计划标准等确定此次绩效评价指标标准值。</w:t>
      </w:r>
    </w:p>
    <w:p w14:paraId="62F51091">
      <w:pPr>
        <w:pStyle w:val="2"/>
        <w:spacing w:before="0" w:after="0" w:line="560" w:lineRule="exact"/>
        <w:ind w:firstLine="708" w:firstLineChars="200"/>
        <w:jc w:val="left"/>
        <w:rPr>
          <w:rFonts w:ascii="仿宋" w:hAnsi="仿宋" w:eastAsia="仿宋"/>
          <w:b w:val="0"/>
          <w:bCs w:val="0"/>
          <w:color w:val="000000"/>
          <w:spacing w:val="17"/>
          <w:kern w:val="2"/>
        </w:rPr>
      </w:pPr>
      <w:r>
        <w:rPr>
          <w:rFonts w:ascii="仿宋" w:hAnsi="仿宋" w:eastAsia="仿宋"/>
          <w:b w:val="0"/>
          <w:bCs w:val="0"/>
          <w:color w:val="000000"/>
          <w:spacing w:val="17"/>
          <w:kern w:val="2"/>
        </w:rPr>
        <w:t>绩效评价总分值100分，根据综合评分结果，评价计分90分</w:t>
      </w:r>
      <w:r>
        <w:rPr>
          <w:rFonts w:hint="eastAsia" w:ascii="仿宋" w:hAnsi="仿宋" w:eastAsia="仿宋"/>
          <w:b w:val="0"/>
          <w:bCs w:val="0"/>
          <w:color w:val="000000"/>
          <w:spacing w:val="17"/>
          <w:kern w:val="2"/>
          <w:lang w:eastAsia="zh-CN"/>
        </w:rPr>
        <w:t>—</w:t>
      </w:r>
      <w:r>
        <w:rPr>
          <w:rFonts w:ascii="仿宋" w:hAnsi="仿宋" w:eastAsia="仿宋"/>
          <w:b w:val="0"/>
          <w:bCs w:val="0"/>
          <w:color w:val="000000"/>
          <w:spacing w:val="17"/>
          <w:kern w:val="2"/>
        </w:rPr>
        <w:t>100分（含90分）对应的评分结果级别为优，80</w:t>
      </w:r>
      <w:r>
        <w:rPr>
          <w:rFonts w:hint="eastAsia" w:ascii="仿宋" w:hAnsi="仿宋" w:eastAsia="仿宋"/>
          <w:b w:val="0"/>
          <w:bCs w:val="0"/>
          <w:color w:val="000000"/>
          <w:spacing w:val="17"/>
          <w:kern w:val="2"/>
          <w:lang w:eastAsia="zh-CN"/>
        </w:rPr>
        <w:t>—</w:t>
      </w:r>
      <w:r>
        <w:rPr>
          <w:rFonts w:ascii="仿宋" w:hAnsi="仿宋" w:eastAsia="仿宋"/>
          <w:b w:val="0"/>
          <w:bCs w:val="0"/>
          <w:color w:val="000000"/>
          <w:spacing w:val="17"/>
          <w:kern w:val="2"/>
        </w:rPr>
        <w:t>90分（含80分）对应的评分结果级别为良，60</w:t>
      </w:r>
      <w:r>
        <w:rPr>
          <w:rFonts w:hint="eastAsia" w:ascii="仿宋" w:hAnsi="仿宋" w:eastAsia="仿宋"/>
          <w:b w:val="0"/>
          <w:bCs w:val="0"/>
          <w:color w:val="000000"/>
          <w:spacing w:val="17"/>
          <w:kern w:val="2"/>
          <w:lang w:eastAsia="zh-CN"/>
        </w:rPr>
        <w:t>—</w:t>
      </w:r>
      <w:r>
        <w:rPr>
          <w:rFonts w:ascii="仿宋" w:hAnsi="仿宋" w:eastAsia="仿宋"/>
          <w:b w:val="0"/>
          <w:bCs w:val="0"/>
          <w:color w:val="000000"/>
          <w:spacing w:val="17"/>
          <w:kern w:val="2"/>
        </w:rPr>
        <w:t>80分（含60分）对应的评分结果级别为中，60分以下对应的评分结果级别为差。</w:t>
      </w:r>
    </w:p>
    <w:p w14:paraId="01C7FFA5">
      <w:pPr>
        <w:pStyle w:val="2"/>
        <w:widowControl w:val="0"/>
        <w:spacing w:before="0" w:after="0" w:line="560" w:lineRule="exact"/>
        <w:ind w:firstLine="708" w:firstLineChars="200"/>
        <w:jc w:val="left"/>
        <w:outlineLvl w:val="9"/>
        <w:rPr>
          <w:rFonts w:ascii="仿宋" w:hAnsi="仿宋" w:eastAsia="仿宋"/>
          <w:b w:val="0"/>
          <w:bCs w:val="0"/>
          <w:color w:val="000000"/>
          <w:spacing w:val="17"/>
        </w:rPr>
      </w:pPr>
      <w:r>
        <w:rPr>
          <w:rFonts w:ascii="仿宋" w:hAnsi="仿宋" w:eastAsia="仿宋"/>
          <w:b w:val="0"/>
          <w:bCs w:val="0"/>
          <w:color w:val="000000"/>
          <w:spacing w:val="17"/>
        </w:rPr>
        <w:t>具体评价指标体系详情见附件1</w:t>
      </w:r>
      <w:r>
        <w:rPr>
          <w:rFonts w:hint="eastAsia" w:ascii="仿宋" w:hAnsi="仿宋" w:eastAsia="仿宋"/>
          <w:b w:val="0"/>
          <w:bCs w:val="0"/>
          <w:color w:val="000000"/>
          <w:spacing w:val="17"/>
        </w:rPr>
        <w:t>。</w:t>
      </w:r>
    </w:p>
    <w:p w14:paraId="70D7DEED">
      <w:pPr>
        <w:pStyle w:val="2"/>
        <w:widowControl w:val="0"/>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3、绩效评价方法</w:t>
      </w:r>
    </w:p>
    <w:p w14:paraId="44B827DE">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C35DCF8">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582BD07">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（1）比较法</w:t>
      </w:r>
    </w:p>
    <w:p w14:paraId="30B36227">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通过对绩效目标与实施效果、历史与当期情况，综合分析绩效目标实现程度。对</w:t>
      </w:r>
      <w:r>
        <w:rPr>
          <w:rFonts w:ascii="仿宋" w:hAnsi="仿宋" w:eastAsia="仿宋"/>
          <w:sz w:val="32"/>
          <w:szCs w:val="32"/>
        </w:rPr>
        <w:t>项目</w:t>
      </w:r>
      <w:r>
        <w:rPr>
          <w:rFonts w:ascii="仿宋" w:hAnsi="仿宋" w:eastAsia="仿宋"/>
          <w:color w:val="000000"/>
          <w:spacing w:val="17"/>
          <w:sz w:val="32"/>
          <w:szCs w:val="32"/>
        </w:rPr>
        <w:t>最终验收情况与年度绩效目标对比、预算资金执行情况等相关因素进行比较。</w:t>
      </w:r>
    </w:p>
    <w:p w14:paraId="6A39147B">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（2）因素分析法</w:t>
      </w:r>
    </w:p>
    <w:p w14:paraId="363F18F6">
      <w:pPr>
        <w:spacing w:line="560" w:lineRule="exact"/>
        <w:ind w:firstLine="708" w:firstLineChars="200"/>
        <w:jc w:val="left"/>
        <w:rPr>
          <w:rFonts w:ascii="仿宋" w:hAnsi="仿宋" w:eastAsia="仿宋"/>
          <w:color w:val="000000"/>
          <w:spacing w:val="17"/>
          <w:sz w:val="32"/>
          <w:szCs w:val="32"/>
        </w:rPr>
      </w:pPr>
      <w:r>
        <w:rPr>
          <w:rFonts w:ascii="仿宋" w:hAnsi="仿宋" w:eastAsia="仿宋"/>
          <w:color w:val="000000"/>
          <w:spacing w:val="17"/>
          <w:sz w:val="32"/>
          <w:szCs w:val="32"/>
        </w:rPr>
        <w:t>通过综合分析影响绩效目标实现、实施效果的内外因素，评价绩效目标实现程度。通过对</w:t>
      </w:r>
      <w:r>
        <w:rPr>
          <w:rFonts w:ascii="仿宋" w:hAnsi="仿宋" w:eastAsia="仿宋"/>
          <w:sz w:val="32"/>
          <w:szCs w:val="32"/>
        </w:rPr>
        <w:t>项目</w:t>
      </w:r>
      <w:r>
        <w:rPr>
          <w:rFonts w:ascii="仿宋" w:hAnsi="仿宋" w:eastAsia="仿宋"/>
          <w:color w:val="000000"/>
          <w:spacing w:val="17"/>
          <w:sz w:val="32"/>
          <w:szCs w:val="32"/>
        </w:rPr>
        <w:t>的开展情况、项目产出数量、成本控制、资金拨付文件及自评报告等相关资料的收集和审核，综合分析各因素对绩效目标实现的影响。</w:t>
      </w:r>
    </w:p>
    <w:p w14:paraId="331D99C2">
      <w:pPr>
        <w:pStyle w:val="2"/>
        <w:widowControl w:val="0"/>
        <w:spacing w:before="0" w:after="0" w:line="560" w:lineRule="exact"/>
        <w:ind w:firstLine="640" w:firstLineChars="200"/>
        <w:jc w:val="left"/>
        <w:outlineLvl w:val="9"/>
        <w:rPr>
          <w:rFonts w:ascii="仿宋" w:hAnsi="仿宋" w:eastAsia="仿宋"/>
          <w:b w:val="0"/>
          <w:bCs w:val="0"/>
        </w:rPr>
      </w:pPr>
      <w:r>
        <w:rPr>
          <w:rFonts w:ascii="仿宋" w:hAnsi="仿宋" w:eastAsia="仿宋"/>
          <w:b w:val="0"/>
          <w:bCs w:val="0"/>
        </w:rPr>
        <w:t>4、评价标准</w:t>
      </w:r>
    </w:p>
    <w:p w14:paraId="2C777BE6">
      <w:pPr>
        <w:spacing w:line="560" w:lineRule="exact"/>
        <w:ind w:firstLine="708" w:firstLineChars="200"/>
        <w:jc w:val="left"/>
        <w:rPr>
          <w:rFonts w:ascii="仿宋" w:hAnsi="仿宋" w:eastAsia="仿宋"/>
          <w:color w:val="000000"/>
          <w:spacing w:val="17"/>
          <w:sz w:val="32"/>
          <w:szCs w:val="32"/>
        </w:rPr>
      </w:pPr>
      <w:r>
        <w:rPr>
          <w:rFonts w:hint="eastAsia" w:ascii="仿宋" w:hAnsi="仿宋" w:eastAsia="仿宋"/>
          <w:color w:val="000000"/>
          <w:spacing w:val="17"/>
          <w:sz w:val="32"/>
          <w:szCs w:val="32"/>
        </w:rPr>
        <w:t>绩效评价标准通常包括计划标准、行业标准、历史标准等，用于对绩效指标完成情况进行比较、分析、评价。本次评价主要采用了计划标准。</w:t>
      </w:r>
    </w:p>
    <w:p w14:paraId="14F0E9D5">
      <w:pPr>
        <w:spacing w:line="560" w:lineRule="exact"/>
        <w:ind w:firstLine="708" w:firstLineChars="200"/>
        <w:jc w:val="left"/>
        <w:rPr>
          <w:rFonts w:ascii="仿宋" w:hAnsi="仿宋" w:eastAsia="仿宋"/>
          <w:color w:val="000000"/>
          <w:spacing w:val="17"/>
          <w:sz w:val="32"/>
          <w:szCs w:val="32"/>
        </w:rPr>
      </w:pPr>
      <w:r>
        <w:rPr>
          <w:rFonts w:hint="eastAsia" w:ascii="仿宋" w:hAnsi="仿宋" w:eastAsia="仿宋"/>
          <w:color w:val="000000"/>
          <w:spacing w:val="17"/>
          <w:sz w:val="32"/>
          <w:szCs w:val="32"/>
        </w:rPr>
        <w:t>计划标准：指以预先制定的目标、计划、预算、定额等作为评价标准。</w:t>
      </w:r>
    </w:p>
    <w:p w14:paraId="1AEA6BD2">
      <w:pPr>
        <w:spacing w:line="56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（三）绩效评价工作过程</w:t>
      </w:r>
    </w:p>
    <w:p w14:paraId="6FFCCE09">
      <w:pPr>
        <w:numPr>
          <w:ilvl w:val="0"/>
          <w:numId w:val="3"/>
        </w:numPr>
        <w:spacing w:line="560" w:lineRule="exact"/>
        <w:ind w:firstLine="640" w:firstLineChars="200"/>
        <w:rPr>
          <w:rFonts w:ascii="仿宋" w:hAnsi="仿宋" w:eastAsia="仿宋"/>
          <w:bCs/>
          <w:sz w:val="32"/>
          <w:szCs w:val="32"/>
        </w:rPr>
      </w:pPr>
      <w:r>
        <w:rPr>
          <w:rFonts w:hint="eastAsia" w:ascii="仿宋" w:hAnsi="仿宋" w:eastAsia="仿宋"/>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1EAD83D">
      <w:pPr>
        <w:numPr>
          <w:ilvl w:val="0"/>
          <w:numId w:val="3"/>
        </w:numPr>
        <w:spacing w:line="560" w:lineRule="exact"/>
        <w:ind w:firstLine="640" w:firstLineChars="200"/>
        <w:rPr>
          <w:rFonts w:ascii="仿宋" w:hAnsi="仿宋" w:eastAsia="仿宋"/>
          <w:bCs/>
          <w:sz w:val="32"/>
          <w:szCs w:val="32"/>
        </w:rPr>
      </w:pPr>
      <w:r>
        <w:rPr>
          <w:rFonts w:hint="eastAsia" w:ascii="仿宋" w:hAnsi="仿宋" w:eastAsia="仿宋"/>
          <w:bCs/>
          <w:sz w:val="32"/>
          <w:szCs w:val="32"/>
        </w:rPr>
        <w:t>组织实施。制定绩效评价工作方案，具体包括项目概况、评价思路、方法手段、组织实施、进度安排等。收集项目立项依据、相关会议纪要、实施方案、支付管理情况等相关评价资料并进行梳理。</w:t>
      </w:r>
    </w:p>
    <w:p w14:paraId="787C2033">
      <w:pPr>
        <w:numPr>
          <w:ilvl w:val="0"/>
          <w:numId w:val="3"/>
        </w:numPr>
        <w:spacing w:line="560" w:lineRule="exact"/>
        <w:ind w:firstLine="640" w:firstLineChars="200"/>
        <w:rPr>
          <w:rFonts w:ascii="仿宋" w:hAnsi="仿宋" w:eastAsia="仿宋"/>
          <w:sz w:val="32"/>
          <w:szCs w:val="32"/>
        </w:rPr>
      </w:pPr>
      <w:r>
        <w:rPr>
          <w:rFonts w:hint="eastAsia" w:ascii="仿宋" w:hAnsi="仿宋" w:eastAsia="仿宋"/>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0C25012">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311A588B">
      <w:pPr>
        <w:pStyle w:val="2"/>
        <w:widowControl w:val="0"/>
        <w:spacing w:before="0" w:after="0" w:line="560" w:lineRule="exact"/>
        <w:ind w:firstLine="643" w:firstLineChars="200"/>
        <w:jc w:val="both"/>
        <w:outlineLvl w:val="9"/>
        <w:rPr>
          <w:rFonts w:ascii="楷体" w:hAnsi="楷体" w:eastAsia="楷体" w:cs="楷体"/>
        </w:rPr>
      </w:pPr>
      <w:r>
        <w:rPr>
          <w:rFonts w:hint="eastAsia" w:ascii="楷体" w:hAnsi="楷体" w:eastAsia="楷体" w:cs="楷体"/>
        </w:rPr>
        <w:t>（一）评价情况</w:t>
      </w:r>
    </w:p>
    <w:p w14:paraId="295A3C2A">
      <w:pPr>
        <w:pStyle w:val="2"/>
        <w:widowControl w:val="0"/>
        <w:spacing w:before="0" w:after="0" w:line="560" w:lineRule="exact"/>
        <w:ind w:firstLine="640" w:firstLineChars="200"/>
        <w:jc w:val="both"/>
        <w:outlineLvl w:val="9"/>
        <w:rPr>
          <w:rFonts w:ascii="仿宋" w:hAnsi="仿宋" w:eastAsia="仿宋"/>
          <w:b w:val="0"/>
          <w:bCs w:val="0"/>
        </w:rPr>
      </w:pPr>
      <w:r>
        <w:rPr>
          <w:rFonts w:hint="eastAsia" w:ascii="仿宋" w:hAnsi="仿宋" w:eastAsia="仿宋"/>
          <w:b w:val="0"/>
          <w:bCs w:val="0"/>
        </w:rPr>
        <w:t>项目总体组织规范，在项目实施过</w:t>
      </w:r>
      <w:r>
        <w:rPr>
          <w:rFonts w:hint="eastAsia" w:ascii="仿宋" w:hAnsi="仿宋" w:eastAsia="仿宋"/>
          <w:b w:val="0"/>
          <w:bCs w:val="0"/>
          <w:lang w:eastAsia="zh-CN"/>
        </w:rPr>
        <w:t>程中</w:t>
      </w:r>
      <w:r>
        <w:rPr>
          <w:rFonts w:hint="eastAsia" w:ascii="仿宋" w:hAnsi="仿宋" w:eastAsia="仿宋"/>
          <w:b w:val="0"/>
          <w:bCs w:val="0"/>
        </w:rPr>
        <w:t>做到认真履职，监督到位。按照相关制度的要求，项目负责人对项目绩效监控执行情况进行跟踪监督，有效完成了本项目的工作目标，确保资金使用安全和最大效益</w:t>
      </w:r>
      <w:r>
        <w:rPr>
          <w:rFonts w:hint="eastAsia" w:ascii="仿宋" w:hAnsi="仿宋" w:eastAsia="仿宋"/>
          <w:b w:val="0"/>
          <w:bCs w:val="0"/>
          <w:lang w:eastAsia="zh-CN"/>
        </w:rPr>
        <w:t>地</w:t>
      </w:r>
      <w:r>
        <w:rPr>
          <w:rFonts w:hint="eastAsia" w:ascii="仿宋" w:hAnsi="仿宋" w:eastAsia="仿宋"/>
          <w:b w:val="0"/>
          <w:bCs w:val="0"/>
        </w:rPr>
        <w:t>发挥，保障项目如期按要求完成。规范了项目档案资料的整理。项目的实施达到项目预期效果。</w:t>
      </w:r>
    </w:p>
    <w:p w14:paraId="13486F99">
      <w:pPr>
        <w:pStyle w:val="2"/>
        <w:widowControl w:val="0"/>
        <w:spacing w:before="0" w:after="0" w:line="560" w:lineRule="exact"/>
        <w:ind w:firstLine="643" w:firstLineChars="200"/>
        <w:jc w:val="both"/>
        <w:outlineLvl w:val="9"/>
        <w:rPr>
          <w:rFonts w:ascii="楷体" w:hAnsi="楷体" w:eastAsia="楷体" w:cs="楷体"/>
        </w:rPr>
      </w:pPr>
      <w:r>
        <w:rPr>
          <w:rFonts w:hint="eastAsia" w:ascii="楷体" w:hAnsi="楷体" w:eastAsia="楷体" w:cs="楷体"/>
        </w:rPr>
        <w:t>（二）评价结论</w:t>
      </w:r>
    </w:p>
    <w:p w14:paraId="4E20FF1E">
      <w:pPr>
        <w:pStyle w:val="2"/>
        <w:widowControl w:val="0"/>
        <w:spacing w:before="0" w:after="0" w:line="560" w:lineRule="exact"/>
        <w:ind w:firstLine="640" w:firstLineChars="200"/>
        <w:jc w:val="both"/>
        <w:outlineLvl w:val="9"/>
        <w:rPr>
          <w:rFonts w:ascii="仿宋" w:hAnsi="仿宋" w:eastAsia="仿宋"/>
          <w:b w:val="0"/>
          <w:bCs w:val="0"/>
        </w:rPr>
      </w:pPr>
      <w:r>
        <w:rPr>
          <w:rFonts w:ascii="仿宋" w:hAnsi="仿宋" w:eastAsia="仿宋"/>
          <w:b w:val="0"/>
          <w:bCs w:val="0"/>
        </w:rPr>
        <w:t>对</w:t>
      </w:r>
      <w:r>
        <w:rPr>
          <w:rFonts w:hint="eastAsia" w:ascii="仿宋" w:hAnsi="仿宋" w:eastAsia="仿宋"/>
          <w:b w:val="0"/>
          <w:bCs w:val="0"/>
        </w:rPr>
        <w:t>医院政府采购</w:t>
      </w:r>
      <w:r>
        <w:rPr>
          <w:rFonts w:ascii="仿宋" w:hAnsi="仿宋" w:eastAsia="仿宋"/>
          <w:b w:val="0"/>
          <w:bCs w:val="0"/>
        </w:rPr>
        <w:t>项目进行客观评价，最终评分结果：总得分为</w:t>
      </w:r>
      <w:r>
        <w:rPr>
          <w:rFonts w:hint="eastAsia" w:ascii="仿宋" w:hAnsi="仿宋" w:eastAsia="仿宋"/>
          <w:b w:val="0"/>
          <w:bCs w:val="0"/>
        </w:rPr>
        <w:t>99.19</w:t>
      </w:r>
      <w:r>
        <w:rPr>
          <w:rFonts w:ascii="仿宋" w:hAnsi="仿宋" w:eastAsia="仿宋"/>
          <w:b w:val="0"/>
          <w:bCs w:val="0"/>
        </w:rPr>
        <w:t>分，</w:t>
      </w:r>
      <w:r>
        <w:rPr>
          <w:rFonts w:ascii="仿宋" w:hAnsi="仿宋" w:eastAsia="仿宋"/>
          <w:b w:val="0"/>
          <w:bCs w:val="0"/>
          <w:color w:val="000000" w:themeColor="text1"/>
        </w:rPr>
        <w:t>属于“优”。其</w:t>
      </w:r>
      <w:r>
        <w:rPr>
          <w:rFonts w:ascii="仿宋" w:hAnsi="仿宋" w:eastAsia="仿宋"/>
          <w:b w:val="0"/>
          <w:bCs w:val="0"/>
        </w:rPr>
        <w:t>中，项目决策类指标权重为20分，得分为</w:t>
      </w:r>
      <w:r>
        <w:rPr>
          <w:rFonts w:hint="eastAsia" w:ascii="仿宋" w:hAnsi="仿宋" w:eastAsia="仿宋"/>
          <w:b w:val="0"/>
          <w:bCs w:val="0"/>
        </w:rPr>
        <w:t>20</w:t>
      </w:r>
      <w:r>
        <w:rPr>
          <w:rFonts w:ascii="仿宋" w:hAnsi="仿宋" w:eastAsia="仿宋"/>
          <w:b w:val="0"/>
          <w:bCs w:val="0"/>
        </w:rPr>
        <w:t xml:space="preserve">分，得分率为 </w:t>
      </w:r>
      <w:r>
        <w:rPr>
          <w:rFonts w:hint="eastAsia" w:ascii="仿宋" w:hAnsi="仿宋" w:eastAsia="仿宋"/>
          <w:b w:val="0"/>
          <w:bCs w:val="0"/>
        </w:rPr>
        <w:t>100</w:t>
      </w:r>
      <w:r>
        <w:rPr>
          <w:rFonts w:ascii="仿宋" w:hAnsi="仿宋" w:eastAsia="仿宋"/>
          <w:b w:val="0"/>
          <w:bCs w:val="0"/>
        </w:rPr>
        <w:t>%。项目过程类指标权重为20分，得分为</w:t>
      </w:r>
      <w:r>
        <w:rPr>
          <w:rFonts w:hint="eastAsia" w:ascii="仿宋" w:hAnsi="仿宋" w:eastAsia="仿宋"/>
          <w:b w:val="0"/>
          <w:bCs w:val="0"/>
        </w:rPr>
        <w:t>19.19</w:t>
      </w:r>
      <w:r>
        <w:rPr>
          <w:rFonts w:ascii="仿宋" w:hAnsi="仿宋" w:eastAsia="仿宋"/>
          <w:b w:val="0"/>
          <w:bCs w:val="0"/>
        </w:rPr>
        <w:t>分，得分率为</w:t>
      </w:r>
      <w:r>
        <w:rPr>
          <w:rFonts w:hint="eastAsia" w:ascii="仿宋" w:hAnsi="仿宋" w:eastAsia="仿宋"/>
          <w:b w:val="0"/>
          <w:bCs w:val="0"/>
        </w:rPr>
        <w:t>95.95</w:t>
      </w:r>
      <w:r>
        <w:rPr>
          <w:rFonts w:ascii="仿宋" w:hAnsi="仿宋" w:eastAsia="仿宋"/>
          <w:b w:val="0"/>
          <w:bCs w:val="0"/>
        </w:rPr>
        <w:t>%。项目产出类指标权重为40分，得分为</w:t>
      </w:r>
      <w:r>
        <w:rPr>
          <w:rFonts w:hint="eastAsia" w:ascii="仿宋" w:hAnsi="仿宋" w:eastAsia="仿宋"/>
          <w:b w:val="0"/>
          <w:bCs w:val="0"/>
        </w:rPr>
        <w:t>40</w:t>
      </w:r>
      <w:r>
        <w:rPr>
          <w:rFonts w:ascii="仿宋" w:hAnsi="仿宋" w:eastAsia="仿宋"/>
          <w:b w:val="0"/>
          <w:bCs w:val="0"/>
        </w:rPr>
        <w:t xml:space="preserve">分，得分率为 </w:t>
      </w:r>
      <w:r>
        <w:rPr>
          <w:rFonts w:hint="eastAsia" w:ascii="仿宋" w:hAnsi="仿宋" w:eastAsia="仿宋"/>
          <w:b w:val="0"/>
          <w:bCs w:val="0"/>
        </w:rPr>
        <w:t>100</w:t>
      </w:r>
      <w:r>
        <w:rPr>
          <w:rFonts w:ascii="仿宋" w:hAnsi="仿宋" w:eastAsia="仿宋"/>
          <w:b w:val="0"/>
          <w:bCs w:val="0"/>
        </w:rPr>
        <w:t>%。项目效益类指标权重为20分，得分为</w:t>
      </w:r>
      <w:r>
        <w:rPr>
          <w:rFonts w:hint="eastAsia" w:ascii="仿宋" w:hAnsi="仿宋" w:eastAsia="仿宋"/>
          <w:b w:val="0"/>
          <w:bCs w:val="0"/>
        </w:rPr>
        <w:t>20</w:t>
      </w:r>
      <w:r>
        <w:rPr>
          <w:rFonts w:ascii="仿宋" w:hAnsi="仿宋" w:eastAsia="仿宋"/>
          <w:b w:val="0"/>
          <w:bCs w:val="0"/>
        </w:rPr>
        <w:t>分，得分率为</w:t>
      </w:r>
      <w:r>
        <w:rPr>
          <w:rFonts w:hint="eastAsia" w:ascii="仿宋" w:hAnsi="仿宋" w:eastAsia="仿宋"/>
          <w:b w:val="0"/>
          <w:bCs w:val="0"/>
        </w:rPr>
        <w:t>100</w:t>
      </w:r>
      <w:r>
        <w:rPr>
          <w:rFonts w:ascii="仿宋" w:hAnsi="仿宋" w:eastAsia="仿宋"/>
          <w:b w:val="0"/>
          <w:bCs w:val="0"/>
        </w:rPr>
        <w:t>%。</w:t>
      </w:r>
    </w:p>
    <w:p w14:paraId="328C4412">
      <w:pPr>
        <w:pStyle w:val="2"/>
        <w:rPr>
          <w:rFonts w:ascii="Times New Roman" w:hAnsi="Times New Roman" w:eastAsia="仿宋_GB2312"/>
          <w:sz w:val="30"/>
          <w:szCs w:val="30"/>
        </w:rPr>
      </w:pPr>
      <w:r>
        <w:rPr>
          <w:rFonts w:hint="eastAsia" w:ascii="Times New Roman" w:hAnsi="Times New Roman" w:eastAsia="仿宋_GB2312"/>
          <w:sz w:val="30"/>
          <w:szCs w:val="30"/>
        </w:rPr>
        <w:t>表</w:t>
      </w:r>
      <w:r>
        <w:rPr>
          <w:rFonts w:ascii="Times New Roman" w:hAnsi="Times New Roman" w:eastAsia="仿宋_GB2312"/>
          <w:sz w:val="30"/>
          <w:szCs w:val="30"/>
        </w:rPr>
        <w:t xml:space="preserve">1 </w:t>
      </w:r>
      <w:r>
        <w:rPr>
          <w:rFonts w:hint="eastAsia" w:ascii="Times New Roman" w:hAnsi="Times New Roman" w:eastAsia="仿宋_GB2312"/>
          <w:sz w:val="30"/>
          <w:szCs w:val="30"/>
        </w:rPr>
        <w:t>综合评分表</w:t>
      </w:r>
    </w:p>
    <w:tbl>
      <w:tblPr>
        <w:tblStyle w:val="12"/>
        <w:tblW w:w="8520" w:type="dxa"/>
        <w:tblInd w:w="93" w:type="dxa"/>
        <w:tblLayout w:type="fixed"/>
        <w:tblCellMar>
          <w:top w:w="0" w:type="dxa"/>
          <w:left w:w="108" w:type="dxa"/>
          <w:bottom w:w="0" w:type="dxa"/>
          <w:right w:w="108" w:type="dxa"/>
        </w:tblCellMar>
      </w:tblPr>
      <w:tblGrid>
        <w:gridCol w:w="724"/>
        <w:gridCol w:w="709"/>
        <w:gridCol w:w="1276"/>
        <w:gridCol w:w="1275"/>
        <w:gridCol w:w="709"/>
        <w:gridCol w:w="992"/>
        <w:gridCol w:w="993"/>
        <w:gridCol w:w="1045"/>
        <w:gridCol w:w="797"/>
      </w:tblGrid>
      <w:tr w14:paraId="3B846F38">
        <w:tblPrEx>
          <w:tblCellMar>
            <w:top w:w="0" w:type="dxa"/>
            <w:left w:w="108" w:type="dxa"/>
            <w:bottom w:w="0" w:type="dxa"/>
            <w:right w:w="108" w:type="dxa"/>
          </w:tblCellMar>
        </w:tblPrEx>
        <w:trPr>
          <w:trHeight w:val="435" w:hRule="atLeast"/>
          <w:tblHeader/>
        </w:trPr>
        <w:tc>
          <w:tcPr>
            <w:tcW w:w="724" w:type="dxa"/>
            <w:tcBorders>
              <w:top w:val="single" w:color="000000" w:sz="8" w:space="0"/>
              <w:left w:val="single" w:color="000000" w:sz="8" w:space="0"/>
              <w:bottom w:val="single" w:color="000000" w:sz="8" w:space="0"/>
              <w:right w:val="single" w:color="000000" w:sz="8" w:space="0"/>
            </w:tcBorders>
            <w:shd w:val="clear" w:color="auto" w:fill="BEBEBE" w:themeFill="background1" w:themeFillShade="BF"/>
            <w:vAlign w:val="center"/>
          </w:tcPr>
          <w:p w14:paraId="771F26AA">
            <w:pPr>
              <w:widowControl/>
              <w:rPr>
                <w:rFonts w:ascii="宋体" w:hAnsi="宋体" w:cs="宋体"/>
                <w:b/>
                <w:bCs/>
                <w:color w:val="000000"/>
                <w:kern w:val="0"/>
                <w:sz w:val="22"/>
                <w:szCs w:val="22"/>
              </w:rPr>
            </w:pPr>
            <w:r>
              <w:rPr>
                <w:rFonts w:hint="eastAsia" w:ascii="宋体" w:hAnsi="宋体" w:cs="宋体"/>
                <w:b/>
                <w:bCs/>
                <w:color w:val="000000"/>
                <w:kern w:val="0"/>
                <w:sz w:val="22"/>
                <w:szCs w:val="22"/>
              </w:rPr>
              <w:t>一级指标</w:t>
            </w:r>
          </w:p>
        </w:tc>
        <w:tc>
          <w:tcPr>
            <w:tcW w:w="709"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4B350E21">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分值</w:t>
            </w:r>
          </w:p>
        </w:tc>
        <w:tc>
          <w:tcPr>
            <w:tcW w:w="1276"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4D2F0A81">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二级指标</w:t>
            </w:r>
          </w:p>
        </w:tc>
        <w:tc>
          <w:tcPr>
            <w:tcW w:w="1275"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56F1F1EE">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三级指标</w:t>
            </w:r>
          </w:p>
        </w:tc>
        <w:tc>
          <w:tcPr>
            <w:tcW w:w="709"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1D245C11">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权重</w:t>
            </w:r>
          </w:p>
        </w:tc>
        <w:tc>
          <w:tcPr>
            <w:tcW w:w="992"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617A50CC">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目标值</w:t>
            </w:r>
          </w:p>
        </w:tc>
        <w:tc>
          <w:tcPr>
            <w:tcW w:w="993"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6E1D49EA">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业绩值</w:t>
            </w:r>
          </w:p>
        </w:tc>
        <w:tc>
          <w:tcPr>
            <w:tcW w:w="1045"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0DED3FD7">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得分率</w:t>
            </w:r>
          </w:p>
        </w:tc>
        <w:tc>
          <w:tcPr>
            <w:tcW w:w="797"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7135B287">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得分</w:t>
            </w:r>
          </w:p>
        </w:tc>
      </w:tr>
      <w:tr w14:paraId="43645076">
        <w:tblPrEx>
          <w:tblCellMar>
            <w:top w:w="0" w:type="dxa"/>
            <w:left w:w="108" w:type="dxa"/>
            <w:bottom w:w="0" w:type="dxa"/>
            <w:right w:w="108" w:type="dxa"/>
          </w:tblCellMar>
        </w:tblPrEx>
        <w:trPr>
          <w:trHeight w:val="270" w:hRule="atLeast"/>
        </w:trPr>
        <w:tc>
          <w:tcPr>
            <w:tcW w:w="724" w:type="dxa"/>
            <w:vMerge w:val="restart"/>
            <w:tcBorders>
              <w:top w:val="nil"/>
              <w:left w:val="single" w:color="000000" w:sz="8" w:space="0"/>
              <w:bottom w:val="single" w:color="000000" w:sz="8" w:space="0"/>
              <w:right w:val="single" w:color="000000" w:sz="8" w:space="0"/>
            </w:tcBorders>
            <w:shd w:val="clear" w:color="auto" w:fill="FFFFFF"/>
            <w:vAlign w:val="center"/>
          </w:tcPr>
          <w:p w14:paraId="4D8C45F0">
            <w:pPr>
              <w:widowControl/>
              <w:jc w:val="center"/>
              <w:rPr>
                <w:rFonts w:ascii="宋体" w:hAnsi="宋体" w:cs="宋体"/>
                <w:color w:val="000000"/>
                <w:kern w:val="0"/>
                <w:sz w:val="22"/>
                <w:szCs w:val="22"/>
              </w:rPr>
            </w:pPr>
            <w:r>
              <w:rPr>
                <w:rFonts w:hint="eastAsia" w:ascii="宋体" w:hAnsi="宋体" w:cs="宋体"/>
                <w:color w:val="000000"/>
                <w:kern w:val="0"/>
                <w:sz w:val="22"/>
                <w:szCs w:val="22"/>
              </w:rPr>
              <w:t>决策　</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0309652E">
            <w:pPr>
              <w:widowControl/>
              <w:jc w:val="center"/>
              <w:rPr>
                <w:color w:val="000000"/>
                <w:kern w:val="0"/>
                <w:sz w:val="22"/>
                <w:szCs w:val="22"/>
              </w:rPr>
            </w:pPr>
            <w:r>
              <w:rPr>
                <w:color w:val="000000"/>
                <w:kern w:val="0"/>
                <w:sz w:val="22"/>
                <w:szCs w:val="22"/>
              </w:rPr>
              <w:t>20</w:t>
            </w:r>
            <w:r>
              <w:rPr>
                <w:rFonts w:hint="eastAsia" w:ascii="宋体" w:hAnsi="宋体"/>
                <w:color w:val="000000"/>
                <w:kern w:val="0"/>
                <w:sz w:val="22"/>
                <w:szCs w:val="22"/>
              </w:rPr>
              <w:t>分</w:t>
            </w:r>
          </w:p>
        </w:tc>
        <w:tc>
          <w:tcPr>
            <w:tcW w:w="1276" w:type="dxa"/>
            <w:vMerge w:val="restart"/>
            <w:tcBorders>
              <w:top w:val="nil"/>
              <w:left w:val="single" w:color="000000" w:sz="8" w:space="0"/>
              <w:bottom w:val="single" w:color="000000" w:sz="8" w:space="0"/>
              <w:right w:val="single" w:color="000000" w:sz="8" w:space="0"/>
            </w:tcBorders>
            <w:shd w:val="clear" w:color="auto" w:fill="FFFFFF"/>
            <w:vAlign w:val="center"/>
          </w:tcPr>
          <w:p w14:paraId="190D534D">
            <w:pPr>
              <w:widowControl/>
              <w:jc w:val="center"/>
              <w:rPr>
                <w:rFonts w:ascii="宋体" w:hAnsi="宋体" w:cs="宋体"/>
                <w:color w:val="000000"/>
                <w:kern w:val="0"/>
                <w:sz w:val="22"/>
                <w:szCs w:val="22"/>
              </w:rPr>
            </w:pPr>
            <w:r>
              <w:rPr>
                <w:rFonts w:hint="eastAsia" w:ascii="宋体" w:hAnsi="宋体" w:cs="宋体"/>
                <w:color w:val="000000"/>
                <w:kern w:val="0"/>
                <w:sz w:val="22"/>
                <w:szCs w:val="22"/>
              </w:rPr>
              <w:t>项目立项　</w:t>
            </w:r>
          </w:p>
        </w:tc>
        <w:tc>
          <w:tcPr>
            <w:tcW w:w="1275" w:type="dxa"/>
            <w:tcBorders>
              <w:top w:val="nil"/>
              <w:left w:val="nil"/>
              <w:bottom w:val="nil"/>
              <w:right w:val="single" w:color="000000" w:sz="8" w:space="0"/>
            </w:tcBorders>
            <w:shd w:val="clear" w:color="auto" w:fill="FFFFFF"/>
            <w:vAlign w:val="center"/>
          </w:tcPr>
          <w:p w14:paraId="332FB470">
            <w:pPr>
              <w:widowControl/>
              <w:jc w:val="center"/>
              <w:rPr>
                <w:rFonts w:ascii="宋体" w:hAnsi="宋体" w:cs="宋体"/>
                <w:color w:val="000000"/>
                <w:kern w:val="0"/>
                <w:sz w:val="22"/>
                <w:szCs w:val="22"/>
              </w:rPr>
            </w:pPr>
            <w:r>
              <w:rPr>
                <w:rFonts w:hint="eastAsia" w:ascii="宋体" w:hAnsi="宋体" w:cs="宋体"/>
                <w:color w:val="000000"/>
                <w:kern w:val="0"/>
                <w:sz w:val="22"/>
                <w:szCs w:val="22"/>
              </w:rPr>
              <w:t>立项依据</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3205F3E7">
            <w:pPr>
              <w:widowControl/>
              <w:jc w:val="center"/>
              <w:rPr>
                <w:color w:val="000000"/>
                <w:kern w:val="0"/>
                <w:sz w:val="22"/>
                <w:szCs w:val="22"/>
              </w:rPr>
            </w:pPr>
            <w:r>
              <w:rPr>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5DF0083E">
            <w:pPr>
              <w:widowControl/>
              <w:jc w:val="center"/>
              <w:rPr>
                <w:rFonts w:ascii="宋体" w:hAnsi="宋体" w:cs="宋体"/>
                <w:color w:val="000000"/>
                <w:kern w:val="0"/>
                <w:sz w:val="22"/>
                <w:szCs w:val="22"/>
              </w:rPr>
            </w:pPr>
            <w:r>
              <w:rPr>
                <w:rFonts w:hint="eastAsia" w:ascii="宋体" w:hAnsi="宋体" w:cs="宋体"/>
                <w:color w:val="000000"/>
                <w:kern w:val="0"/>
                <w:sz w:val="22"/>
                <w:szCs w:val="22"/>
              </w:rPr>
              <w:t>充分</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27836694">
            <w:pPr>
              <w:widowControl/>
              <w:jc w:val="center"/>
              <w:rPr>
                <w:rFonts w:ascii="宋体" w:hAnsi="宋体" w:cs="宋体"/>
                <w:color w:val="000000"/>
                <w:kern w:val="0"/>
                <w:sz w:val="22"/>
                <w:szCs w:val="22"/>
              </w:rPr>
            </w:pPr>
            <w:r>
              <w:rPr>
                <w:rFonts w:hint="eastAsia" w:ascii="宋体" w:hAnsi="宋体" w:cs="宋体"/>
                <w:color w:val="000000"/>
                <w:kern w:val="0"/>
                <w:sz w:val="22"/>
                <w:szCs w:val="22"/>
              </w:rPr>
              <w:t>充分</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398FA2D7">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7FE10FF1">
            <w:pPr>
              <w:widowControl/>
              <w:jc w:val="center"/>
              <w:rPr>
                <w:color w:val="000000"/>
                <w:kern w:val="0"/>
                <w:sz w:val="22"/>
                <w:szCs w:val="22"/>
              </w:rPr>
            </w:pPr>
            <w:r>
              <w:rPr>
                <w:color w:val="000000"/>
                <w:kern w:val="0"/>
                <w:sz w:val="22"/>
                <w:szCs w:val="22"/>
              </w:rPr>
              <w:t>3</w:t>
            </w:r>
          </w:p>
        </w:tc>
      </w:tr>
      <w:tr w14:paraId="60BBC461">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51168107">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333B91F2">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2F8E7AD7">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697D47D8">
            <w:pPr>
              <w:widowControl/>
              <w:jc w:val="center"/>
              <w:rPr>
                <w:rFonts w:ascii="宋体" w:hAnsi="宋体" w:cs="宋体"/>
                <w:color w:val="000000"/>
                <w:kern w:val="0"/>
                <w:sz w:val="22"/>
                <w:szCs w:val="22"/>
              </w:rPr>
            </w:pPr>
            <w:r>
              <w:rPr>
                <w:rFonts w:hint="eastAsia" w:ascii="宋体" w:hAnsi="宋体" w:cs="宋体"/>
                <w:color w:val="000000"/>
                <w:kern w:val="0"/>
                <w:sz w:val="22"/>
                <w:szCs w:val="22"/>
              </w:rPr>
              <w:t>充分性</w:t>
            </w:r>
          </w:p>
        </w:tc>
        <w:tc>
          <w:tcPr>
            <w:tcW w:w="709" w:type="dxa"/>
            <w:vMerge w:val="continue"/>
            <w:tcBorders>
              <w:top w:val="nil"/>
              <w:left w:val="single" w:color="000000" w:sz="8" w:space="0"/>
              <w:bottom w:val="single" w:color="000000" w:sz="8" w:space="0"/>
              <w:right w:val="single" w:color="000000" w:sz="8" w:space="0"/>
            </w:tcBorders>
            <w:vAlign w:val="center"/>
          </w:tcPr>
          <w:p w14:paraId="3BC9A8F6">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334C8302">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0B23500D">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720CECD7">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0CDA8D95">
            <w:pPr>
              <w:widowControl/>
              <w:jc w:val="left"/>
              <w:rPr>
                <w:color w:val="000000"/>
                <w:kern w:val="0"/>
                <w:sz w:val="22"/>
                <w:szCs w:val="22"/>
              </w:rPr>
            </w:pPr>
          </w:p>
        </w:tc>
      </w:tr>
      <w:tr w14:paraId="094D689D">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1DD588A0">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608FA156">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01296D25">
            <w:pPr>
              <w:widowControl/>
              <w:jc w:val="left"/>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auto" w:fill="FFFFFF"/>
            <w:vAlign w:val="center"/>
          </w:tcPr>
          <w:p w14:paraId="49267B1F">
            <w:pPr>
              <w:widowControl/>
              <w:jc w:val="center"/>
              <w:rPr>
                <w:rFonts w:ascii="宋体" w:hAnsi="宋体" w:cs="宋体"/>
                <w:color w:val="000000"/>
                <w:kern w:val="0"/>
                <w:sz w:val="22"/>
                <w:szCs w:val="22"/>
              </w:rPr>
            </w:pPr>
            <w:r>
              <w:rPr>
                <w:rFonts w:hint="eastAsia" w:ascii="宋体" w:hAnsi="宋体" w:cs="宋体"/>
                <w:color w:val="000000"/>
                <w:kern w:val="0"/>
                <w:sz w:val="22"/>
                <w:szCs w:val="22"/>
              </w:rPr>
              <w:t>立项程序</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48AF4128">
            <w:pPr>
              <w:widowControl/>
              <w:jc w:val="center"/>
              <w:rPr>
                <w:color w:val="000000"/>
                <w:kern w:val="0"/>
                <w:sz w:val="22"/>
                <w:szCs w:val="22"/>
              </w:rPr>
            </w:pPr>
            <w:r>
              <w:rPr>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7018E74E">
            <w:pPr>
              <w:widowControl/>
              <w:jc w:val="center"/>
              <w:rPr>
                <w:rFonts w:ascii="宋体" w:hAnsi="宋体" w:cs="宋体"/>
                <w:color w:val="000000"/>
                <w:kern w:val="0"/>
                <w:sz w:val="22"/>
                <w:szCs w:val="22"/>
              </w:rPr>
            </w:pPr>
            <w:r>
              <w:rPr>
                <w:rFonts w:hint="eastAsia" w:ascii="宋体" w:hAnsi="宋体" w:cs="宋体"/>
                <w:color w:val="000000"/>
                <w:kern w:val="0"/>
                <w:sz w:val="22"/>
                <w:szCs w:val="22"/>
              </w:rPr>
              <w:t>规范</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7BDAA072">
            <w:pPr>
              <w:widowControl/>
              <w:jc w:val="center"/>
              <w:rPr>
                <w:rFonts w:ascii="宋体" w:hAnsi="宋体" w:cs="宋体"/>
                <w:color w:val="000000"/>
                <w:kern w:val="0"/>
                <w:sz w:val="22"/>
                <w:szCs w:val="22"/>
              </w:rPr>
            </w:pPr>
            <w:r>
              <w:rPr>
                <w:rFonts w:hint="eastAsia" w:ascii="宋体" w:hAnsi="宋体" w:cs="宋体"/>
                <w:color w:val="000000"/>
                <w:kern w:val="0"/>
                <w:sz w:val="22"/>
                <w:szCs w:val="22"/>
              </w:rPr>
              <w:t>规范</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2C913054">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54998121">
            <w:pPr>
              <w:widowControl/>
              <w:jc w:val="center"/>
              <w:rPr>
                <w:color w:val="000000"/>
                <w:kern w:val="0"/>
                <w:sz w:val="22"/>
                <w:szCs w:val="22"/>
              </w:rPr>
            </w:pPr>
            <w:r>
              <w:rPr>
                <w:color w:val="000000"/>
                <w:kern w:val="0"/>
                <w:sz w:val="22"/>
                <w:szCs w:val="22"/>
              </w:rPr>
              <w:t>3</w:t>
            </w:r>
          </w:p>
        </w:tc>
      </w:tr>
      <w:tr w14:paraId="315BF469">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305E251A">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283D789C">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37DC90D1">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560607BE">
            <w:pPr>
              <w:widowControl/>
              <w:jc w:val="center"/>
              <w:rPr>
                <w:rFonts w:ascii="宋体" w:hAnsi="宋体" w:cs="宋体"/>
                <w:color w:val="000000"/>
                <w:kern w:val="0"/>
                <w:sz w:val="22"/>
                <w:szCs w:val="22"/>
              </w:rPr>
            </w:pPr>
            <w:r>
              <w:rPr>
                <w:rFonts w:hint="eastAsia" w:ascii="宋体" w:hAnsi="宋体" w:cs="宋体"/>
                <w:color w:val="000000"/>
                <w:kern w:val="0"/>
                <w:sz w:val="22"/>
                <w:szCs w:val="22"/>
              </w:rPr>
              <w:t>规范性</w:t>
            </w:r>
          </w:p>
        </w:tc>
        <w:tc>
          <w:tcPr>
            <w:tcW w:w="709" w:type="dxa"/>
            <w:vMerge w:val="continue"/>
            <w:tcBorders>
              <w:top w:val="nil"/>
              <w:left w:val="single" w:color="000000" w:sz="8" w:space="0"/>
              <w:bottom w:val="single" w:color="000000" w:sz="8" w:space="0"/>
              <w:right w:val="single" w:color="000000" w:sz="8" w:space="0"/>
            </w:tcBorders>
            <w:vAlign w:val="center"/>
          </w:tcPr>
          <w:p w14:paraId="64F372D5">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3366F6EC">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4DBF886E">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70BC4EAE">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4FFA5184">
            <w:pPr>
              <w:widowControl/>
              <w:jc w:val="left"/>
              <w:rPr>
                <w:color w:val="000000"/>
                <w:kern w:val="0"/>
                <w:sz w:val="22"/>
                <w:szCs w:val="22"/>
              </w:rPr>
            </w:pPr>
          </w:p>
        </w:tc>
      </w:tr>
      <w:tr w14:paraId="314A95A9">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2D5DEC5C">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009A6602">
            <w:pPr>
              <w:widowControl/>
              <w:jc w:val="left"/>
              <w:rPr>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auto" w:fill="FFFFFF"/>
            <w:vAlign w:val="center"/>
          </w:tcPr>
          <w:p w14:paraId="27DB3265">
            <w:pPr>
              <w:widowControl/>
              <w:jc w:val="center"/>
              <w:rPr>
                <w:rFonts w:ascii="宋体" w:hAnsi="宋体" w:cs="宋体"/>
                <w:color w:val="000000"/>
                <w:kern w:val="0"/>
                <w:sz w:val="22"/>
                <w:szCs w:val="22"/>
              </w:rPr>
            </w:pPr>
            <w:r>
              <w:rPr>
                <w:rFonts w:hint="eastAsia" w:ascii="宋体" w:hAnsi="宋体" w:cs="宋体"/>
                <w:color w:val="000000"/>
                <w:kern w:val="0"/>
                <w:sz w:val="22"/>
                <w:szCs w:val="22"/>
              </w:rPr>
              <w:t>绩效目标　</w:t>
            </w:r>
          </w:p>
        </w:tc>
        <w:tc>
          <w:tcPr>
            <w:tcW w:w="1275" w:type="dxa"/>
            <w:tcBorders>
              <w:top w:val="nil"/>
              <w:left w:val="nil"/>
              <w:bottom w:val="nil"/>
              <w:right w:val="single" w:color="000000" w:sz="8" w:space="0"/>
            </w:tcBorders>
            <w:shd w:val="clear" w:color="auto" w:fill="FFFFFF"/>
            <w:vAlign w:val="center"/>
          </w:tcPr>
          <w:p w14:paraId="64338E3D">
            <w:pPr>
              <w:widowControl/>
              <w:jc w:val="center"/>
              <w:rPr>
                <w:rFonts w:ascii="宋体" w:hAnsi="宋体" w:cs="宋体"/>
                <w:color w:val="000000"/>
                <w:kern w:val="0"/>
                <w:sz w:val="22"/>
                <w:szCs w:val="22"/>
              </w:rPr>
            </w:pPr>
            <w:r>
              <w:rPr>
                <w:rFonts w:hint="eastAsia" w:ascii="宋体" w:hAnsi="宋体" w:cs="宋体"/>
                <w:color w:val="000000"/>
                <w:kern w:val="0"/>
                <w:sz w:val="22"/>
                <w:szCs w:val="22"/>
              </w:rPr>
              <w:t>绩效目标</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7B242A28">
            <w:pPr>
              <w:widowControl/>
              <w:jc w:val="center"/>
              <w:rPr>
                <w:color w:val="000000"/>
                <w:kern w:val="0"/>
                <w:sz w:val="22"/>
                <w:szCs w:val="22"/>
              </w:rPr>
            </w:pPr>
            <w:r>
              <w:rPr>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0E4A1184">
            <w:pPr>
              <w:widowControl/>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39CB2A41">
            <w:pPr>
              <w:widowControl/>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36D9FCEC">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27DF29E9">
            <w:pPr>
              <w:widowControl/>
              <w:jc w:val="center"/>
              <w:rPr>
                <w:color w:val="000000"/>
                <w:kern w:val="0"/>
                <w:sz w:val="22"/>
                <w:szCs w:val="22"/>
              </w:rPr>
            </w:pPr>
            <w:r>
              <w:rPr>
                <w:color w:val="000000"/>
                <w:kern w:val="0"/>
                <w:sz w:val="22"/>
                <w:szCs w:val="22"/>
              </w:rPr>
              <w:t>3</w:t>
            </w:r>
          </w:p>
        </w:tc>
      </w:tr>
      <w:tr w14:paraId="55BAF416">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04FCA8AE">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22F3860B">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65A629FA">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52831983">
            <w:pPr>
              <w:widowControl/>
              <w:jc w:val="center"/>
              <w:rPr>
                <w:rFonts w:ascii="宋体" w:hAnsi="宋体" w:cs="宋体"/>
                <w:color w:val="000000"/>
                <w:kern w:val="0"/>
                <w:sz w:val="22"/>
                <w:szCs w:val="22"/>
              </w:rPr>
            </w:pPr>
            <w:r>
              <w:rPr>
                <w:rFonts w:hint="eastAsia" w:ascii="宋体" w:hAnsi="宋体" w:cs="宋体"/>
                <w:color w:val="000000"/>
                <w:kern w:val="0"/>
                <w:sz w:val="22"/>
                <w:szCs w:val="22"/>
              </w:rPr>
              <w:t>合理性</w:t>
            </w:r>
          </w:p>
        </w:tc>
        <w:tc>
          <w:tcPr>
            <w:tcW w:w="709" w:type="dxa"/>
            <w:vMerge w:val="continue"/>
            <w:tcBorders>
              <w:top w:val="nil"/>
              <w:left w:val="single" w:color="000000" w:sz="8" w:space="0"/>
              <w:bottom w:val="single" w:color="000000" w:sz="8" w:space="0"/>
              <w:right w:val="single" w:color="000000" w:sz="8" w:space="0"/>
            </w:tcBorders>
            <w:vAlign w:val="center"/>
          </w:tcPr>
          <w:p w14:paraId="1BF7573F">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2DACC91B">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627BADB4">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4FB60E23">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6D9962CC">
            <w:pPr>
              <w:widowControl/>
              <w:jc w:val="left"/>
              <w:rPr>
                <w:color w:val="000000"/>
                <w:kern w:val="0"/>
                <w:sz w:val="22"/>
                <w:szCs w:val="22"/>
              </w:rPr>
            </w:pPr>
          </w:p>
        </w:tc>
      </w:tr>
      <w:tr w14:paraId="227CC391">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502BCA00">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2A16F55E">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21DEE42C">
            <w:pPr>
              <w:widowControl/>
              <w:jc w:val="left"/>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auto" w:fill="FFFFFF"/>
            <w:vAlign w:val="center"/>
          </w:tcPr>
          <w:p w14:paraId="6F4DA9B0">
            <w:pPr>
              <w:widowControl/>
              <w:jc w:val="center"/>
              <w:rPr>
                <w:rFonts w:ascii="宋体" w:hAnsi="宋体" w:cs="宋体"/>
                <w:color w:val="000000"/>
                <w:kern w:val="0"/>
                <w:sz w:val="22"/>
                <w:szCs w:val="22"/>
              </w:rPr>
            </w:pPr>
            <w:r>
              <w:rPr>
                <w:rFonts w:hint="eastAsia" w:ascii="宋体" w:hAnsi="宋体" w:cs="宋体"/>
                <w:color w:val="000000"/>
                <w:kern w:val="0"/>
                <w:sz w:val="22"/>
                <w:szCs w:val="22"/>
              </w:rPr>
              <w:t>绩效指标</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5385BDB4">
            <w:pPr>
              <w:widowControl/>
              <w:jc w:val="center"/>
              <w:rPr>
                <w:color w:val="000000"/>
                <w:kern w:val="0"/>
                <w:sz w:val="22"/>
                <w:szCs w:val="22"/>
              </w:rPr>
            </w:pPr>
            <w:r>
              <w:rPr>
                <w:color w:val="000000"/>
                <w:kern w:val="0"/>
                <w:sz w:val="22"/>
                <w:szCs w:val="22"/>
              </w:rPr>
              <w:t>3</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75B1950B">
            <w:pPr>
              <w:widowControl/>
              <w:jc w:val="center"/>
              <w:rPr>
                <w:rFonts w:ascii="宋体" w:hAnsi="宋体" w:cs="宋体"/>
                <w:color w:val="000000"/>
                <w:kern w:val="0"/>
                <w:sz w:val="22"/>
                <w:szCs w:val="22"/>
              </w:rPr>
            </w:pPr>
            <w:r>
              <w:rPr>
                <w:rFonts w:hint="eastAsia" w:ascii="宋体" w:hAnsi="宋体" w:cs="宋体"/>
                <w:color w:val="000000"/>
                <w:kern w:val="0"/>
                <w:sz w:val="22"/>
                <w:szCs w:val="22"/>
              </w:rPr>
              <w:t>明确</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08994FD6">
            <w:pPr>
              <w:widowControl/>
              <w:jc w:val="center"/>
              <w:rPr>
                <w:rFonts w:ascii="宋体" w:hAnsi="宋体" w:cs="宋体"/>
                <w:color w:val="000000"/>
                <w:kern w:val="0"/>
                <w:sz w:val="22"/>
                <w:szCs w:val="22"/>
              </w:rPr>
            </w:pPr>
            <w:r>
              <w:rPr>
                <w:rFonts w:hint="eastAsia" w:ascii="宋体" w:hAnsi="宋体" w:cs="宋体"/>
                <w:color w:val="000000"/>
                <w:kern w:val="0"/>
                <w:sz w:val="22"/>
                <w:szCs w:val="22"/>
              </w:rPr>
              <w:t>明确</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79488093">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39EE1B67">
            <w:pPr>
              <w:widowControl/>
              <w:jc w:val="center"/>
              <w:rPr>
                <w:color w:val="000000"/>
                <w:kern w:val="0"/>
                <w:sz w:val="22"/>
                <w:szCs w:val="22"/>
              </w:rPr>
            </w:pPr>
            <w:r>
              <w:rPr>
                <w:color w:val="000000"/>
                <w:kern w:val="0"/>
                <w:sz w:val="22"/>
                <w:szCs w:val="22"/>
              </w:rPr>
              <w:t>3</w:t>
            </w:r>
          </w:p>
        </w:tc>
      </w:tr>
      <w:tr w14:paraId="5C0FC582">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74DDD47A">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1543E1FF">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4A873909">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33330C6D">
            <w:pPr>
              <w:widowControl/>
              <w:jc w:val="center"/>
              <w:rPr>
                <w:rFonts w:ascii="宋体" w:hAnsi="宋体" w:cs="宋体"/>
                <w:color w:val="000000"/>
                <w:kern w:val="0"/>
                <w:sz w:val="22"/>
                <w:szCs w:val="22"/>
              </w:rPr>
            </w:pPr>
            <w:r>
              <w:rPr>
                <w:rFonts w:hint="eastAsia" w:ascii="宋体" w:hAnsi="宋体" w:cs="宋体"/>
                <w:color w:val="000000"/>
                <w:kern w:val="0"/>
                <w:sz w:val="22"/>
                <w:szCs w:val="22"/>
              </w:rPr>
              <w:t>明确性</w:t>
            </w:r>
          </w:p>
        </w:tc>
        <w:tc>
          <w:tcPr>
            <w:tcW w:w="709" w:type="dxa"/>
            <w:vMerge w:val="continue"/>
            <w:tcBorders>
              <w:top w:val="nil"/>
              <w:left w:val="single" w:color="000000" w:sz="8" w:space="0"/>
              <w:bottom w:val="single" w:color="000000" w:sz="8" w:space="0"/>
              <w:right w:val="single" w:color="000000" w:sz="8" w:space="0"/>
            </w:tcBorders>
            <w:vAlign w:val="center"/>
          </w:tcPr>
          <w:p w14:paraId="39633900">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38C60BD7">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6CECF3E8">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1DDD1C8A">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0F6762CA">
            <w:pPr>
              <w:widowControl/>
              <w:jc w:val="left"/>
              <w:rPr>
                <w:color w:val="000000"/>
                <w:kern w:val="0"/>
                <w:sz w:val="22"/>
                <w:szCs w:val="22"/>
              </w:rPr>
            </w:pPr>
          </w:p>
        </w:tc>
      </w:tr>
      <w:tr w14:paraId="14D9984F">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6DDAAFCA">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2FED232F">
            <w:pPr>
              <w:widowControl/>
              <w:jc w:val="left"/>
              <w:rPr>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auto" w:fill="FFFFFF"/>
            <w:vAlign w:val="center"/>
          </w:tcPr>
          <w:p w14:paraId="5591C179">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资金投入</w:t>
            </w:r>
          </w:p>
        </w:tc>
        <w:tc>
          <w:tcPr>
            <w:tcW w:w="1275" w:type="dxa"/>
            <w:tcBorders>
              <w:top w:val="nil"/>
              <w:left w:val="nil"/>
              <w:bottom w:val="nil"/>
              <w:right w:val="single" w:color="000000" w:sz="8" w:space="0"/>
            </w:tcBorders>
            <w:shd w:val="clear" w:color="auto" w:fill="FFFFFF"/>
            <w:vAlign w:val="center"/>
          </w:tcPr>
          <w:p w14:paraId="7F9A7739">
            <w:pPr>
              <w:widowControl/>
              <w:jc w:val="center"/>
              <w:rPr>
                <w:rFonts w:ascii="宋体" w:hAnsi="宋体" w:cs="宋体"/>
                <w:color w:val="000000"/>
                <w:kern w:val="0"/>
                <w:sz w:val="22"/>
                <w:szCs w:val="22"/>
              </w:rPr>
            </w:pPr>
            <w:r>
              <w:rPr>
                <w:rFonts w:hint="eastAsia" w:ascii="宋体" w:hAnsi="宋体" w:cs="宋体"/>
                <w:color w:val="000000"/>
                <w:kern w:val="0"/>
                <w:sz w:val="22"/>
                <w:szCs w:val="22"/>
              </w:rPr>
              <w:t>预算编制</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67633B24">
            <w:pPr>
              <w:widowControl/>
              <w:jc w:val="center"/>
              <w:rPr>
                <w:color w:val="000000"/>
                <w:kern w:val="0"/>
                <w:sz w:val="22"/>
                <w:szCs w:val="22"/>
              </w:rPr>
            </w:pPr>
            <w:r>
              <w:rPr>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14A3C2D8">
            <w:pPr>
              <w:widowControl/>
              <w:jc w:val="center"/>
              <w:rPr>
                <w:rFonts w:ascii="宋体" w:hAnsi="宋体" w:cs="宋体"/>
                <w:color w:val="000000"/>
                <w:kern w:val="0"/>
                <w:sz w:val="22"/>
                <w:szCs w:val="22"/>
              </w:rPr>
            </w:pPr>
            <w:r>
              <w:rPr>
                <w:rFonts w:hint="eastAsia" w:ascii="宋体" w:hAnsi="宋体" w:cs="宋体"/>
                <w:color w:val="000000"/>
                <w:kern w:val="0"/>
                <w:sz w:val="22"/>
                <w:szCs w:val="22"/>
              </w:rPr>
              <w:t>科学</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561AC20B">
            <w:pPr>
              <w:widowControl/>
              <w:jc w:val="center"/>
              <w:rPr>
                <w:rFonts w:ascii="宋体" w:hAnsi="宋体" w:cs="宋体"/>
                <w:color w:val="000000"/>
                <w:kern w:val="0"/>
                <w:sz w:val="22"/>
                <w:szCs w:val="22"/>
              </w:rPr>
            </w:pPr>
            <w:r>
              <w:rPr>
                <w:rFonts w:hint="eastAsia" w:ascii="宋体" w:hAnsi="宋体" w:cs="宋体"/>
                <w:color w:val="000000"/>
                <w:kern w:val="0"/>
                <w:sz w:val="22"/>
                <w:szCs w:val="22"/>
              </w:rPr>
              <w:t>科学</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605F0183">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2EB5B273">
            <w:pPr>
              <w:widowControl/>
              <w:jc w:val="center"/>
              <w:rPr>
                <w:color w:val="000000"/>
                <w:kern w:val="0"/>
                <w:sz w:val="22"/>
                <w:szCs w:val="22"/>
              </w:rPr>
            </w:pPr>
            <w:r>
              <w:rPr>
                <w:color w:val="000000"/>
                <w:kern w:val="0"/>
                <w:sz w:val="22"/>
                <w:szCs w:val="22"/>
              </w:rPr>
              <w:t>4</w:t>
            </w:r>
          </w:p>
        </w:tc>
      </w:tr>
      <w:tr w14:paraId="7BF89DFE">
        <w:tblPrEx>
          <w:tblCellMar>
            <w:top w:w="0" w:type="dxa"/>
            <w:left w:w="108" w:type="dxa"/>
            <w:bottom w:w="0" w:type="dxa"/>
            <w:right w:w="108" w:type="dxa"/>
          </w:tblCellMar>
        </w:tblPrEx>
        <w:trPr>
          <w:trHeight w:val="90" w:hRule="atLeast"/>
        </w:trPr>
        <w:tc>
          <w:tcPr>
            <w:tcW w:w="724" w:type="dxa"/>
            <w:vMerge w:val="continue"/>
            <w:tcBorders>
              <w:top w:val="nil"/>
              <w:left w:val="single" w:color="000000" w:sz="8" w:space="0"/>
              <w:bottom w:val="single" w:color="000000" w:sz="8" w:space="0"/>
              <w:right w:val="single" w:color="000000" w:sz="8" w:space="0"/>
            </w:tcBorders>
            <w:vAlign w:val="center"/>
          </w:tcPr>
          <w:p w14:paraId="4375527C">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35010E24">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51336E74">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25BCD70E">
            <w:pPr>
              <w:widowControl/>
              <w:jc w:val="center"/>
              <w:rPr>
                <w:rFonts w:ascii="宋体" w:hAnsi="宋体" w:cs="宋体"/>
                <w:color w:val="000000"/>
                <w:kern w:val="0"/>
                <w:sz w:val="22"/>
                <w:szCs w:val="22"/>
              </w:rPr>
            </w:pPr>
            <w:r>
              <w:rPr>
                <w:rFonts w:hint="eastAsia" w:ascii="宋体" w:hAnsi="宋体" w:cs="宋体"/>
                <w:color w:val="000000"/>
                <w:kern w:val="0"/>
                <w:sz w:val="22"/>
                <w:szCs w:val="22"/>
              </w:rPr>
              <w:t>科学性</w:t>
            </w:r>
          </w:p>
        </w:tc>
        <w:tc>
          <w:tcPr>
            <w:tcW w:w="709" w:type="dxa"/>
            <w:vMerge w:val="continue"/>
            <w:tcBorders>
              <w:top w:val="nil"/>
              <w:left w:val="single" w:color="000000" w:sz="8" w:space="0"/>
              <w:bottom w:val="single" w:color="000000" w:sz="8" w:space="0"/>
              <w:right w:val="single" w:color="000000" w:sz="8" w:space="0"/>
            </w:tcBorders>
            <w:vAlign w:val="center"/>
          </w:tcPr>
          <w:p w14:paraId="0B157BE0">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2DF1782D">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7E1DD164">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3AF6F5E6">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476108B7">
            <w:pPr>
              <w:widowControl/>
              <w:jc w:val="left"/>
              <w:rPr>
                <w:color w:val="000000"/>
                <w:kern w:val="0"/>
                <w:sz w:val="22"/>
                <w:szCs w:val="22"/>
              </w:rPr>
            </w:pPr>
          </w:p>
        </w:tc>
      </w:tr>
      <w:tr w14:paraId="137B9DF4">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2A979562">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4E029674">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5183ABA9">
            <w:pPr>
              <w:widowControl/>
              <w:jc w:val="left"/>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auto" w:fill="FFFFFF"/>
            <w:vAlign w:val="center"/>
          </w:tcPr>
          <w:p w14:paraId="6666C9D5">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资金分配</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51B097C1">
            <w:pPr>
              <w:widowControl/>
              <w:jc w:val="center"/>
              <w:rPr>
                <w:color w:val="000000"/>
                <w:kern w:val="0"/>
                <w:sz w:val="22"/>
                <w:szCs w:val="22"/>
              </w:rPr>
            </w:pPr>
            <w:r>
              <w:rPr>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7F6F477C">
            <w:pPr>
              <w:widowControl/>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51A13B8E">
            <w:pPr>
              <w:widowControl/>
              <w:jc w:val="center"/>
              <w:rPr>
                <w:rFonts w:ascii="宋体" w:hAnsi="宋体" w:cs="宋体"/>
                <w:color w:val="000000"/>
                <w:kern w:val="0"/>
                <w:sz w:val="22"/>
                <w:szCs w:val="22"/>
              </w:rPr>
            </w:pPr>
            <w:r>
              <w:rPr>
                <w:rFonts w:hint="eastAsia" w:ascii="宋体" w:hAnsi="宋体" w:cs="宋体"/>
                <w:color w:val="000000"/>
                <w:kern w:val="0"/>
                <w:sz w:val="22"/>
                <w:szCs w:val="22"/>
              </w:rPr>
              <w:t>合理</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392BC3D7">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7D0EBF3F">
            <w:pPr>
              <w:widowControl/>
              <w:jc w:val="center"/>
              <w:rPr>
                <w:color w:val="000000"/>
                <w:kern w:val="0"/>
                <w:sz w:val="22"/>
                <w:szCs w:val="22"/>
              </w:rPr>
            </w:pPr>
            <w:r>
              <w:rPr>
                <w:color w:val="000000"/>
                <w:kern w:val="0"/>
                <w:sz w:val="22"/>
                <w:szCs w:val="22"/>
              </w:rPr>
              <w:t>4</w:t>
            </w:r>
          </w:p>
        </w:tc>
      </w:tr>
      <w:tr w14:paraId="11B3B957">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661506A2">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5D075485">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3362DED3">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1D5C070A">
            <w:pPr>
              <w:widowControl/>
              <w:jc w:val="center"/>
              <w:rPr>
                <w:rFonts w:ascii="宋体" w:hAnsi="宋体" w:cs="宋体"/>
                <w:color w:val="000000"/>
                <w:kern w:val="0"/>
                <w:sz w:val="22"/>
                <w:szCs w:val="22"/>
              </w:rPr>
            </w:pPr>
            <w:r>
              <w:rPr>
                <w:rFonts w:hint="eastAsia" w:ascii="宋体" w:hAnsi="宋体" w:cs="宋体"/>
                <w:color w:val="000000"/>
                <w:kern w:val="0"/>
                <w:sz w:val="22"/>
                <w:szCs w:val="22"/>
              </w:rPr>
              <w:t>合理性</w:t>
            </w:r>
          </w:p>
        </w:tc>
        <w:tc>
          <w:tcPr>
            <w:tcW w:w="709" w:type="dxa"/>
            <w:vMerge w:val="continue"/>
            <w:tcBorders>
              <w:top w:val="nil"/>
              <w:left w:val="single" w:color="000000" w:sz="8" w:space="0"/>
              <w:bottom w:val="single" w:color="000000" w:sz="8" w:space="0"/>
              <w:right w:val="single" w:color="000000" w:sz="8" w:space="0"/>
            </w:tcBorders>
            <w:vAlign w:val="center"/>
          </w:tcPr>
          <w:p w14:paraId="5BB143A0">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4CBB7256">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578C327B">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3B97B721">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30449136">
            <w:pPr>
              <w:widowControl/>
              <w:jc w:val="left"/>
              <w:rPr>
                <w:color w:val="000000"/>
                <w:kern w:val="0"/>
                <w:sz w:val="22"/>
                <w:szCs w:val="22"/>
              </w:rPr>
            </w:pPr>
          </w:p>
        </w:tc>
      </w:tr>
      <w:tr w14:paraId="36FC3B5E">
        <w:tblPrEx>
          <w:tblCellMar>
            <w:top w:w="0" w:type="dxa"/>
            <w:left w:w="108" w:type="dxa"/>
            <w:bottom w:w="0" w:type="dxa"/>
            <w:right w:w="108" w:type="dxa"/>
          </w:tblCellMar>
        </w:tblPrEx>
        <w:trPr>
          <w:trHeight w:val="555" w:hRule="atLeast"/>
        </w:trPr>
        <w:tc>
          <w:tcPr>
            <w:tcW w:w="724" w:type="dxa"/>
            <w:vMerge w:val="restart"/>
            <w:tcBorders>
              <w:top w:val="nil"/>
              <w:left w:val="single" w:color="000000" w:sz="8" w:space="0"/>
              <w:bottom w:val="single" w:color="000000" w:sz="8" w:space="0"/>
              <w:right w:val="single" w:color="000000" w:sz="8" w:space="0"/>
            </w:tcBorders>
            <w:shd w:val="clear" w:color="auto" w:fill="FFFFFF"/>
            <w:vAlign w:val="center"/>
          </w:tcPr>
          <w:p w14:paraId="1B8B030A">
            <w:pPr>
              <w:widowControl/>
              <w:jc w:val="center"/>
              <w:rPr>
                <w:rFonts w:ascii="宋体" w:hAnsi="宋体" w:cs="宋体"/>
                <w:color w:val="000000"/>
                <w:kern w:val="0"/>
                <w:sz w:val="22"/>
                <w:szCs w:val="22"/>
              </w:rPr>
            </w:pPr>
            <w:r>
              <w:rPr>
                <w:rFonts w:hint="eastAsia" w:ascii="宋体" w:hAnsi="宋体" w:cs="宋体"/>
                <w:color w:val="000000"/>
                <w:kern w:val="0"/>
                <w:sz w:val="22"/>
                <w:szCs w:val="22"/>
              </w:rPr>
              <w:t>过程</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4E9BDAC5">
            <w:pPr>
              <w:widowControl/>
              <w:jc w:val="center"/>
              <w:rPr>
                <w:color w:val="000000"/>
                <w:kern w:val="0"/>
                <w:sz w:val="22"/>
                <w:szCs w:val="22"/>
              </w:rPr>
            </w:pPr>
            <w:r>
              <w:rPr>
                <w:color w:val="000000"/>
                <w:kern w:val="0"/>
                <w:sz w:val="22"/>
                <w:szCs w:val="22"/>
              </w:rPr>
              <w:t>20</w:t>
            </w:r>
            <w:r>
              <w:rPr>
                <w:rFonts w:hint="eastAsia" w:ascii="宋体" w:hAnsi="宋体"/>
                <w:color w:val="000000"/>
                <w:kern w:val="0"/>
                <w:sz w:val="22"/>
                <w:szCs w:val="22"/>
              </w:rPr>
              <w:t>分</w:t>
            </w:r>
          </w:p>
        </w:tc>
        <w:tc>
          <w:tcPr>
            <w:tcW w:w="1276" w:type="dxa"/>
            <w:vMerge w:val="restart"/>
            <w:tcBorders>
              <w:top w:val="nil"/>
              <w:left w:val="single" w:color="000000" w:sz="8" w:space="0"/>
              <w:bottom w:val="single" w:color="000000" w:sz="8" w:space="0"/>
              <w:right w:val="single" w:color="000000" w:sz="8" w:space="0"/>
            </w:tcBorders>
            <w:shd w:val="clear" w:color="auto" w:fill="FFFFFF"/>
            <w:vAlign w:val="center"/>
          </w:tcPr>
          <w:p w14:paraId="681ED5FB">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资金管理</w:t>
            </w:r>
          </w:p>
        </w:tc>
        <w:tc>
          <w:tcPr>
            <w:tcW w:w="1275" w:type="dxa"/>
            <w:tcBorders>
              <w:top w:val="nil"/>
              <w:left w:val="nil"/>
              <w:bottom w:val="single" w:color="000000" w:sz="8" w:space="0"/>
              <w:right w:val="single" w:color="000000" w:sz="8" w:space="0"/>
            </w:tcBorders>
            <w:shd w:val="clear" w:color="auto" w:fill="FFFFFF"/>
            <w:vAlign w:val="center"/>
          </w:tcPr>
          <w:p w14:paraId="23C2C215">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资金到位率</w:t>
            </w:r>
          </w:p>
        </w:tc>
        <w:tc>
          <w:tcPr>
            <w:tcW w:w="709" w:type="dxa"/>
            <w:tcBorders>
              <w:top w:val="nil"/>
              <w:left w:val="nil"/>
              <w:bottom w:val="single" w:color="000000" w:sz="8" w:space="0"/>
              <w:right w:val="single" w:color="000000" w:sz="8" w:space="0"/>
            </w:tcBorders>
            <w:shd w:val="clear" w:color="auto" w:fill="FFFFFF"/>
            <w:vAlign w:val="center"/>
          </w:tcPr>
          <w:p w14:paraId="2FB7E49C">
            <w:pPr>
              <w:widowControl/>
              <w:jc w:val="center"/>
              <w:rPr>
                <w:color w:val="000000"/>
                <w:kern w:val="0"/>
                <w:sz w:val="22"/>
                <w:szCs w:val="22"/>
              </w:rPr>
            </w:pPr>
            <w:r>
              <w:rPr>
                <w:color w:val="000000"/>
                <w:kern w:val="0"/>
                <w:sz w:val="22"/>
                <w:szCs w:val="22"/>
              </w:rPr>
              <w:t>4</w:t>
            </w:r>
          </w:p>
        </w:tc>
        <w:tc>
          <w:tcPr>
            <w:tcW w:w="992" w:type="dxa"/>
            <w:tcBorders>
              <w:top w:val="nil"/>
              <w:left w:val="nil"/>
              <w:bottom w:val="single" w:color="000000" w:sz="8" w:space="0"/>
              <w:right w:val="single" w:color="000000" w:sz="8" w:space="0"/>
            </w:tcBorders>
            <w:shd w:val="clear" w:color="auto" w:fill="FFFFFF"/>
            <w:vAlign w:val="center"/>
          </w:tcPr>
          <w:p w14:paraId="2187570F">
            <w:pPr>
              <w:widowControl/>
              <w:jc w:val="center"/>
              <w:rPr>
                <w:color w:val="000000"/>
                <w:kern w:val="0"/>
                <w:sz w:val="22"/>
                <w:szCs w:val="22"/>
              </w:rPr>
            </w:pPr>
            <w:r>
              <w:rPr>
                <w:color w:val="000000"/>
                <w:kern w:val="0"/>
                <w:sz w:val="22"/>
                <w:szCs w:val="22"/>
              </w:rPr>
              <w:t>100%</w:t>
            </w:r>
          </w:p>
        </w:tc>
        <w:tc>
          <w:tcPr>
            <w:tcW w:w="993" w:type="dxa"/>
            <w:tcBorders>
              <w:top w:val="nil"/>
              <w:left w:val="nil"/>
              <w:bottom w:val="single" w:color="000000" w:sz="8" w:space="0"/>
              <w:right w:val="single" w:color="000000" w:sz="8" w:space="0"/>
            </w:tcBorders>
            <w:shd w:val="clear" w:color="auto" w:fill="FFFFFF"/>
            <w:vAlign w:val="center"/>
          </w:tcPr>
          <w:p w14:paraId="1C87855C">
            <w:pPr>
              <w:widowControl/>
              <w:jc w:val="center"/>
              <w:rPr>
                <w:color w:val="000000"/>
                <w:kern w:val="0"/>
                <w:sz w:val="22"/>
                <w:szCs w:val="22"/>
              </w:rPr>
            </w:pPr>
            <w:r>
              <w:rPr>
                <w:color w:val="000000"/>
                <w:kern w:val="0"/>
                <w:sz w:val="22"/>
                <w:szCs w:val="22"/>
              </w:rPr>
              <w:t>100%</w:t>
            </w:r>
          </w:p>
        </w:tc>
        <w:tc>
          <w:tcPr>
            <w:tcW w:w="1045" w:type="dxa"/>
            <w:tcBorders>
              <w:top w:val="nil"/>
              <w:left w:val="nil"/>
              <w:bottom w:val="single" w:color="000000" w:sz="8" w:space="0"/>
              <w:right w:val="single" w:color="000000" w:sz="8" w:space="0"/>
            </w:tcBorders>
            <w:shd w:val="clear" w:color="auto" w:fill="FFFFFF"/>
            <w:vAlign w:val="center"/>
          </w:tcPr>
          <w:p w14:paraId="33FEFECE">
            <w:pPr>
              <w:widowControl/>
              <w:jc w:val="center"/>
              <w:rPr>
                <w:color w:val="000000"/>
                <w:kern w:val="0"/>
                <w:sz w:val="22"/>
                <w:szCs w:val="22"/>
              </w:rPr>
            </w:pPr>
            <w:r>
              <w:rPr>
                <w:color w:val="000000"/>
                <w:kern w:val="0"/>
                <w:sz w:val="22"/>
                <w:szCs w:val="22"/>
              </w:rPr>
              <w:t>100%</w:t>
            </w:r>
          </w:p>
        </w:tc>
        <w:tc>
          <w:tcPr>
            <w:tcW w:w="797" w:type="dxa"/>
            <w:tcBorders>
              <w:top w:val="nil"/>
              <w:left w:val="nil"/>
              <w:bottom w:val="single" w:color="000000" w:sz="8" w:space="0"/>
              <w:right w:val="single" w:color="000000" w:sz="8" w:space="0"/>
            </w:tcBorders>
            <w:shd w:val="clear" w:color="auto" w:fill="FFFFFF"/>
            <w:vAlign w:val="center"/>
          </w:tcPr>
          <w:p w14:paraId="14A67756">
            <w:pPr>
              <w:widowControl/>
              <w:jc w:val="center"/>
              <w:rPr>
                <w:color w:val="000000"/>
                <w:kern w:val="0"/>
                <w:sz w:val="22"/>
                <w:szCs w:val="22"/>
              </w:rPr>
            </w:pPr>
            <w:r>
              <w:rPr>
                <w:color w:val="000000"/>
                <w:kern w:val="0"/>
                <w:sz w:val="22"/>
                <w:szCs w:val="22"/>
              </w:rPr>
              <w:t>4</w:t>
            </w:r>
          </w:p>
        </w:tc>
      </w:tr>
      <w:tr w14:paraId="1B79554B">
        <w:tblPrEx>
          <w:tblCellMar>
            <w:top w:w="0" w:type="dxa"/>
            <w:left w:w="108" w:type="dxa"/>
            <w:bottom w:w="0" w:type="dxa"/>
            <w:right w:w="108" w:type="dxa"/>
          </w:tblCellMar>
        </w:tblPrEx>
        <w:trPr>
          <w:trHeight w:val="555" w:hRule="atLeast"/>
        </w:trPr>
        <w:tc>
          <w:tcPr>
            <w:tcW w:w="724" w:type="dxa"/>
            <w:vMerge w:val="continue"/>
            <w:tcBorders>
              <w:top w:val="nil"/>
              <w:left w:val="single" w:color="000000" w:sz="8" w:space="0"/>
              <w:bottom w:val="single" w:color="000000" w:sz="8" w:space="0"/>
              <w:right w:val="single" w:color="000000" w:sz="8" w:space="0"/>
            </w:tcBorders>
            <w:vAlign w:val="center"/>
          </w:tcPr>
          <w:p w14:paraId="254345B9">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70513DD8">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44C15521">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6868E2B3">
            <w:pPr>
              <w:widowControl/>
              <w:jc w:val="center"/>
              <w:rPr>
                <w:rFonts w:ascii="宋体" w:hAnsi="宋体" w:cs="宋体"/>
                <w:color w:val="000000"/>
                <w:kern w:val="0"/>
                <w:sz w:val="22"/>
                <w:szCs w:val="22"/>
              </w:rPr>
            </w:pPr>
            <w:r>
              <w:rPr>
                <w:rFonts w:hint="eastAsia" w:ascii="宋体" w:hAnsi="宋体" w:cs="宋体"/>
                <w:color w:val="000000"/>
                <w:kern w:val="0"/>
                <w:sz w:val="22"/>
                <w:szCs w:val="22"/>
              </w:rPr>
              <w:t>预算执行率</w:t>
            </w:r>
          </w:p>
        </w:tc>
        <w:tc>
          <w:tcPr>
            <w:tcW w:w="709" w:type="dxa"/>
            <w:tcBorders>
              <w:top w:val="nil"/>
              <w:left w:val="nil"/>
              <w:bottom w:val="single" w:color="000000" w:sz="8" w:space="0"/>
              <w:right w:val="single" w:color="000000" w:sz="8" w:space="0"/>
            </w:tcBorders>
            <w:shd w:val="clear" w:color="auto" w:fill="FFFFFF"/>
            <w:vAlign w:val="center"/>
          </w:tcPr>
          <w:p w14:paraId="1CB13DA7">
            <w:pPr>
              <w:widowControl/>
              <w:jc w:val="center"/>
              <w:rPr>
                <w:color w:val="000000"/>
                <w:kern w:val="0"/>
                <w:sz w:val="22"/>
                <w:szCs w:val="22"/>
              </w:rPr>
            </w:pPr>
            <w:r>
              <w:rPr>
                <w:color w:val="000000"/>
                <w:kern w:val="0"/>
                <w:sz w:val="22"/>
                <w:szCs w:val="22"/>
              </w:rPr>
              <w:t>4</w:t>
            </w:r>
          </w:p>
        </w:tc>
        <w:tc>
          <w:tcPr>
            <w:tcW w:w="992" w:type="dxa"/>
            <w:tcBorders>
              <w:top w:val="nil"/>
              <w:left w:val="nil"/>
              <w:bottom w:val="single" w:color="000000" w:sz="8" w:space="0"/>
              <w:right w:val="single" w:color="000000" w:sz="8" w:space="0"/>
            </w:tcBorders>
            <w:shd w:val="clear" w:color="auto" w:fill="FFFFFF"/>
            <w:vAlign w:val="center"/>
          </w:tcPr>
          <w:p w14:paraId="3A30E4DC">
            <w:pPr>
              <w:widowControl/>
              <w:jc w:val="center"/>
              <w:rPr>
                <w:color w:val="000000"/>
                <w:kern w:val="0"/>
                <w:sz w:val="22"/>
                <w:szCs w:val="22"/>
              </w:rPr>
            </w:pPr>
            <w:r>
              <w:rPr>
                <w:color w:val="000000"/>
                <w:kern w:val="0"/>
                <w:sz w:val="22"/>
                <w:szCs w:val="22"/>
              </w:rPr>
              <w:t>100%</w:t>
            </w:r>
          </w:p>
        </w:tc>
        <w:tc>
          <w:tcPr>
            <w:tcW w:w="993" w:type="dxa"/>
            <w:tcBorders>
              <w:top w:val="nil"/>
              <w:left w:val="nil"/>
              <w:bottom w:val="single" w:color="000000" w:sz="8" w:space="0"/>
              <w:right w:val="single" w:color="000000" w:sz="8" w:space="0"/>
            </w:tcBorders>
            <w:shd w:val="clear" w:color="auto" w:fill="FFFFFF"/>
            <w:vAlign w:val="center"/>
          </w:tcPr>
          <w:p w14:paraId="53D2E735">
            <w:pPr>
              <w:widowControl/>
              <w:jc w:val="center"/>
              <w:rPr>
                <w:color w:val="000000"/>
                <w:kern w:val="0"/>
                <w:sz w:val="22"/>
                <w:szCs w:val="22"/>
              </w:rPr>
            </w:pPr>
            <w:r>
              <w:rPr>
                <w:rFonts w:hint="eastAsia"/>
                <w:color w:val="000000"/>
                <w:kern w:val="0"/>
                <w:sz w:val="22"/>
                <w:szCs w:val="22"/>
              </w:rPr>
              <w:t>79.81</w:t>
            </w:r>
            <w:r>
              <w:rPr>
                <w:color w:val="000000"/>
                <w:kern w:val="0"/>
                <w:sz w:val="22"/>
                <w:szCs w:val="22"/>
              </w:rPr>
              <w:t>%</w:t>
            </w:r>
          </w:p>
        </w:tc>
        <w:tc>
          <w:tcPr>
            <w:tcW w:w="1045" w:type="dxa"/>
            <w:tcBorders>
              <w:top w:val="nil"/>
              <w:left w:val="nil"/>
              <w:bottom w:val="single" w:color="000000" w:sz="8" w:space="0"/>
              <w:right w:val="single" w:color="000000" w:sz="8" w:space="0"/>
            </w:tcBorders>
            <w:shd w:val="clear" w:color="auto" w:fill="FFFFFF"/>
            <w:vAlign w:val="center"/>
          </w:tcPr>
          <w:p w14:paraId="3900E63D">
            <w:pPr>
              <w:widowControl/>
              <w:jc w:val="center"/>
              <w:rPr>
                <w:color w:val="000000"/>
                <w:kern w:val="0"/>
                <w:sz w:val="22"/>
                <w:szCs w:val="22"/>
              </w:rPr>
            </w:pPr>
            <w:r>
              <w:rPr>
                <w:rFonts w:hint="eastAsia"/>
                <w:color w:val="000000"/>
                <w:kern w:val="0"/>
                <w:sz w:val="22"/>
                <w:szCs w:val="22"/>
              </w:rPr>
              <w:t>79.81</w:t>
            </w:r>
            <w:r>
              <w:rPr>
                <w:color w:val="000000"/>
                <w:kern w:val="0"/>
                <w:sz w:val="22"/>
                <w:szCs w:val="22"/>
              </w:rPr>
              <w:t>%</w:t>
            </w:r>
          </w:p>
        </w:tc>
        <w:tc>
          <w:tcPr>
            <w:tcW w:w="797" w:type="dxa"/>
            <w:tcBorders>
              <w:top w:val="nil"/>
              <w:left w:val="nil"/>
              <w:bottom w:val="single" w:color="000000" w:sz="8" w:space="0"/>
              <w:right w:val="single" w:color="000000" w:sz="8" w:space="0"/>
            </w:tcBorders>
            <w:shd w:val="clear" w:color="auto" w:fill="FFFFFF"/>
            <w:vAlign w:val="center"/>
          </w:tcPr>
          <w:p w14:paraId="07BC2633">
            <w:pPr>
              <w:widowControl/>
              <w:jc w:val="center"/>
              <w:rPr>
                <w:color w:val="000000"/>
                <w:kern w:val="0"/>
                <w:sz w:val="22"/>
                <w:szCs w:val="22"/>
              </w:rPr>
            </w:pPr>
            <w:r>
              <w:rPr>
                <w:rFonts w:hint="eastAsia"/>
                <w:color w:val="000000"/>
                <w:kern w:val="0"/>
                <w:sz w:val="22"/>
                <w:szCs w:val="22"/>
              </w:rPr>
              <w:t>3.19</w:t>
            </w:r>
          </w:p>
        </w:tc>
      </w:tr>
      <w:tr w14:paraId="094D6CDB">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64488645">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4BC670FC">
            <w:pPr>
              <w:widowControl/>
              <w:jc w:val="left"/>
              <w:rPr>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auto" w:fill="FFFFFF"/>
            <w:vAlign w:val="center"/>
          </w:tcPr>
          <w:p w14:paraId="7BD54D7B">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资金管理</w:t>
            </w:r>
          </w:p>
        </w:tc>
        <w:tc>
          <w:tcPr>
            <w:tcW w:w="1275" w:type="dxa"/>
            <w:tcBorders>
              <w:top w:val="nil"/>
              <w:left w:val="nil"/>
              <w:bottom w:val="nil"/>
              <w:right w:val="single" w:color="000000" w:sz="8" w:space="0"/>
            </w:tcBorders>
            <w:shd w:val="clear" w:color="auto" w:fill="FFFFFF"/>
            <w:vAlign w:val="center"/>
          </w:tcPr>
          <w:p w14:paraId="58CE913A">
            <w:pPr>
              <w:widowControl/>
              <w:jc w:val="center"/>
              <w:rPr>
                <w:rFonts w:ascii="宋体" w:hAnsi="宋体" w:cs="宋体"/>
                <w:color w:val="000000"/>
                <w:kern w:val="0"/>
                <w:sz w:val="22"/>
                <w:szCs w:val="22"/>
              </w:rPr>
            </w:pPr>
            <w:r>
              <w:rPr>
                <w:rFonts w:hint="eastAsia" w:ascii="宋体" w:hAnsi="宋体" w:cs="宋体"/>
                <w:color w:val="000000"/>
                <w:kern w:val="0"/>
                <w:sz w:val="22"/>
                <w:szCs w:val="22"/>
              </w:rPr>
              <w:t>资金使用</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1FD86166">
            <w:pPr>
              <w:widowControl/>
              <w:jc w:val="center"/>
              <w:rPr>
                <w:color w:val="000000"/>
                <w:kern w:val="0"/>
                <w:sz w:val="22"/>
                <w:szCs w:val="22"/>
              </w:rPr>
            </w:pPr>
            <w:r>
              <w:rPr>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789D95EB">
            <w:pPr>
              <w:widowControl/>
              <w:jc w:val="center"/>
              <w:rPr>
                <w:rFonts w:ascii="宋体" w:hAnsi="宋体" w:cs="宋体"/>
                <w:color w:val="000000"/>
                <w:kern w:val="0"/>
                <w:sz w:val="22"/>
                <w:szCs w:val="22"/>
              </w:rPr>
            </w:pPr>
            <w:r>
              <w:rPr>
                <w:rFonts w:hint="eastAsia" w:ascii="宋体" w:hAnsi="宋体" w:cs="宋体"/>
                <w:color w:val="000000"/>
                <w:kern w:val="0"/>
                <w:sz w:val="22"/>
                <w:szCs w:val="22"/>
              </w:rPr>
              <w:t>合格</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327BF313">
            <w:pPr>
              <w:widowControl/>
              <w:jc w:val="center"/>
              <w:rPr>
                <w:rFonts w:ascii="宋体" w:hAnsi="宋体" w:cs="宋体"/>
                <w:color w:val="000000"/>
                <w:kern w:val="0"/>
                <w:sz w:val="22"/>
                <w:szCs w:val="22"/>
              </w:rPr>
            </w:pPr>
            <w:r>
              <w:rPr>
                <w:rFonts w:hint="eastAsia" w:ascii="宋体" w:hAnsi="宋体" w:cs="宋体"/>
                <w:color w:val="000000"/>
                <w:kern w:val="0"/>
                <w:sz w:val="22"/>
                <w:szCs w:val="22"/>
              </w:rPr>
              <w:t>合格</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550C191A">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655B3F3D">
            <w:pPr>
              <w:widowControl/>
              <w:jc w:val="center"/>
              <w:rPr>
                <w:color w:val="000000"/>
                <w:kern w:val="0"/>
                <w:sz w:val="22"/>
                <w:szCs w:val="22"/>
              </w:rPr>
            </w:pPr>
            <w:r>
              <w:rPr>
                <w:color w:val="000000"/>
                <w:kern w:val="0"/>
                <w:sz w:val="22"/>
                <w:szCs w:val="22"/>
              </w:rPr>
              <w:t>4</w:t>
            </w:r>
          </w:p>
        </w:tc>
      </w:tr>
      <w:tr w14:paraId="6DAF628E">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15D6FBE7">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3B31BFA0">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71979495">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740E5A03">
            <w:pPr>
              <w:widowControl/>
              <w:jc w:val="center"/>
              <w:rPr>
                <w:rFonts w:ascii="宋体" w:hAnsi="宋体" w:cs="宋体"/>
                <w:color w:val="000000"/>
                <w:kern w:val="0"/>
                <w:sz w:val="22"/>
                <w:szCs w:val="22"/>
              </w:rPr>
            </w:pPr>
            <w:r>
              <w:rPr>
                <w:rFonts w:hint="eastAsia" w:ascii="宋体" w:hAnsi="宋体" w:cs="宋体"/>
                <w:color w:val="000000"/>
                <w:kern w:val="0"/>
                <w:sz w:val="22"/>
                <w:szCs w:val="22"/>
              </w:rPr>
              <w:t>合规性</w:t>
            </w:r>
          </w:p>
        </w:tc>
        <w:tc>
          <w:tcPr>
            <w:tcW w:w="709" w:type="dxa"/>
            <w:vMerge w:val="continue"/>
            <w:tcBorders>
              <w:top w:val="nil"/>
              <w:left w:val="single" w:color="000000" w:sz="8" w:space="0"/>
              <w:bottom w:val="single" w:color="000000" w:sz="8" w:space="0"/>
              <w:right w:val="single" w:color="000000" w:sz="8" w:space="0"/>
            </w:tcBorders>
            <w:vAlign w:val="center"/>
          </w:tcPr>
          <w:p w14:paraId="203FAFA9">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0445AE31">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4B2EB79B">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2F9EF0F7">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6023E1E4">
            <w:pPr>
              <w:widowControl/>
              <w:jc w:val="left"/>
              <w:rPr>
                <w:color w:val="000000"/>
                <w:kern w:val="0"/>
                <w:sz w:val="22"/>
                <w:szCs w:val="22"/>
              </w:rPr>
            </w:pPr>
          </w:p>
        </w:tc>
      </w:tr>
      <w:tr w14:paraId="53A0C973">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5D6C321B">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0F0FEF2D">
            <w:pPr>
              <w:widowControl/>
              <w:jc w:val="left"/>
              <w:rPr>
                <w:color w:val="000000"/>
                <w:kern w:val="0"/>
                <w:sz w:val="22"/>
                <w:szCs w:val="22"/>
              </w:rPr>
            </w:pPr>
          </w:p>
        </w:tc>
        <w:tc>
          <w:tcPr>
            <w:tcW w:w="1276" w:type="dxa"/>
            <w:vMerge w:val="restart"/>
            <w:tcBorders>
              <w:top w:val="nil"/>
              <w:left w:val="single" w:color="000000" w:sz="8" w:space="0"/>
              <w:bottom w:val="single" w:color="000000" w:sz="8" w:space="0"/>
              <w:right w:val="single" w:color="000000" w:sz="8" w:space="0"/>
            </w:tcBorders>
            <w:shd w:val="clear" w:color="auto" w:fill="FFFFFF"/>
            <w:vAlign w:val="center"/>
          </w:tcPr>
          <w:p w14:paraId="7E8920FF">
            <w:pPr>
              <w:widowControl/>
              <w:jc w:val="center"/>
              <w:rPr>
                <w:rFonts w:ascii="宋体" w:hAnsi="宋体" w:cs="宋体"/>
                <w:color w:val="000000"/>
                <w:kern w:val="0"/>
                <w:sz w:val="22"/>
                <w:szCs w:val="22"/>
              </w:rPr>
            </w:pPr>
            <w:r>
              <w:rPr>
                <w:rFonts w:hint="eastAsia" w:ascii="宋体" w:hAnsi="宋体" w:cs="宋体"/>
                <w:color w:val="000000"/>
                <w:kern w:val="0"/>
                <w:sz w:val="22"/>
                <w:szCs w:val="22"/>
              </w:rPr>
              <w:t>组织实施</w:t>
            </w:r>
          </w:p>
        </w:tc>
        <w:tc>
          <w:tcPr>
            <w:tcW w:w="1275" w:type="dxa"/>
            <w:tcBorders>
              <w:top w:val="nil"/>
              <w:left w:val="nil"/>
              <w:bottom w:val="nil"/>
              <w:right w:val="single" w:color="000000" w:sz="8" w:space="0"/>
            </w:tcBorders>
            <w:shd w:val="clear" w:color="auto" w:fill="FFFFFF"/>
            <w:vAlign w:val="center"/>
          </w:tcPr>
          <w:p w14:paraId="3D26204D">
            <w:pPr>
              <w:widowControl/>
              <w:jc w:val="center"/>
              <w:rPr>
                <w:rFonts w:ascii="宋体" w:hAnsi="宋体" w:cs="宋体"/>
                <w:color w:val="000000"/>
                <w:kern w:val="0"/>
                <w:sz w:val="22"/>
                <w:szCs w:val="22"/>
              </w:rPr>
            </w:pPr>
            <w:r>
              <w:rPr>
                <w:rFonts w:hint="eastAsia" w:ascii="宋体" w:hAnsi="宋体" w:cs="宋体"/>
                <w:color w:val="000000"/>
                <w:kern w:val="0"/>
                <w:sz w:val="22"/>
                <w:szCs w:val="22"/>
              </w:rPr>
              <w:t>管理制度</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0B5CE3FE">
            <w:pPr>
              <w:widowControl/>
              <w:jc w:val="center"/>
              <w:rPr>
                <w:color w:val="000000"/>
                <w:kern w:val="0"/>
                <w:sz w:val="22"/>
                <w:szCs w:val="22"/>
              </w:rPr>
            </w:pPr>
            <w:r>
              <w:rPr>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36865F7D">
            <w:pPr>
              <w:widowControl/>
              <w:jc w:val="center"/>
              <w:rPr>
                <w:rFonts w:ascii="宋体" w:hAnsi="宋体" w:cs="宋体"/>
                <w:color w:val="000000"/>
                <w:kern w:val="0"/>
                <w:sz w:val="22"/>
                <w:szCs w:val="22"/>
              </w:rPr>
            </w:pPr>
            <w:r>
              <w:rPr>
                <w:rFonts w:hint="eastAsia" w:ascii="宋体" w:hAnsi="宋体" w:cs="宋体"/>
                <w:color w:val="000000"/>
                <w:kern w:val="0"/>
                <w:sz w:val="22"/>
                <w:szCs w:val="22"/>
              </w:rPr>
              <w:t>健全</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005F0DCD">
            <w:pPr>
              <w:widowControl/>
              <w:jc w:val="center"/>
              <w:rPr>
                <w:rFonts w:ascii="宋体" w:hAnsi="宋体" w:cs="宋体"/>
                <w:color w:val="000000"/>
                <w:kern w:val="0"/>
                <w:sz w:val="22"/>
                <w:szCs w:val="22"/>
              </w:rPr>
            </w:pPr>
            <w:r>
              <w:rPr>
                <w:rFonts w:hint="eastAsia" w:ascii="宋体" w:hAnsi="宋体" w:cs="宋体"/>
                <w:color w:val="000000"/>
                <w:kern w:val="0"/>
                <w:sz w:val="22"/>
                <w:szCs w:val="22"/>
              </w:rPr>
              <w:t>健全</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26002951">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67E0A105">
            <w:pPr>
              <w:widowControl/>
              <w:jc w:val="center"/>
              <w:rPr>
                <w:color w:val="000000"/>
                <w:kern w:val="0"/>
                <w:sz w:val="22"/>
                <w:szCs w:val="22"/>
              </w:rPr>
            </w:pPr>
            <w:r>
              <w:rPr>
                <w:color w:val="000000"/>
                <w:kern w:val="0"/>
                <w:sz w:val="22"/>
                <w:szCs w:val="22"/>
              </w:rPr>
              <w:t>4</w:t>
            </w:r>
          </w:p>
        </w:tc>
      </w:tr>
      <w:tr w14:paraId="6E6C5489">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62C4B6BF">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48823F77">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2A0C39C9">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7677450E">
            <w:pPr>
              <w:widowControl/>
              <w:jc w:val="center"/>
              <w:rPr>
                <w:rFonts w:ascii="宋体" w:hAnsi="宋体" w:cs="宋体"/>
                <w:color w:val="000000"/>
                <w:kern w:val="0"/>
                <w:sz w:val="22"/>
                <w:szCs w:val="22"/>
              </w:rPr>
            </w:pPr>
            <w:r>
              <w:rPr>
                <w:rFonts w:hint="eastAsia" w:ascii="宋体" w:hAnsi="宋体" w:cs="宋体"/>
                <w:color w:val="000000"/>
                <w:kern w:val="0"/>
                <w:sz w:val="22"/>
                <w:szCs w:val="22"/>
              </w:rPr>
              <w:t>健全性</w:t>
            </w:r>
          </w:p>
        </w:tc>
        <w:tc>
          <w:tcPr>
            <w:tcW w:w="709" w:type="dxa"/>
            <w:vMerge w:val="continue"/>
            <w:tcBorders>
              <w:top w:val="nil"/>
              <w:left w:val="single" w:color="000000" w:sz="8" w:space="0"/>
              <w:bottom w:val="single" w:color="000000" w:sz="8" w:space="0"/>
              <w:right w:val="single" w:color="000000" w:sz="8" w:space="0"/>
            </w:tcBorders>
            <w:vAlign w:val="center"/>
          </w:tcPr>
          <w:p w14:paraId="2CC177D1">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5A3DE962">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268A5061">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19CAA6CE">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25F5C11A">
            <w:pPr>
              <w:widowControl/>
              <w:jc w:val="left"/>
              <w:rPr>
                <w:color w:val="000000"/>
                <w:kern w:val="0"/>
                <w:sz w:val="22"/>
                <w:szCs w:val="22"/>
              </w:rPr>
            </w:pPr>
          </w:p>
        </w:tc>
      </w:tr>
      <w:tr w14:paraId="2AB995FD">
        <w:tblPrEx>
          <w:tblCellMar>
            <w:top w:w="0" w:type="dxa"/>
            <w:left w:w="108" w:type="dxa"/>
            <w:bottom w:w="0" w:type="dxa"/>
            <w:right w:w="108" w:type="dxa"/>
          </w:tblCellMar>
        </w:tblPrEx>
        <w:trPr>
          <w:trHeight w:val="270" w:hRule="atLeast"/>
        </w:trPr>
        <w:tc>
          <w:tcPr>
            <w:tcW w:w="724" w:type="dxa"/>
            <w:vMerge w:val="continue"/>
            <w:tcBorders>
              <w:top w:val="nil"/>
              <w:left w:val="single" w:color="000000" w:sz="8" w:space="0"/>
              <w:bottom w:val="single" w:color="000000" w:sz="8" w:space="0"/>
              <w:right w:val="single" w:color="000000" w:sz="8" w:space="0"/>
            </w:tcBorders>
            <w:vAlign w:val="center"/>
          </w:tcPr>
          <w:p w14:paraId="701A653A">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5658B94C">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10FF568A">
            <w:pPr>
              <w:widowControl/>
              <w:jc w:val="left"/>
              <w:rPr>
                <w:rFonts w:ascii="宋体" w:hAnsi="宋体" w:cs="宋体"/>
                <w:color w:val="000000"/>
                <w:kern w:val="0"/>
                <w:sz w:val="22"/>
                <w:szCs w:val="22"/>
              </w:rPr>
            </w:pPr>
          </w:p>
        </w:tc>
        <w:tc>
          <w:tcPr>
            <w:tcW w:w="1275" w:type="dxa"/>
            <w:tcBorders>
              <w:top w:val="nil"/>
              <w:left w:val="nil"/>
              <w:bottom w:val="nil"/>
              <w:right w:val="single" w:color="000000" w:sz="8" w:space="0"/>
            </w:tcBorders>
            <w:shd w:val="clear" w:color="auto" w:fill="FFFFFF"/>
            <w:vAlign w:val="center"/>
          </w:tcPr>
          <w:p w14:paraId="6E5E853D">
            <w:pPr>
              <w:widowControl/>
              <w:jc w:val="center"/>
              <w:rPr>
                <w:rFonts w:ascii="宋体" w:hAnsi="宋体" w:cs="宋体"/>
                <w:color w:val="000000"/>
                <w:kern w:val="0"/>
                <w:sz w:val="22"/>
                <w:szCs w:val="22"/>
              </w:rPr>
            </w:pPr>
            <w:r>
              <w:rPr>
                <w:rFonts w:hint="eastAsia" w:ascii="宋体" w:hAnsi="宋体" w:cs="宋体"/>
                <w:color w:val="000000"/>
                <w:kern w:val="0"/>
                <w:sz w:val="22"/>
                <w:szCs w:val="22"/>
              </w:rPr>
              <w:t>制度执行</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75CE2A95">
            <w:pPr>
              <w:widowControl/>
              <w:jc w:val="center"/>
              <w:rPr>
                <w:color w:val="000000"/>
                <w:kern w:val="0"/>
                <w:sz w:val="22"/>
                <w:szCs w:val="22"/>
              </w:rPr>
            </w:pPr>
            <w:r>
              <w:rPr>
                <w:color w:val="000000"/>
                <w:kern w:val="0"/>
                <w:sz w:val="22"/>
                <w:szCs w:val="22"/>
              </w:rPr>
              <w:t>4</w:t>
            </w:r>
          </w:p>
        </w:tc>
        <w:tc>
          <w:tcPr>
            <w:tcW w:w="992" w:type="dxa"/>
            <w:vMerge w:val="restart"/>
            <w:tcBorders>
              <w:top w:val="nil"/>
              <w:left w:val="single" w:color="000000" w:sz="8" w:space="0"/>
              <w:bottom w:val="single" w:color="000000" w:sz="8" w:space="0"/>
              <w:right w:val="single" w:color="000000" w:sz="8" w:space="0"/>
            </w:tcBorders>
            <w:shd w:val="clear" w:color="auto" w:fill="FFFFFF"/>
            <w:vAlign w:val="center"/>
          </w:tcPr>
          <w:p w14:paraId="50BDDEED">
            <w:pPr>
              <w:widowControl/>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993" w:type="dxa"/>
            <w:vMerge w:val="restart"/>
            <w:tcBorders>
              <w:top w:val="nil"/>
              <w:left w:val="single" w:color="000000" w:sz="8" w:space="0"/>
              <w:bottom w:val="single" w:color="000000" w:sz="8" w:space="0"/>
              <w:right w:val="single" w:color="000000" w:sz="8" w:space="0"/>
            </w:tcBorders>
            <w:shd w:val="clear" w:color="auto" w:fill="FFFFFF"/>
            <w:vAlign w:val="center"/>
          </w:tcPr>
          <w:p w14:paraId="00C78068">
            <w:pPr>
              <w:widowControl/>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1045" w:type="dxa"/>
            <w:vMerge w:val="restart"/>
            <w:tcBorders>
              <w:top w:val="nil"/>
              <w:left w:val="single" w:color="000000" w:sz="8" w:space="0"/>
              <w:bottom w:val="single" w:color="000000" w:sz="8" w:space="0"/>
              <w:right w:val="single" w:color="000000" w:sz="8" w:space="0"/>
            </w:tcBorders>
            <w:shd w:val="clear" w:color="auto" w:fill="FFFFFF"/>
            <w:vAlign w:val="center"/>
          </w:tcPr>
          <w:p w14:paraId="3A7A5978">
            <w:pPr>
              <w:widowControl/>
              <w:jc w:val="center"/>
              <w:rPr>
                <w:color w:val="000000"/>
                <w:kern w:val="0"/>
                <w:sz w:val="22"/>
                <w:szCs w:val="22"/>
              </w:rPr>
            </w:pPr>
            <w:r>
              <w:rPr>
                <w:color w:val="000000"/>
                <w:kern w:val="0"/>
                <w:sz w:val="22"/>
                <w:szCs w:val="22"/>
              </w:rPr>
              <w:t>100%</w:t>
            </w:r>
          </w:p>
        </w:tc>
        <w:tc>
          <w:tcPr>
            <w:tcW w:w="797" w:type="dxa"/>
            <w:vMerge w:val="restart"/>
            <w:tcBorders>
              <w:top w:val="nil"/>
              <w:left w:val="single" w:color="000000" w:sz="8" w:space="0"/>
              <w:bottom w:val="single" w:color="000000" w:sz="8" w:space="0"/>
              <w:right w:val="single" w:color="000000" w:sz="8" w:space="0"/>
            </w:tcBorders>
            <w:shd w:val="clear" w:color="auto" w:fill="FFFFFF"/>
            <w:vAlign w:val="center"/>
          </w:tcPr>
          <w:p w14:paraId="3F45AB26">
            <w:pPr>
              <w:widowControl/>
              <w:jc w:val="center"/>
              <w:rPr>
                <w:color w:val="000000"/>
                <w:kern w:val="0"/>
                <w:sz w:val="22"/>
                <w:szCs w:val="22"/>
              </w:rPr>
            </w:pPr>
            <w:r>
              <w:rPr>
                <w:color w:val="000000"/>
                <w:kern w:val="0"/>
                <w:sz w:val="22"/>
                <w:szCs w:val="22"/>
              </w:rPr>
              <w:t>4</w:t>
            </w:r>
          </w:p>
        </w:tc>
      </w:tr>
      <w:tr w14:paraId="510A73A9">
        <w:tblPrEx>
          <w:tblCellMar>
            <w:top w:w="0" w:type="dxa"/>
            <w:left w:w="108" w:type="dxa"/>
            <w:bottom w:w="0" w:type="dxa"/>
            <w:right w:w="108" w:type="dxa"/>
          </w:tblCellMar>
        </w:tblPrEx>
        <w:trPr>
          <w:trHeight w:val="285" w:hRule="atLeast"/>
        </w:trPr>
        <w:tc>
          <w:tcPr>
            <w:tcW w:w="724" w:type="dxa"/>
            <w:vMerge w:val="continue"/>
            <w:tcBorders>
              <w:top w:val="nil"/>
              <w:left w:val="single" w:color="000000" w:sz="8" w:space="0"/>
              <w:bottom w:val="single" w:color="000000" w:sz="8" w:space="0"/>
              <w:right w:val="single" w:color="000000" w:sz="8" w:space="0"/>
            </w:tcBorders>
            <w:vAlign w:val="center"/>
          </w:tcPr>
          <w:p w14:paraId="1AB8FE20">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2EEE0A50">
            <w:pPr>
              <w:widowControl/>
              <w:jc w:val="left"/>
              <w:rPr>
                <w:color w:val="000000"/>
                <w:kern w:val="0"/>
                <w:sz w:val="22"/>
                <w:szCs w:val="22"/>
              </w:rPr>
            </w:pPr>
          </w:p>
        </w:tc>
        <w:tc>
          <w:tcPr>
            <w:tcW w:w="1276" w:type="dxa"/>
            <w:vMerge w:val="continue"/>
            <w:tcBorders>
              <w:top w:val="nil"/>
              <w:left w:val="single" w:color="000000" w:sz="8" w:space="0"/>
              <w:bottom w:val="single" w:color="000000" w:sz="8" w:space="0"/>
              <w:right w:val="single" w:color="000000" w:sz="8" w:space="0"/>
            </w:tcBorders>
            <w:vAlign w:val="center"/>
          </w:tcPr>
          <w:p w14:paraId="1F12445E">
            <w:pPr>
              <w:widowControl/>
              <w:jc w:val="left"/>
              <w:rPr>
                <w:rFonts w:ascii="宋体" w:hAnsi="宋体" w:cs="宋体"/>
                <w:color w:val="000000"/>
                <w:kern w:val="0"/>
                <w:sz w:val="22"/>
                <w:szCs w:val="22"/>
              </w:rPr>
            </w:pPr>
          </w:p>
        </w:tc>
        <w:tc>
          <w:tcPr>
            <w:tcW w:w="1275" w:type="dxa"/>
            <w:tcBorders>
              <w:top w:val="nil"/>
              <w:left w:val="nil"/>
              <w:bottom w:val="single" w:color="000000" w:sz="8" w:space="0"/>
              <w:right w:val="single" w:color="000000" w:sz="8" w:space="0"/>
            </w:tcBorders>
            <w:shd w:val="clear" w:color="auto" w:fill="FFFFFF"/>
            <w:vAlign w:val="center"/>
          </w:tcPr>
          <w:p w14:paraId="525794A9">
            <w:pPr>
              <w:widowControl/>
              <w:jc w:val="center"/>
              <w:rPr>
                <w:rFonts w:ascii="宋体" w:hAnsi="宋体" w:cs="宋体"/>
                <w:color w:val="000000"/>
                <w:kern w:val="0"/>
                <w:sz w:val="22"/>
                <w:szCs w:val="22"/>
              </w:rPr>
            </w:pPr>
            <w:r>
              <w:rPr>
                <w:rFonts w:hint="eastAsia" w:ascii="宋体" w:hAnsi="宋体" w:cs="宋体"/>
                <w:color w:val="000000"/>
                <w:kern w:val="0"/>
                <w:sz w:val="22"/>
                <w:szCs w:val="22"/>
              </w:rPr>
              <w:t>有效性</w:t>
            </w:r>
          </w:p>
        </w:tc>
        <w:tc>
          <w:tcPr>
            <w:tcW w:w="709" w:type="dxa"/>
            <w:vMerge w:val="continue"/>
            <w:tcBorders>
              <w:top w:val="nil"/>
              <w:left w:val="single" w:color="000000" w:sz="8" w:space="0"/>
              <w:bottom w:val="single" w:color="000000" w:sz="8" w:space="0"/>
              <w:right w:val="single" w:color="000000" w:sz="8" w:space="0"/>
            </w:tcBorders>
            <w:vAlign w:val="center"/>
          </w:tcPr>
          <w:p w14:paraId="471EAF1A">
            <w:pPr>
              <w:widowControl/>
              <w:jc w:val="left"/>
              <w:rPr>
                <w:color w:val="000000"/>
                <w:kern w:val="0"/>
                <w:sz w:val="22"/>
                <w:szCs w:val="22"/>
              </w:rPr>
            </w:pPr>
          </w:p>
        </w:tc>
        <w:tc>
          <w:tcPr>
            <w:tcW w:w="992" w:type="dxa"/>
            <w:vMerge w:val="continue"/>
            <w:tcBorders>
              <w:top w:val="nil"/>
              <w:left w:val="single" w:color="000000" w:sz="8" w:space="0"/>
              <w:bottom w:val="single" w:color="000000" w:sz="8" w:space="0"/>
              <w:right w:val="single" w:color="000000" w:sz="8" w:space="0"/>
            </w:tcBorders>
            <w:vAlign w:val="center"/>
          </w:tcPr>
          <w:p w14:paraId="047C8803">
            <w:pPr>
              <w:widowControl/>
              <w:jc w:val="left"/>
              <w:rPr>
                <w:rFonts w:ascii="宋体" w:hAnsi="宋体" w:cs="宋体"/>
                <w:color w:val="000000"/>
                <w:kern w:val="0"/>
                <w:sz w:val="22"/>
                <w:szCs w:val="22"/>
              </w:rPr>
            </w:pPr>
          </w:p>
        </w:tc>
        <w:tc>
          <w:tcPr>
            <w:tcW w:w="993" w:type="dxa"/>
            <w:vMerge w:val="continue"/>
            <w:tcBorders>
              <w:top w:val="nil"/>
              <w:left w:val="single" w:color="000000" w:sz="8" w:space="0"/>
              <w:bottom w:val="single" w:color="000000" w:sz="8" w:space="0"/>
              <w:right w:val="single" w:color="000000" w:sz="8" w:space="0"/>
            </w:tcBorders>
            <w:vAlign w:val="center"/>
          </w:tcPr>
          <w:p w14:paraId="03199A51">
            <w:pPr>
              <w:widowControl/>
              <w:jc w:val="left"/>
              <w:rPr>
                <w:rFonts w:ascii="宋体" w:hAnsi="宋体" w:cs="宋体"/>
                <w:color w:val="000000"/>
                <w:kern w:val="0"/>
                <w:sz w:val="22"/>
                <w:szCs w:val="22"/>
              </w:rPr>
            </w:pPr>
          </w:p>
        </w:tc>
        <w:tc>
          <w:tcPr>
            <w:tcW w:w="1045" w:type="dxa"/>
            <w:vMerge w:val="continue"/>
            <w:tcBorders>
              <w:top w:val="nil"/>
              <w:left w:val="single" w:color="000000" w:sz="8" w:space="0"/>
              <w:bottom w:val="single" w:color="000000" w:sz="8" w:space="0"/>
              <w:right w:val="single" w:color="000000" w:sz="8" w:space="0"/>
            </w:tcBorders>
            <w:vAlign w:val="center"/>
          </w:tcPr>
          <w:p w14:paraId="5EE4B3E4">
            <w:pPr>
              <w:widowControl/>
              <w:jc w:val="left"/>
              <w:rPr>
                <w:color w:val="000000"/>
                <w:kern w:val="0"/>
                <w:sz w:val="22"/>
                <w:szCs w:val="22"/>
              </w:rPr>
            </w:pPr>
          </w:p>
        </w:tc>
        <w:tc>
          <w:tcPr>
            <w:tcW w:w="797" w:type="dxa"/>
            <w:vMerge w:val="continue"/>
            <w:tcBorders>
              <w:top w:val="nil"/>
              <w:left w:val="single" w:color="000000" w:sz="8" w:space="0"/>
              <w:bottom w:val="single" w:color="000000" w:sz="8" w:space="0"/>
              <w:right w:val="single" w:color="000000" w:sz="8" w:space="0"/>
            </w:tcBorders>
            <w:vAlign w:val="center"/>
          </w:tcPr>
          <w:p w14:paraId="208225E6">
            <w:pPr>
              <w:widowControl/>
              <w:jc w:val="left"/>
              <w:rPr>
                <w:color w:val="000000"/>
                <w:kern w:val="0"/>
                <w:sz w:val="22"/>
                <w:szCs w:val="22"/>
              </w:rPr>
            </w:pPr>
          </w:p>
        </w:tc>
      </w:tr>
      <w:tr w14:paraId="25FA5786">
        <w:tblPrEx>
          <w:tblCellMar>
            <w:top w:w="0" w:type="dxa"/>
            <w:left w:w="108" w:type="dxa"/>
            <w:bottom w:w="0" w:type="dxa"/>
            <w:right w:w="108" w:type="dxa"/>
          </w:tblCellMar>
        </w:tblPrEx>
        <w:trPr>
          <w:trHeight w:val="555" w:hRule="atLeast"/>
        </w:trPr>
        <w:tc>
          <w:tcPr>
            <w:tcW w:w="724" w:type="dxa"/>
            <w:vMerge w:val="restart"/>
            <w:tcBorders>
              <w:top w:val="nil"/>
              <w:left w:val="single" w:color="000000" w:sz="8" w:space="0"/>
              <w:bottom w:val="single" w:color="000000" w:sz="8" w:space="0"/>
              <w:right w:val="single" w:color="000000" w:sz="8" w:space="0"/>
            </w:tcBorders>
            <w:shd w:val="clear" w:color="auto" w:fill="FFFFFF"/>
            <w:vAlign w:val="center"/>
          </w:tcPr>
          <w:p w14:paraId="59F679E0">
            <w:pPr>
              <w:widowControl/>
              <w:jc w:val="center"/>
              <w:rPr>
                <w:rFonts w:ascii="宋体" w:hAnsi="宋体" w:cs="宋体"/>
                <w:color w:val="000000"/>
                <w:kern w:val="0"/>
                <w:sz w:val="22"/>
                <w:szCs w:val="22"/>
              </w:rPr>
            </w:pPr>
            <w:r>
              <w:rPr>
                <w:rFonts w:hint="eastAsia" w:ascii="宋体" w:hAnsi="宋体" w:cs="宋体"/>
                <w:color w:val="000000"/>
                <w:kern w:val="0"/>
                <w:sz w:val="22"/>
                <w:szCs w:val="22"/>
              </w:rPr>
              <w:t>产出</w:t>
            </w:r>
          </w:p>
        </w:tc>
        <w:tc>
          <w:tcPr>
            <w:tcW w:w="709" w:type="dxa"/>
            <w:vMerge w:val="restart"/>
            <w:tcBorders>
              <w:top w:val="nil"/>
              <w:left w:val="single" w:color="000000" w:sz="8" w:space="0"/>
              <w:bottom w:val="single" w:color="000000" w:sz="8" w:space="0"/>
              <w:right w:val="single" w:color="000000" w:sz="8" w:space="0"/>
            </w:tcBorders>
            <w:shd w:val="clear" w:color="auto" w:fill="FFFFFF"/>
            <w:vAlign w:val="center"/>
          </w:tcPr>
          <w:p w14:paraId="3C7F887C">
            <w:pPr>
              <w:widowControl/>
              <w:jc w:val="center"/>
              <w:rPr>
                <w:color w:val="000000"/>
                <w:kern w:val="0"/>
                <w:sz w:val="22"/>
                <w:szCs w:val="22"/>
              </w:rPr>
            </w:pPr>
            <w:r>
              <w:rPr>
                <w:color w:val="000000"/>
                <w:kern w:val="0"/>
                <w:sz w:val="22"/>
                <w:szCs w:val="22"/>
              </w:rPr>
              <w:t>40</w:t>
            </w:r>
            <w:r>
              <w:rPr>
                <w:rFonts w:hint="eastAsia" w:ascii="宋体" w:hAnsi="宋体"/>
                <w:color w:val="000000"/>
                <w:kern w:val="0"/>
                <w:sz w:val="22"/>
                <w:szCs w:val="22"/>
              </w:rPr>
              <w:t>分</w:t>
            </w:r>
          </w:p>
        </w:tc>
        <w:tc>
          <w:tcPr>
            <w:tcW w:w="1276" w:type="dxa"/>
            <w:tcBorders>
              <w:top w:val="nil"/>
              <w:left w:val="nil"/>
              <w:bottom w:val="single" w:color="000000" w:sz="8" w:space="0"/>
              <w:right w:val="single" w:color="000000" w:sz="8" w:space="0"/>
            </w:tcBorders>
            <w:shd w:val="clear" w:color="auto" w:fill="FFFFFF"/>
            <w:vAlign w:val="center"/>
          </w:tcPr>
          <w:p w14:paraId="106BCF7E">
            <w:pPr>
              <w:widowControl/>
              <w:jc w:val="center"/>
              <w:rPr>
                <w:rFonts w:ascii="宋体" w:hAnsi="宋体" w:cs="宋体"/>
                <w:color w:val="000000"/>
                <w:kern w:val="0"/>
                <w:sz w:val="22"/>
                <w:szCs w:val="22"/>
              </w:rPr>
            </w:pPr>
            <w:r>
              <w:rPr>
                <w:rFonts w:hint="eastAsia" w:ascii="宋体" w:hAnsi="宋体" w:cs="宋体"/>
                <w:color w:val="000000"/>
                <w:kern w:val="0"/>
                <w:sz w:val="22"/>
                <w:szCs w:val="22"/>
              </w:rPr>
              <w:t>产出数量</w:t>
            </w:r>
          </w:p>
        </w:tc>
        <w:tc>
          <w:tcPr>
            <w:tcW w:w="1275" w:type="dxa"/>
            <w:tcBorders>
              <w:top w:val="nil"/>
              <w:left w:val="nil"/>
              <w:bottom w:val="single" w:color="000000" w:sz="8" w:space="0"/>
              <w:right w:val="single" w:color="000000" w:sz="8" w:space="0"/>
            </w:tcBorders>
            <w:shd w:val="clear" w:color="auto" w:fill="FFFFFF"/>
            <w:vAlign w:val="center"/>
          </w:tcPr>
          <w:p w14:paraId="767F0F3A">
            <w:pPr>
              <w:widowControl/>
              <w:jc w:val="center"/>
              <w:rPr>
                <w:rFonts w:ascii="宋体" w:hAnsi="宋体" w:cs="宋体"/>
                <w:color w:val="000000"/>
                <w:kern w:val="0"/>
                <w:sz w:val="22"/>
                <w:szCs w:val="22"/>
              </w:rPr>
            </w:pPr>
            <w:r>
              <w:rPr>
                <w:rFonts w:hint="eastAsia" w:ascii="宋体" w:hAnsi="宋体" w:cs="宋体"/>
                <w:color w:val="000000"/>
                <w:kern w:val="0"/>
                <w:sz w:val="22"/>
                <w:szCs w:val="22"/>
              </w:rPr>
              <w:t>实际完成率</w:t>
            </w:r>
          </w:p>
        </w:tc>
        <w:tc>
          <w:tcPr>
            <w:tcW w:w="709" w:type="dxa"/>
            <w:tcBorders>
              <w:top w:val="nil"/>
              <w:left w:val="nil"/>
              <w:bottom w:val="single" w:color="000000" w:sz="8" w:space="0"/>
              <w:right w:val="single" w:color="000000" w:sz="8" w:space="0"/>
            </w:tcBorders>
            <w:shd w:val="clear" w:color="auto" w:fill="FFFFFF"/>
            <w:vAlign w:val="center"/>
          </w:tcPr>
          <w:p w14:paraId="5084FAFC">
            <w:pPr>
              <w:widowControl/>
              <w:jc w:val="center"/>
              <w:rPr>
                <w:color w:val="000000"/>
                <w:kern w:val="0"/>
                <w:sz w:val="22"/>
                <w:szCs w:val="22"/>
              </w:rPr>
            </w:pPr>
            <w:r>
              <w:rPr>
                <w:color w:val="000000"/>
                <w:kern w:val="0"/>
                <w:sz w:val="22"/>
                <w:szCs w:val="22"/>
              </w:rPr>
              <w:t>10</w:t>
            </w:r>
          </w:p>
        </w:tc>
        <w:tc>
          <w:tcPr>
            <w:tcW w:w="992" w:type="dxa"/>
            <w:tcBorders>
              <w:top w:val="nil"/>
              <w:left w:val="nil"/>
              <w:bottom w:val="single" w:color="000000" w:sz="8" w:space="0"/>
              <w:right w:val="single" w:color="000000" w:sz="8" w:space="0"/>
            </w:tcBorders>
            <w:shd w:val="clear" w:color="auto" w:fill="FFFFFF"/>
            <w:vAlign w:val="center"/>
          </w:tcPr>
          <w:p w14:paraId="74B8480B">
            <w:pPr>
              <w:widowControl/>
              <w:jc w:val="center"/>
              <w:rPr>
                <w:color w:val="000000"/>
                <w:kern w:val="0"/>
                <w:sz w:val="22"/>
                <w:szCs w:val="22"/>
              </w:rPr>
            </w:pPr>
            <w:r>
              <w:rPr>
                <w:color w:val="000000"/>
                <w:kern w:val="0"/>
                <w:sz w:val="22"/>
                <w:szCs w:val="22"/>
              </w:rPr>
              <w:t>100%</w:t>
            </w:r>
          </w:p>
        </w:tc>
        <w:tc>
          <w:tcPr>
            <w:tcW w:w="993" w:type="dxa"/>
            <w:tcBorders>
              <w:top w:val="nil"/>
              <w:left w:val="nil"/>
              <w:bottom w:val="single" w:color="000000" w:sz="8" w:space="0"/>
              <w:right w:val="single" w:color="000000" w:sz="8" w:space="0"/>
            </w:tcBorders>
            <w:shd w:val="clear" w:color="auto" w:fill="FFFFFF"/>
            <w:vAlign w:val="center"/>
          </w:tcPr>
          <w:p w14:paraId="18477EA4">
            <w:pPr>
              <w:widowControl/>
              <w:jc w:val="center"/>
              <w:rPr>
                <w:color w:val="000000"/>
                <w:kern w:val="0"/>
                <w:sz w:val="22"/>
                <w:szCs w:val="22"/>
              </w:rPr>
            </w:pPr>
            <w:r>
              <w:rPr>
                <w:color w:val="000000"/>
                <w:kern w:val="0"/>
                <w:sz w:val="22"/>
                <w:szCs w:val="22"/>
              </w:rPr>
              <w:t>100%</w:t>
            </w:r>
          </w:p>
        </w:tc>
        <w:tc>
          <w:tcPr>
            <w:tcW w:w="1045" w:type="dxa"/>
            <w:tcBorders>
              <w:top w:val="nil"/>
              <w:left w:val="nil"/>
              <w:bottom w:val="single" w:color="000000" w:sz="8" w:space="0"/>
              <w:right w:val="single" w:color="000000" w:sz="8" w:space="0"/>
            </w:tcBorders>
            <w:shd w:val="clear" w:color="auto" w:fill="FFFFFF"/>
            <w:vAlign w:val="center"/>
          </w:tcPr>
          <w:p w14:paraId="130B0E3E">
            <w:pPr>
              <w:widowControl/>
              <w:jc w:val="center"/>
              <w:rPr>
                <w:color w:val="000000"/>
                <w:kern w:val="0"/>
                <w:sz w:val="22"/>
                <w:szCs w:val="22"/>
              </w:rPr>
            </w:pPr>
            <w:r>
              <w:rPr>
                <w:color w:val="000000"/>
                <w:kern w:val="0"/>
                <w:sz w:val="22"/>
                <w:szCs w:val="22"/>
              </w:rPr>
              <w:t>100%</w:t>
            </w:r>
          </w:p>
        </w:tc>
        <w:tc>
          <w:tcPr>
            <w:tcW w:w="797" w:type="dxa"/>
            <w:tcBorders>
              <w:top w:val="nil"/>
              <w:left w:val="nil"/>
              <w:bottom w:val="single" w:color="000000" w:sz="8" w:space="0"/>
              <w:right w:val="single" w:color="000000" w:sz="8" w:space="0"/>
            </w:tcBorders>
            <w:shd w:val="clear" w:color="auto" w:fill="FFFFFF"/>
            <w:vAlign w:val="center"/>
          </w:tcPr>
          <w:p w14:paraId="082463B2">
            <w:pPr>
              <w:widowControl/>
              <w:jc w:val="center"/>
              <w:rPr>
                <w:color w:val="000000"/>
                <w:kern w:val="0"/>
                <w:sz w:val="22"/>
                <w:szCs w:val="22"/>
              </w:rPr>
            </w:pPr>
            <w:r>
              <w:rPr>
                <w:color w:val="000000"/>
                <w:kern w:val="0"/>
                <w:sz w:val="22"/>
                <w:szCs w:val="22"/>
              </w:rPr>
              <w:t>10</w:t>
            </w:r>
          </w:p>
        </w:tc>
      </w:tr>
      <w:tr w14:paraId="1BD25A26">
        <w:tblPrEx>
          <w:tblCellMar>
            <w:top w:w="0" w:type="dxa"/>
            <w:left w:w="108" w:type="dxa"/>
            <w:bottom w:w="0" w:type="dxa"/>
            <w:right w:w="108" w:type="dxa"/>
          </w:tblCellMar>
        </w:tblPrEx>
        <w:trPr>
          <w:trHeight w:val="555" w:hRule="atLeast"/>
        </w:trPr>
        <w:tc>
          <w:tcPr>
            <w:tcW w:w="724" w:type="dxa"/>
            <w:vMerge w:val="continue"/>
            <w:tcBorders>
              <w:top w:val="nil"/>
              <w:left w:val="single" w:color="000000" w:sz="8" w:space="0"/>
              <w:bottom w:val="single" w:color="000000" w:sz="8" w:space="0"/>
              <w:right w:val="single" w:color="000000" w:sz="8" w:space="0"/>
            </w:tcBorders>
            <w:vAlign w:val="center"/>
          </w:tcPr>
          <w:p w14:paraId="171700FE">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5AB7E283">
            <w:pPr>
              <w:widowControl/>
              <w:jc w:val="left"/>
              <w:rPr>
                <w:color w:val="000000"/>
                <w:kern w:val="0"/>
                <w:sz w:val="22"/>
                <w:szCs w:val="22"/>
              </w:rPr>
            </w:pPr>
          </w:p>
        </w:tc>
        <w:tc>
          <w:tcPr>
            <w:tcW w:w="1276" w:type="dxa"/>
            <w:tcBorders>
              <w:top w:val="nil"/>
              <w:left w:val="nil"/>
              <w:bottom w:val="single" w:color="000000" w:sz="8" w:space="0"/>
              <w:right w:val="single" w:color="000000" w:sz="8" w:space="0"/>
            </w:tcBorders>
            <w:shd w:val="clear" w:color="auto" w:fill="FFFFFF"/>
            <w:vAlign w:val="center"/>
          </w:tcPr>
          <w:p w14:paraId="020BDE00">
            <w:pPr>
              <w:widowControl/>
              <w:jc w:val="center"/>
              <w:rPr>
                <w:rFonts w:ascii="宋体" w:hAnsi="宋体" w:cs="宋体"/>
                <w:color w:val="000000"/>
                <w:kern w:val="0"/>
                <w:sz w:val="22"/>
                <w:szCs w:val="22"/>
              </w:rPr>
            </w:pPr>
            <w:r>
              <w:rPr>
                <w:rFonts w:hint="eastAsia" w:ascii="宋体" w:hAnsi="宋体" w:cs="宋体"/>
                <w:color w:val="000000"/>
                <w:kern w:val="0"/>
                <w:sz w:val="22"/>
                <w:szCs w:val="22"/>
              </w:rPr>
              <w:t>产出质量</w:t>
            </w:r>
          </w:p>
        </w:tc>
        <w:tc>
          <w:tcPr>
            <w:tcW w:w="1275" w:type="dxa"/>
            <w:tcBorders>
              <w:top w:val="nil"/>
              <w:left w:val="nil"/>
              <w:bottom w:val="single" w:color="000000" w:sz="8" w:space="0"/>
              <w:right w:val="single" w:color="000000" w:sz="8" w:space="0"/>
            </w:tcBorders>
            <w:shd w:val="clear" w:color="auto" w:fill="FFFFFF"/>
            <w:vAlign w:val="center"/>
          </w:tcPr>
          <w:p w14:paraId="7418F829">
            <w:pPr>
              <w:widowControl/>
              <w:jc w:val="center"/>
              <w:rPr>
                <w:rFonts w:ascii="宋体" w:hAnsi="宋体" w:cs="宋体"/>
                <w:color w:val="000000"/>
                <w:kern w:val="0"/>
                <w:sz w:val="22"/>
                <w:szCs w:val="22"/>
              </w:rPr>
            </w:pPr>
            <w:r>
              <w:rPr>
                <w:rFonts w:hint="eastAsia" w:ascii="宋体" w:hAnsi="宋体" w:cs="宋体"/>
                <w:color w:val="000000"/>
                <w:kern w:val="0"/>
                <w:sz w:val="22"/>
                <w:szCs w:val="22"/>
              </w:rPr>
              <w:t>质量达标率</w:t>
            </w:r>
          </w:p>
        </w:tc>
        <w:tc>
          <w:tcPr>
            <w:tcW w:w="709" w:type="dxa"/>
            <w:tcBorders>
              <w:top w:val="nil"/>
              <w:left w:val="nil"/>
              <w:bottom w:val="single" w:color="000000" w:sz="8" w:space="0"/>
              <w:right w:val="single" w:color="000000" w:sz="8" w:space="0"/>
            </w:tcBorders>
            <w:shd w:val="clear" w:color="auto" w:fill="FFFFFF"/>
            <w:vAlign w:val="center"/>
          </w:tcPr>
          <w:p w14:paraId="0F79F875">
            <w:pPr>
              <w:widowControl/>
              <w:jc w:val="center"/>
              <w:rPr>
                <w:color w:val="000000"/>
                <w:kern w:val="0"/>
                <w:sz w:val="22"/>
                <w:szCs w:val="22"/>
              </w:rPr>
            </w:pPr>
            <w:r>
              <w:rPr>
                <w:color w:val="000000"/>
                <w:kern w:val="0"/>
                <w:sz w:val="22"/>
                <w:szCs w:val="22"/>
              </w:rPr>
              <w:t>10</w:t>
            </w:r>
          </w:p>
        </w:tc>
        <w:tc>
          <w:tcPr>
            <w:tcW w:w="992" w:type="dxa"/>
            <w:tcBorders>
              <w:top w:val="nil"/>
              <w:left w:val="nil"/>
              <w:bottom w:val="single" w:color="000000" w:sz="8" w:space="0"/>
              <w:right w:val="single" w:color="000000" w:sz="8" w:space="0"/>
            </w:tcBorders>
            <w:shd w:val="clear" w:color="auto" w:fill="FFFFFF"/>
            <w:vAlign w:val="center"/>
          </w:tcPr>
          <w:p w14:paraId="4801E981">
            <w:pPr>
              <w:widowControl/>
              <w:jc w:val="center"/>
              <w:rPr>
                <w:color w:val="000000"/>
                <w:kern w:val="0"/>
                <w:sz w:val="22"/>
                <w:szCs w:val="22"/>
              </w:rPr>
            </w:pPr>
            <w:r>
              <w:rPr>
                <w:color w:val="000000"/>
                <w:kern w:val="0"/>
                <w:sz w:val="22"/>
                <w:szCs w:val="22"/>
              </w:rPr>
              <w:t>100%</w:t>
            </w:r>
          </w:p>
        </w:tc>
        <w:tc>
          <w:tcPr>
            <w:tcW w:w="993" w:type="dxa"/>
            <w:tcBorders>
              <w:top w:val="nil"/>
              <w:left w:val="nil"/>
              <w:bottom w:val="single" w:color="000000" w:sz="8" w:space="0"/>
              <w:right w:val="single" w:color="000000" w:sz="8" w:space="0"/>
            </w:tcBorders>
            <w:shd w:val="clear" w:color="auto" w:fill="FFFFFF"/>
            <w:vAlign w:val="center"/>
          </w:tcPr>
          <w:p w14:paraId="0BB07D8C">
            <w:pPr>
              <w:widowControl/>
              <w:jc w:val="center"/>
              <w:rPr>
                <w:color w:val="000000"/>
                <w:kern w:val="0"/>
                <w:sz w:val="22"/>
                <w:szCs w:val="22"/>
              </w:rPr>
            </w:pPr>
            <w:r>
              <w:rPr>
                <w:color w:val="000000"/>
                <w:kern w:val="0"/>
                <w:sz w:val="22"/>
                <w:szCs w:val="22"/>
              </w:rPr>
              <w:t>100%</w:t>
            </w:r>
          </w:p>
        </w:tc>
        <w:tc>
          <w:tcPr>
            <w:tcW w:w="1045" w:type="dxa"/>
            <w:tcBorders>
              <w:top w:val="nil"/>
              <w:left w:val="nil"/>
              <w:bottom w:val="single" w:color="000000" w:sz="8" w:space="0"/>
              <w:right w:val="single" w:color="000000" w:sz="8" w:space="0"/>
            </w:tcBorders>
            <w:shd w:val="clear" w:color="auto" w:fill="FFFFFF"/>
            <w:vAlign w:val="center"/>
          </w:tcPr>
          <w:p w14:paraId="1C6C70FC">
            <w:pPr>
              <w:widowControl/>
              <w:jc w:val="center"/>
              <w:rPr>
                <w:color w:val="000000"/>
                <w:kern w:val="0"/>
                <w:sz w:val="22"/>
                <w:szCs w:val="22"/>
              </w:rPr>
            </w:pPr>
            <w:r>
              <w:rPr>
                <w:color w:val="000000"/>
                <w:kern w:val="0"/>
                <w:sz w:val="22"/>
                <w:szCs w:val="22"/>
              </w:rPr>
              <w:t>100%</w:t>
            </w:r>
          </w:p>
        </w:tc>
        <w:tc>
          <w:tcPr>
            <w:tcW w:w="797" w:type="dxa"/>
            <w:tcBorders>
              <w:top w:val="nil"/>
              <w:left w:val="nil"/>
              <w:bottom w:val="single" w:color="000000" w:sz="8" w:space="0"/>
              <w:right w:val="single" w:color="000000" w:sz="8" w:space="0"/>
            </w:tcBorders>
            <w:shd w:val="clear" w:color="auto" w:fill="FFFFFF"/>
            <w:vAlign w:val="center"/>
          </w:tcPr>
          <w:p w14:paraId="1493CA27">
            <w:pPr>
              <w:widowControl/>
              <w:jc w:val="center"/>
              <w:rPr>
                <w:color w:val="000000"/>
                <w:kern w:val="0"/>
                <w:sz w:val="22"/>
                <w:szCs w:val="22"/>
              </w:rPr>
            </w:pPr>
            <w:r>
              <w:rPr>
                <w:color w:val="000000"/>
                <w:kern w:val="0"/>
                <w:sz w:val="22"/>
                <w:szCs w:val="22"/>
              </w:rPr>
              <w:t>10</w:t>
            </w:r>
          </w:p>
        </w:tc>
      </w:tr>
      <w:tr w14:paraId="3C44DB54">
        <w:tblPrEx>
          <w:tblCellMar>
            <w:top w:w="0" w:type="dxa"/>
            <w:left w:w="108" w:type="dxa"/>
            <w:bottom w:w="0" w:type="dxa"/>
            <w:right w:w="108" w:type="dxa"/>
          </w:tblCellMar>
        </w:tblPrEx>
        <w:trPr>
          <w:trHeight w:val="555" w:hRule="atLeast"/>
        </w:trPr>
        <w:tc>
          <w:tcPr>
            <w:tcW w:w="724" w:type="dxa"/>
            <w:vMerge w:val="continue"/>
            <w:tcBorders>
              <w:top w:val="nil"/>
              <w:left w:val="single" w:color="000000" w:sz="8" w:space="0"/>
              <w:bottom w:val="single" w:color="000000" w:sz="8" w:space="0"/>
              <w:right w:val="single" w:color="000000" w:sz="8" w:space="0"/>
            </w:tcBorders>
            <w:vAlign w:val="center"/>
          </w:tcPr>
          <w:p w14:paraId="133AB4D2">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000000" w:sz="8" w:space="0"/>
              <w:right w:val="single" w:color="000000" w:sz="8" w:space="0"/>
            </w:tcBorders>
            <w:vAlign w:val="center"/>
          </w:tcPr>
          <w:p w14:paraId="24F5130F">
            <w:pPr>
              <w:widowControl/>
              <w:jc w:val="left"/>
              <w:rPr>
                <w:color w:val="000000"/>
                <w:kern w:val="0"/>
                <w:sz w:val="22"/>
                <w:szCs w:val="22"/>
              </w:rPr>
            </w:pPr>
          </w:p>
        </w:tc>
        <w:tc>
          <w:tcPr>
            <w:tcW w:w="1276" w:type="dxa"/>
            <w:tcBorders>
              <w:top w:val="nil"/>
              <w:left w:val="nil"/>
              <w:bottom w:val="single" w:color="000000" w:sz="8" w:space="0"/>
              <w:right w:val="single" w:color="000000" w:sz="8" w:space="0"/>
            </w:tcBorders>
            <w:shd w:val="clear" w:color="auto" w:fill="FFFFFF"/>
            <w:vAlign w:val="center"/>
          </w:tcPr>
          <w:p w14:paraId="6A0008C0">
            <w:pPr>
              <w:widowControl/>
              <w:jc w:val="center"/>
              <w:rPr>
                <w:rFonts w:ascii="宋体" w:hAnsi="宋体" w:cs="宋体"/>
                <w:color w:val="000000"/>
                <w:kern w:val="0"/>
                <w:sz w:val="22"/>
                <w:szCs w:val="22"/>
              </w:rPr>
            </w:pPr>
            <w:r>
              <w:rPr>
                <w:rFonts w:hint="eastAsia" w:ascii="宋体" w:hAnsi="宋体" w:cs="宋体"/>
                <w:color w:val="000000"/>
                <w:kern w:val="0"/>
                <w:sz w:val="22"/>
                <w:szCs w:val="22"/>
              </w:rPr>
              <w:t>产出时效</w:t>
            </w:r>
          </w:p>
        </w:tc>
        <w:tc>
          <w:tcPr>
            <w:tcW w:w="1275" w:type="dxa"/>
            <w:tcBorders>
              <w:top w:val="nil"/>
              <w:left w:val="nil"/>
              <w:bottom w:val="single" w:color="000000" w:sz="8" w:space="0"/>
              <w:right w:val="single" w:color="000000" w:sz="8" w:space="0"/>
            </w:tcBorders>
            <w:shd w:val="clear" w:color="auto" w:fill="FFFFFF"/>
            <w:vAlign w:val="center"/>
          </w:tcPr>
          <w:p w14:paraId="711E1CB4">
            <w:pPr>
              <w:widowControl/>
              <w:jc w:val="center"/>
              <w:rPr>
                <w:rFonts w:ascii="宋体" w:hAnsi="宋体" w:cs="宋体"/>
                <w:color w:val="000000"/>
                <w:kern w:val="0"/>
                <w:sz w:val="22"/>
                <w:szCs w:val="22"/>
              </w:rPr>
            </w:pPr>
            <w:r>
              <w:rPr>
                <w:rFonts w:hint="eastAsia" w:ascii="宋体" w:hAnsi="宋体" w:cs="宋体"/>
                <w:color w:val="000000"/>
                <w:kern w:val="0"/>
                <w:sz w:val="22"/>
                <w:szCs w:val="22"/>
              </w:rPr>
              <w:t>完成及时性</w:t>
            </w:r>
          </w:p>
        </w:tc>
        <w:tc>
          <w:tcPr>
            <w:tcW w:w="709" w:type="dxa"/>
            <w:tcBorders>
              <w:top w:val="nil"/>
              <w:left w:val="nil"/>
              <w:bottom w:val="single" w:color="000000" w:sz="8" w:space="0"/>
              <w:right w:val="single" w:color="000000" w:sz="8" w:space="0"/>
            </w:tcBorders>
            <w:shd w:val="clear" w:color="auto" w:fill="FFFFFF"/>
            <w:vAlign w:val="center"/>
          </w:tcPr>
          <w:p w14:paraId="334A7FC2">
            <w:pPr>
              <w:widowControl/>
              <w:jc w:val="center"/>
              <w:rPr>
                <w:color w:val="000000"/>
                <w:kern w:val="0"/>
                <w:sz w:val="22"/>
                <w:szCs w:val="22"/>
              </w:rPr>
            </w:pPr>
            <w:r>
              <w:rPr>
                <w:color w:val="000000"/>
                <w:kern w:val="0"/>
                <w:sz w:val="22"/>
                <w:szCs w:val="22"/>
              </w:rPr>
              <w:t>10</w:t>
            </w:r>
          </w:p>
        </w:tc>
        <w:tc>
          <w:tcPr>
            <w:tcW w:w="992" w:type="dxa"/>
            <w:tcBorders>
              <w:top w:val="nil"/>
              <w:left w:val="nil"/>
              <w:bottom w:val="single" w:color="000000" w:sz="8" w:space="0"/>
              <w:right w:val="single" w:color="000000" w:sz="8" w:space="0"/>
            </w:tcBorders>
            <w:shd w:val="clear" w:color="auto" w:fill="FFFFFF"/>
            <w:vAlign w:val="center"/>
          </w:tcPr>
          <w:p w14:paraId="7DC1B10E">
            <w:pPr>
              <w:widowControl/>
              <w:jc w:val="center"/>
              <w:rPr>
                <w:rFonts w:ascii="宋体" w:hAnsi="宋体" w:cs="宋体"/>
                <w:color w:val="000000"/>
                <w:kern w:val="0"/>
                <w:sz w:val="22"/>
                <w:szCs w:val="22"/>
              </w:rPr>
            </w:pPr>
            <w:r>
              <w:rPr>
                <w:rFonts w:hint="eastAsia" w:ascii="宋体" w:hAnsi="宋体" w:cs="宋体"/>
                <w:color w:val="000000"/>
                <w:kern w:val="0"/>
                <w:sz w:val="22"/>
                <w:szCs w:val="22"/>
              </w:rPr>
              <w:t>及时</w:t>
            </w:r>
          </w:p>
        </w:tc>
        <w:tc>
          <w:tcPr>
            <w:tcW w:w="993" w:type="dxa"/>
            <w:tcBorders>
              <w:top w:val="nil"/>
              <w:left w:val="nil"/>
              <w:bottom w:val="single" w:color="000000" w:sz="8" w:space="0"/>
              <w:right w:val="single" w:color="000000" w:sz="8" w:space="0"/>
            </w:tcBorders>
            <w:shd w:val="clear" w:color="auto" w:fill="FFFFFF"/>
            <w:vAlign w:val="center"/>
          </w:tcPr>
          <w:p w14:paraId="5E2A52F5">
            <w:pPr>
              <w:widowControl/>
              <w:jc w:val="center"/>
              <w:rPr>
                <w:rFonts w:ascii="宋体" w:hAnsi="宋体" w:cs="宋体"/>
                <w:color w:val="000000"/>
                <w:kern w:val="0"/>
                <w:sz w:val="22"/>
                <w:szCs w:val="22"/>
              </w:rPr>
            </w:pPr>
            <w:r>
              <w:rPr>
                <w:rFonts w:hint="eastAsia" w:ascii="宋体" w:hAnsi="宋体" w:cs="宋体"/>
                <w:color w:val="000000"/>
                <w:kern w:val="0"/>
                <w:sz w:val="22"/>
                <w:szCs w:val="22"/>
              </w:rPr>
              <w:t>及时</w:t>
            </w:r>
          </w:p>
        </w:tc>
        <w:tc>
          <w:tcPr>
            <w:tcW w:w="1045" w:type="dxa"/>
            <w:tcBorders>
              <w:top w:val="nil"/>
              <w:left w:val="nil"/>
              <w:bottom w:val="single" w:color="000000" w:sz="8" w:space="0"/>
              <w:right w:val="single" w:color="000000" w:sz="8" w:space="0"/>
            </w:tcBorders>
            <w:shd w:val="clear" w:color="auto" w:fill="FFFFFF"/>
            <w:vAlign w:val="center"/>
          </w:tcPr>
          <w:p w14:paraId="0EC1D3EE">
            <w:pPr>
              <w:widowControl/>
              <w:jc w:val="center"/>
              <w:rPr>
                <w:color w:val="000000"/>
                <w:kern w:val="0"/>
                <w:sz w:val="22"/>
                <w:szCs w:val="22"/>
              </w:rPr>
            </w:pPr>
            <w:r>
              <w:rPr>
                <w:color w:val="000000"/>
                <w:kern w:val="0"/>
                <w:sz w:val="22"/>
                <w:szCs w:val="22"/>
              </w:rPr>
              <w:t>100%</w:t>
            </w:r>
          </w:p>
        </w:tc>
        <w:tc>
          <w:tcPr>
            <w:tcW w:w="797" w:type="dxa"/>
            <w:tcBorders>
              <w:top w:val="nil"/>
              <w:left w:val="nil"/>
              <w:bottom w:val="single" w:color="000000" w:sz="8" w:space="0"/>
              <w:right w:val="single" w:color="000000" w:sz="8" w:space="0"/>
            </w:tcBorders>
            <w:shd w:val="clear" w:color="auto" w:fill="FFFFFF"/>
            <w:vAlign w:val="center"/>
          </w:tcPr>
          <w:p w14:paraId="3F15050E">
            <w:pPr>
              <w:widowControl/>
              <w:jc w:val="center"/>
              <w:rPr>
                <w:color w:val="000000"/>
                <w:kern w:val="0"/>
                <w:sz w:val="22"/>
                <w:szCs w:val="22"/>
              </w:rPr>
            </w:pPr>
            <w:r>
              <w:rPr>
                <w:color w:val="000000"/>
                <w:kern w:val="0"/>
                <w:sz w:val="22"/>
                <w:szCs w:val="22"/>
              </w:rPr>
              <w:t>10</w:t>
            </w:r>
          </w:p>
        </w:tc>
      </w:tr>
      <w:tr w14:paraId="2F49F51E">
        <w:tblPrEx>
          <w:tblCellMar>
            <w:top w:w="0" w:type="dxa"/>
            <w:left w:w="108" w:type="dxa"/>
            <w:bottom w:w="0" w:type="dxa"/>
            <w:right w:w="108" w:type="dxa"/>
          </w:tblCellMar>
        </w:tblPrEx>
        <w:trPr>
          <w:trHeight w:val="555" w:hRule="atLeast"/>
        </w:trPr>
        <w:tc>
          <w:tcPr>
            <w:tcW w:w="724" w:type="dxa"/>
            <w:vMerge w:val="continue"/>
            <w:tcBorders>
              <w:top w:val="nil"/>
              <w:left w:val="single" w:color="000000" w:sz="8" w:space="0"/>
              <w:bottom w:val="single" w:color="auto" w:sz="4" w:space="0"/>
              <w:right w:val="single" w:color="000000" w:sz="8" w:space="0"/>
            </w:tcBorders>
            <w:vAlign w:val="center"/>
          </w:tcPr>
          <w:p w14:paraId="7F4136F0">
            <w:pPr>
              <w:widowControl/>
              <w:jc w:val="left"/>
              <w:rPr>
                <w:rFonts w:ascii="宋体" w:hAnsi="宋体" w:cs="宋体"/>
                <w:color w:val="000000"/>
                <w:kern w:val="0"/>
                <w:sz w:val="22"/>
                <w:szCs w:val="22"/>
              </w:rPr>
            </w:pPr>
          </w:p>
        </w:tc>
        <w:tc>
          <w:tcPr>
            <w:tcW w:w="709" w:type="dxa"/>
            <w:vMerge w:val="continue"/>
            <w:tcBorders>
              <w:top w:val="nil"/>
              <w:left w:val="single" w:color="000000" w:sz="8" w:space="0"/>
              <w:bottom w:val="single" w:color="auto" w:sz="4" w:space="0"/>
              <w:right w:val="single" w:color="000000" w:sz="8" w:space="0"/>
            </w:tcBorders>
            <w:vAlign w:val="center"/>
          </w:tcPr>
          <w:p w14:paraId="2D7FDF22">
            <w:pPr>
              <w:widowControl/>
              <w:jc w:val="left"/>
              <w:rPr>
                <w:color w:val="000000"/>
                <w:kern w:val="0"/>
                <w:sz w:val="22"/>
                <w:szCs w:val="22"/>
              </w:rPr>
            </w:pPr>
          </w:p>
        </w:tc>
        <w:tc>
          <w:tcPr>
            <w:tcW w:w="1276" w:type="dxa"/>
            <w:tcBorders>
              <w:top w:val="nil"/>
              <w:left w:val="nil"/>
              <w:bottom w:val="single" w:color="auto" w:sz="4" w:space="0"/>
              <w:right w:val="single" w:color="000000" w:sz="8" w:space="0"/>
            </w:tcBorders>
            <w:shd w:val="clear" w:color="auto" w:fill="FFFFFF"/>
            <w:vAlign w:val="center"/>
          </w:tcPr>
          <w:p w14:paraId="53E6D868">
            <w:pPr>
              <w:widowControl/>
              <w:jc w:val="center"/>
              <w:rPr>
                <w:rFonts w:ascii="宋体" w:hAnsi="宋体" w:cs="宋体"/>
                <w:color w:val="000000"/>
                <w:kern w:val="0"/>
                <w:sz w:val="22"/>
                <w:szCs w:val="22"/>
              </w:rPr>
            </w:pPr>
            <w:r>
              <w:rPr>
                <w:rFonts w:hint="eastAsia" w:ascii="宋体" w:hAnsi="宋体" w:cs="宋体"/>
                <w:color w:val="000000"/>
                <w:kern w:val="0"/>
                <w:sz w:val="22"/>
                <w:szCs w:val="22"/>
              </w:rPr>
              <w:t>产出成本</w:t>
            </w:r>
          </w:p>
        </w:tc>
        <w:tc>
          <w:tcPr>
            <w:tcW w:w="1275" w:type="dxa"/>
            <w:tcBorders>
              <w:top w:val="nil"/>
              <w:left w:val="nil"/>
              <w:bottom w:val="single" w:color="auto" w:sz="4" w:space="0"/>
              <w:right w:val="single" w:color="000000" w:sz="8" w:space="0"/>
            </w:tcBorders>
            <w:shd w:val="clear" w:color="auto" w:fill="FFFFFF"/>
            <w:vAlign w:val="center"/>
          </w:tcPr>
          <w:p w14:paraId="3ECEE068">
            <w:pPr>
              <w:widowControl/>
              <w:jc w:val="center"/>
              <w:rPr>
                <w:rFonts w:ascii="宋体" w:hAnsi="宋体" w:cs="宋体"/>
                <w:color w:val="000000"/>
                <w:kern w:val="0"/>
                <w:sz w:val="22"/>
                <w:szCs w:val="22"/>
              </w:rPr>
            </w:pPr>
            <w:r>
              <w:rPr>
                <w:rFonts w:hint="eastAsia" w:ascii="宋体" w:hAnsi="宋体" w:cs="宋体"/>
                <w:color w:val="000000"/>
                <w:kern w:val="0"/>
                <w:sz w:val="22"/>
                <w:szCs w:val="22"/>
              </w:rPr>
              <w:t>成本节约率</w:t>
            </w:r>
          </w:p>
        </w:tc>
        <w:tc>
          <w:tcPr>
            <w:tcW w:w="709" w:type="dxa"/>
            <w:tcBorders>
              <w:top w:val="nil"/>
              <w:left w:val="nil"/>
              <w:bottom w:val="single" w:color="auto" w:sz="4" w:space="0"/>
              <w:right w:val="single" w:color="000000" w:sz="8" w:space="0"/>
            </w:tcBorders>
            <w:shd w:val="clear" w:color="auto" w:fill="FFFFFF"/>
            <w:vAlign w:val="center"/>
          </w:tcPr>
          <w:p w14:paraId="163915D1">
            <w:pPr>
              <w:widowControl/>
              <w:jc w:val="center"/>
              <w:rPr>
                <w:color w:val="000000"/>
                <w:kern w:val="0"/>
                <w:sz w:val="22"/>
                <w:szCs w:val="22"/>
              </w:rPr>
            </w:pPr>
            <w:r>
              <w:rPr>
                <w:color w:val="000000"/>
                <w:kern w:val="0"/>
                <w:sz w:val="22"/>
                <w:szCs w:val="22"/>
              </w:rPr>
              <w:t>10</w:t>
            </w:r>
          </w:p>
        </w:tc>
        <w:tc>
          <w:tcPr>
            <w:tcW w:w="992" w:type="dxa"/>
            <w:tcBorders>
              <w:top w:val="nil"/>
              <w:left w:val="nil"/>
              <w:bottom w:val="single" w:color="auto" w:sz="4" w:space="0"/>
              <w:right w:val="single" w:color="000000" w:sz="8" w:space="0"/>
            </w:tcBorders>
            <w:shd w:val="clear" w:color="auto" w:fill="FFFFFF"/>
            <w:vAlign w:val="center"/>
          </w:tcPr>
          <w:p w14:paraId="62E5D364">
            <w:pPr>
              <w:widowControl/>
              <w:jc w:val="center"/>
              <w:rPr>
                <w:color w:val="000000"/>
                <w:kern w:val="0"/>
                <w:sz w:val="22"/>
                <w:szCs w:val="22"/>
              </w:rPr>
            </w:pPr>
            <w:r>
              <w:rPr>
                <w:color w:val="000000"/>
                <w:kern w:val="0"/>
                <w:sz w:val="22"/>
                <w:szCs w:val="22"/>
              </w:rPr>
              <w:t>100%</w:t>
            </w:r>
          </w:p>
        </w:tc>
        <w:tc>
          <w:tcPr>
            <w:tcW w:w="993" w:type="dxa"/>
            <w:tcBorders>
              <w:top w:val="nil"/>
              <w:left w:val="nil"/>
              <w:bottom w:val="single" w:color="auto" w:sz="4" w:space="0"/>
              <w:right w:val="single" w:color="000000" w:sz="8" w:space="0"/>
            </w:tcBorders>
            <w:shd w:val="clear" w:color="auto" w:fill="FFFFFF"/>
            <w:vAlign w:val="center"/>
          </w:tcPr>
          <w:p w14:paraId="7149AFBE">
            <w:pPr>
              <w:widowControl/>
              <w:jc w:val="center"/>
              <w:rPr>
                <w:color w:val="000000"/>
                <w:kern w:val="0"/>
                <w:sz w:val="22"/>
                <w:szCs w:val="22"/>
              </w:rPr>
            </w:pPr>
            <w:r>
              <w:rPr>
                <w:color w:val="000000"/>
                <w:kern w:val="0"/>
                <w:sz w:val="22"/>
                <w:szCs w:val="22"/>
              </w:rPr>
              <w:t>100%</w:t>
            </w:r>
          </w:p>
        </w:tc>
        <w:tc>
          <w:tcPr>
            <w:tcW w:w="1045" w:type="dxa"/>
            <w:tcBorders>
              <w:top w:val="nil"/>
              <w:left w:val="nil"/>
              <w:bottom w:val="single" w:color="auto" w:sz="4" w:space="0"/>
              <w:right w:val="single" w:color="000000" w:sz="8" w:space="0"/>
            </w:tcBorders>
            <w:shd w:val="clear" w:color="auto" w:fill="FFFFFF"/>
            <w:vAlign w:val="center"/>
          </w:tcPr>
          <w:p w14:paraId="5D0E74D1">
            <w:pPr>
              <w:widowControl/>
              <w:jc w:val="center"/>
              <w:rPr>
                <w:color w:val="000000"/>
                <w:kern w:val="0"/>
                <w:sz w:val="22"/>
                <w:szCs w:val="22"/>
              </w:rPr>
            </w:pPr>
            <w:r>
              <w:rPr>
                <w:color w:val="000000"/>
                <w:kern w:val="0"/>
                <w:sz w:val="22"/>
                <w:szCs w:val="22"/>
              </w:rPr>
              <w:t>100%</w:t>
            </w:r>
          </w:p>
        </w:tc>
        <w:tc>
          <w:tcPr>
            <w:tcW w:w="797" w:type="dxa"/>
            <w:tcBorders>
              <w:top w:val="nil"/>
              <w:left w:val="nil"/>
              <w:bottom w:val="single" w:color="auto" w:sz="4" w:space="0"/>
              <w:right w:val="single" w:color="000000" w:sz="8" w:space="0"/>
            </w:tcBorders>
            <w:shd w:val="clear" w:color="auto" w:fill="FFFFFF"/>
            <w:vAlign w:val="center"/>
          </w:tcPr>
          <w:p w14:paraId="569B05CE">
            <w:pPr>
              <w:widowControl/>
              <w:jc w:val="center"/>
              <w:rPr>
                <w:color w:val="000000"/>
                <w:kern w:val="0"/>
                <w:sz w:val="22"/>
                <w:szCs w:val="22"/>
              </w:rPr>
            </w:pPr>
            <w:r>
              <w:rPr>
                <w:color w:val="000000"/>
                <w:kern w:val="0"/>
                <w:sz w:val="22"/>
                <w:szCs w:val="22"/>
              </w:rPr>
              <w:t>10</w:t>
            </w:r>
          </w:p>
        </w:tc>
      </w:tr>
      <w:tr w14:paraId="17F1F203">
        <w:tblPrEx>
          <w:tblCellMar>
            <w:top w:w="0" w:type="dxa"/>
            <w:left w:w="108" w:type="dxa"/>
            <w:bottom w:w="0" w:type="dxa"/>
            <w:right w:w="108" w:type="dxa"/>
          </w:tblCellMar>
        </w:tblPrEx>
        <w:trPr>
          <w:trHeight w:val="1601" w:hRule="atLeast"/>
        </w:trPr>
        <w:tc>
          <w:tcPr>
            <w:tcW w:w="724"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9CAE021">
            <w:pPr>
              <w:widowControl/>
              <w:jc w:val="center"/>
              <w:rPr>
                <w:rFonts w:ascii="宋体" w:hAnsi="宋体" w:cs="宋体"/>
                <w:color w:val="000000"/>
                <w:kern w:val="0"/>
                <w:sz w:val="22"/>
                <w:szCs w:val="22"/>
              </w:rPr>
            </w:pPr>
            <w:r>
              <w:rPr>
                <w:rFonts w:hint="eastAsia" w:ascii="宋体" w:hAnsi="宋体" w:cs="宋体"/>
                <w:color w:val="000000"/>
                <w:kern w:val="0"/>
                <w:sz w:val="22"/>
                <w:szCs w:val="22"/>
              </w:rPr>
              <w:t>效益　</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0BC6C091">
            <w:pPr>
              <w:widowControl/>
              <w:jc w:val="center"/>
              <w:rPr>
                <w:color w:val="000000"/>
                <w:kern w:val="0"/>
                <w:sz w:val="22"/>
                <w:szCs w:val="22"/>
              </w:rPr>
            </w:pPr>
            <w:r>
              <w:rPr>
                <w:color w:val="000000"/>
                <w:kern w:val="0"/>
                <w:sz w:val="22"/>
                <w:szCs w:val="22"/>
              </w:rPr>
              <w:t>20</w:t>
            </w:r>
            <w:r>
              <w:rPr>
                <w:rFonts w:hint="eastAsia" w:ascii="宋体" w:hAnsi="宋体"/>
                <w:color w:val="000000"/>
                <w:kern w:val="0"/>
                <w:sz w:val="22"/>
                <w:szCs w:val="22"/>
              </w:rPr>
              <w:t>分</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7B7C13D5">
            <w:pPr>
              <w:widowControl/>
              <w:jc w:val="center"/>
              <w:rPr>
                <w:rFonts w:ascii="宋体" w:hAnsi="宋体" w:cs="宋体"/>
                <w:color w:val="000000"/>
                <w:kern w:val="0"/>
                <w:sz w:val="22"/>
                <w:szCs w:val="22"/>
              </w:rPr>
            </w:pPr>
            <w:r>
              <w:rPr>
                <w:rFonts w:hint="eastAsia" w:ascii="宋体" w:hAnsi="宋体" w:cs="宋体"/>
                <w:color w:val="000000"/>
                <w:kern w:val="0"/>
                <w:sz w:val="22"/>
                <w:szCs w:val="22"/>
              </w:rPr>
              <w:t>项目效益　</w:t>
            </w: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14:paraId="223DB172">
            <w:pPr>
              <w:widowControl/>
              <w:jc w:val="center"/>
              <w:rPr>
                <w:rFonts w:ascii="宋体" w:hAnsi="宋体" w:cs="宋体"/>
                <w:color w:val="000000"/>
                <w:kern w:val="0"/>
                <w:sz w:val="22"/>
                <w:szCs w:val="22"/>
              </w:rPr>
            </w:pPr>
            <w:r>
              <w:rPr>
                <w:rFonts w:hint="eastAsia" w:ascii="宋体" w:hAnsi="宋体" w:cs="宋体"/>
                <w:color w:val="000000"/>
                <w:kern w:val="0"/>
                <w:sz w:val="22"/>
                <w:szCs w:val="22"/>
              </w:rPr>
              <w:t>实施效益（社会效益、经济效益、可持续效益）</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1C5D5D7D">
            <w:pPr>
              <w:widowControl/>
              <w:jc w:val="center"/>
              <w:rPr>
                <w:color w:val="000000"/>
                <w:kern w:val="0"/>
                <w:sz w:val="22"/>
                <w:szCs w:val="22"/>
              </w:rPr>
            </w:pPr>
            <w:r>
              <w:rPr>
                <w:color w:val="000000"/>
                <w:kern w:val="0"/>
                <w:sz w:val="22"/>
                <w:szCs w:val="22"/>
              </w:rPr>
              <w:t>10</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0B71CEEB">
            <w:pPr>
              <w:widowControl/>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993" w:type="dxa"/>
            <w:tcBorders>
              <w:top w:val="single" w:color="auto" w:sz="4" w:space="0"/>
              <w:left w:val="single" w:color="auto" w:sz="4" w:space="0"/>
              <w:bottom w:val="single" w:color="auto" w:sz="4" w:space="0"/>
              <w:right w:val="single" w:color="auto" w:sz="4" w:space="0"/>
            </w:tcBorders>
            <w:shd w:val="clear" w:color="auto" w:fill="FFFFFF"/>
            <w:vAlign w:val="center"/>
          </w:tcPr>
          <w:p w14:paraId="230BFE26">
            <w:pPr>
              <w:widowControl/>
              <w:jc w:val="center"/>
              <w:rPr>
                <w:rFonts w:ascii="宋体" w:hAnsi="宋体" w:cs="宋体"/>
                <w:color w:val="000000"/>
                <w:kern w:val="0"/>
                <w:sz w:val="22"/>
                <w:szCs w:val="22"/>
              </w:rPr>
            </w:pPr>
            <w:r>
              <w:rPr>
                <w:rFonts w:hint="eastAsia" w:ascii="宋体" w:hAnsi="宋体" w:cs="宋体"/>
                <w:color w:val="000000"/>
                <w:kern w:val="0"/>
                <w:sz w:val="22"/>
                <w:szCs w:val="22"/>
              </w:rPr>
              <w:t>有效</w:t>
            </w:r>
          </w:p>
        </w:tc>
        <w:tc>
          <w:tcPr>
            <w:tcW w:w="1045" w:type="dxa"/>
            <w:tcBorders>
              <w:top w:val="single" w:color="auto" w:sz="4" w:space="0"/>
              <w:left w:val="single" w:color="auto" w:sz="4" w:space="0"/>
              <w:bottom w:val="single" w:color="auto" w:sz="4" w:space="0"/>
              <w:right w:val="single" w:color="auto" w:sz="4" w:space="0"/>
            </w:tcBorders>
            <w:shd w:val="clear" w:color="auto" w:fill="FFFFFF"/>
            <w:vAlign w:val="center"/>
          </w:tcPr>
          <w:p w14:paraId="35DB056E">
            <w:pPr>
              <w:widowControl/>
              <w:jc w:val="center"/>
              <w:rPr>
                <w:color w:val="000000"/>
                <w:kern w:val="0"/>
                <w:sz w:val="22"/>
                <w:szCs w:val="22"/>
              </w:rPr>
            </w:pPr>
            <w:r>
              <w:rPr>
                <w:color w:val="000000"/>
                <w:kern w:val="0"/>
                <w:sz w:val="22"/>
                <w:szCs w:val="22"/>
              </w:rPr>
              <w:t>100%</w:t>
            </w:r>
          </w:p>
        </w:tc>
        <w:tc>
          <w:tcPr>
            <w:tcW w:w="797" w:type="dxa"/>
            <w:tcBorders>
              <w:top w:val="single" w:color="auto" w:sz="4" w:space="0"/>
              <w:left w:val="single" w:color="auto" w:sz="4" w:space="0"/>
              <w:bottom w:val="single" w:color="auto" w:sz="4" w:space="0"/>
              <w:right w:val="single" w:color="auto" w:sz="4" w:space="0"/>
            </w:tcBorders>
            <w:shd w:val="clear" w:color="auto" w:fill="FFFFFF"/>
            <w:vAlign w:val="center"/>
          </w:tcPr>
          <w:p w14:paraId="3F7B2CAB">
            <w:pPr>
              <w:widowControl/>
              <w:jc w:val="center"/>
              <w:rPr>
                <w:color w:val="000000"/>
                <w:kern w:val="0"/>
                <w:sz w:val="22"/>
                <w:szCs w:val="22"/>
              </w:rPr>
            </w:pPr>
            <w:r>
              <w:rPr>
                <w:color w:val="000000"/>
                <w:kern w:val="0"/>
                <w:sz w:val="22"/>
                <w:szCs w:val="22"/>
              </w:rPr>
              <w:t>10</w:t>
            </w:r>
          </w:p>
        </w:tc>
      </w:tr>
      <w:tr w14:paraId="36B711B1">
        <w:tblPrEx>
          <w:tblCellMar>
            <w:top w:w="0" w:type="dxa"/>
            <w:left w:w="108" w:type="dxa"/>
            <w:bottom w:w="0" w:type="dxa"/>
            <w:right w:w="108" w:type="dxa"/>
          </w:tblCellMar>
        </w:tblPrEx>
        <w:trPr>
          <w:trHeight w:val="315" w:hRule="atLeast"/>
        </w:trPr>
        <w:tc>
          <w:tcPr>
            <w:tcW w:w="724" w:type="dxa"/>
            <w:vMerge w:val="continue"/>
            <w:tcBorders>
              <w:top w:val="single" w:color="auto" w:sz="4" w:space="0"/>
              <w:left w:val="single" w:color="auto" w:sz="4" w:space="0"/>
              <w:bottom w:val="single" w:color="auto" w:sz="4" w:space="0"/>
              <w:right w:val="single" w:color="auto" w:sz="4" w:space="0"/>
            </w:tcBorders>
            <w:vAlign w:val="center"/>
          </w:tcPr>
          <w:p w14:paraId="58E8231F">
            <w:pPr>
              <w:widowControl/>
              <w:jc w:val="left"/>
              <w:rPr>
                <w:rFonts w:ascii="宋体" w:hAnsi="宋体" w:cs="宋体"/>
                <w:color w:val="000000"/>
                <w:kern w:val="0"/>
                <w:sz w:val="22"/>
                <w:szCs w:val="22"/>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1213147">
            <w:pPr>
              <w:widowControl/>
              <w:jc w:val="left"/>
              <w:rPr>
                <w:color w:val="000000"/>
                <w:kern w:val="0"/>
                <w:sz w:val="22"/>
                <w:szCs w:val="22"/>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14:paraId="2873193E">
            <w:pPr>
              <w:widowControl/>
              <w:jc w:val="left"/>
              <w:rPr>
                <w:rFonts w:ascii="宋体" w:hAnsi="宋体" w:cs="宋体"/>
                <w:color w:val="000000"/>
                <w:kern w:val="0"/>
                <w:sz w:val="22"/>
                <w:szCs w:val="22"/>
              </w:rPr>
            </w:pPr>
          </w:p>
        </w:tc>
        <w:tc>
          <w:tcPr>
            <w:tcW w:w="1275" w:type="dxa"/>
            <w:tcBorders>
              <w:top w:val="single" w:color="auto" w:sz="4" w:space="0"/>
              <w:left w:val="single" w:color="auto" w:sz="4" w:space="0"/>
              <w:bottom w:val="single" w:color="auto" w:sz="4" w:space="0"/>
              <w:right w:val="single" w:color="auto" w:sz="4" w:space="0"/>
            </w:tcBorders>
            <w:shd w:val="clear" w:color="auto" w:fill="FFFFFF"/>
            <w:vAlign w:val="center"/>
          </w:tcPr>
          <w:p w14:paraId="5300AA48">
            <w:pPr>
              <w:widowControl/>
              <w:jc w:val="center"/>
              <w:rPr>
                <w:rFonts w:ascii="宋体" w:hAnsi="宋体" w:cs="宋体"/>
                <w:color w:val="000000"/>
                <w:kern w:val="0"/>
                <w:sz w:val="22"/>
                <w:szCs w:val="22"/>
              </w:rPr>
            </w:pPr>
            <w:r>
              <w:rPr>
                <w:rFonts w:hint="eastAsia" w:ascii="宋体" w:hAnsi="宋体" w:cs="宋体"/>
                <w:color w:val="000000"/>
                <w:kern w:val="0"/>
                <w:sz w:val="22"/>
                <w:szCs w:val="22"/>
              </w:rPr>
              <w:t>满意度</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170A56D1">
            <w:pPr>
              <w:widowControl/>
              <w:jc w:val="center"/>
              <w:rPr>
                <w:color w:val="000000"/>
                <w:kern w:val="0"/>
                <w:sz w:val="22"/>
                <w:szCs w:val="22"/>
              </w:rPr>
            </w:pPr>
            <w:r>
              <w:rPr>
                <w:color w:val="000000"/>
                <w:kern w:val="0"/>
                <w:sz w:val="22"/>
                <w:szCs w:val="22"/>
              </w:rPr>
              <w:t>10</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03561857">
            <w:pPr>
              <w:widowControl/>
              <w:jc w:val="center"/>
              <w:rPr>
                <w:color w:val="000000"/>
                <w:kern w:val="0"/>
                <w:sz w:val="22"/>
                <w:szCs w:val="22"/>
              </w:rPr>
            </w:pPr>
            <w:r>
              <w:rPr>
                <w:rFonts w:hint="eastAsia"/>
                <w:color w:val="000000"/>
                <w:kern w:val="0"/>
                <w:sz w:val="22"/>
                <w:szCs w:val="22"/>
              </w:rPr>
              <w:t>≥90</w:t>
            </w:r>
            <w:r>
              <w:rPr>
                <w:color w:val="000000"/>
                <w:kern w:val="0"/>
                <w:sz w:val="22"/>
                <w:szCs w:val="22"/>
              </w:rPr>
              <w:t>%</w:t>
            </w:r>
          </w:p>
        </w:tc>
        <w:tc>
          <w:tcPr>
            <w:tcW w:w="993" w:type="dxa"/>
            <w:tcBorders>
              <w:top w:val="single" w:color="auto" w:sz="4" w:space="0"/>
              <w:left w:val="single" w:color="auto" w:sz="4" w:space="0"/>
              <w:bottom w:val="single" w:color="auto" w:sz="4" w:space="0"/>
              <w:right w:val="single" w:color="auto" w:sz="4" w:space="0"/>
            </w:tcBorders>
            <w:shd w:val="clear" w:color="auto" w:fill="FFFFFF"/>
            <w:vAlign w:val="center"/>
          </w:tcPr>
          <w:p w14:paraId="38769D51">
            <w:pPr>
              <w:widowControl/>
              <w:jc w:val="center"/>
              <w:rPr>
                <w:color w:val="000000"/>
                <w:kern w:val="0"/>
                <w:sz w:val="22"/>
                <w:szCs w:val="22"/>
              </w:rPr>
            </w:pPr>
            <w:r>
              <w:rPr>
                <w:color w:val="000000"/>
                <w:kern w:val="0"/>
                <w:sz w:val="22"/>
                <w:szCs w:val="22"/>
              </w:rPr>
              <w:t>100%</w:t>
            </w:r>
          </w:p>
        </w:tc>
        <w:tc>
          <w:tcPr>
            <w:tcW w:w="1045" w:type="dxa"/>
            <w:tcBorders>
              <w:top w:val="single" w:color="auto" w:sz="4" w:space="0"/>
              <w:left w:val="single" w:color="auto" w:sz="4" w:space="0"/>
              <w:bottom w:val="single" w:color="auto" w:sz="4" w:space="0"/>
              <w:right w:val="single" w:color="auto" w:sz="4" w:space="0"/>
            </w:tcBorders>
            <w:shd w:val="clear" w:color="auto" w:fill="FFFFFF"/>
            <w:vAlign w:val="center"/>
          </w:tcPr>
          <w:p w14:paraId="160905C5">
            <w:pPr>
              <w:widowControl/>
              <w:jc w:val="center"/>
              <w:rPr>
                <w:color w:val="000000"/>
                <w:kern w:val="0"/>
                <w:sz w:val="22"/>
                <w:szCs w:val="22"/>
              </w:rPr>
            </w:pPr>
            <w:r>
              <w:rPr>
                <w:color w:val="000000"/>
                <w:kern w:val="0"/>
                <w:sz w:val="22"/>
                <w:szCs w:val="22"/>
              </w:rPr>
              <w:t>100%</w:t>
            </w:r>
          </w:p>
        </w:tc>
        <w:tc>
          <w:tcPr>
            <w:tcW w:w="797" w:type="dxa"/>
            <w:tcBorders>
              <w:top w:val="single" w:color="auto" w:sz="4" w:space="0"/>
              <w:left w:val="single" w:color="auto" w:sz="4" w:space="0"/>
              <w:bottom w:val="single" w:color="auto" w:sz="4" w:space="0"/>
              <w:right w:val="single" w:color="auto" w:sz="4" w:space="0"/>
            </w:tcBorders>
            <w:shd w:val="clear" w:color="auto" w:fill="FFFFFF"/>
            <w:vAlign w:val="center"/>
          </w:tcPr>
          <w:p w14:paraId="26543381">
            <w:pPr>
              <w:widowControl/>
              <w:jc w:val="center"/>
              <w:rPr>
                <w:color w:val="000000"/>
                <w:kern w:val="0"/>
                <w:sz w:val="22"/>
                <w:szCs w:val="22"/>
              </w:rPr>
            </w:pPr>
            <w:r>
              <w:rPr>
                <w:color w:val="000000"/>
                <w:kern w:val="0"/>
                <w:sz w:val="22"/>
                <w:szCs w:val="22"/>
              </w:rPr>
              <w:t>10</w:t>
            </w:r>
          </w:p>
        </w:tc>
      </w:tr>
      <w:tr w14:paraId="0903154F">
        <w:tblPrEx>
          <w:tblCellMar>
            <w:top w:w="0" w:type="dxa"/>
            <w:left w:w="108" w:type="dxa"/>
            <w:bottom w:w="0" w:type="dxa"/>
            <w:right w:w="108" w:type="dxa"/>
          </w:tblCellMar>
        </w:tblPrEx>
        <w:trPr>
          <w:trHeight w:val="315" w:hRule="atLeast"/>
        </w:trPr>
        <w:tc>
          <w:tcPr>
            <w:tcW w:w="3984" w:type="dxa"/>
            <w:gridSpan w:val="4"/>
            <w:tcBorders>
              <w:top w:val="single" w:color="auto" w:sz="4" w:space="0"/>
              <w:left w:val="single" w:color="auto" w:sz="4" w:space="0"/>
              <w:bottom w:val="single" w:color="auto" w:sz="4" w:space="0"/>
              <w:right w:val="single" w:color="auto" w:sz="4" w:space="0"/>
            </w:tcBorders>
            <w:vAlign w:val="center"/>
          </w:tcPr>
          <w:p w14:paraId="49D5DB9F">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合计</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779E57F8">
            <w:pPr>
              <w:widowControl/>
              <w:jc w:val="center"/>
              <w:rPr>
                <w:b/>
                <w:bCs/>
                <w:color w:val="000000"/>
                <w:kern w:val="0"/>
                <w:sz w:val="22"/>
                <w:szCs w:val="22"/>
              </w:rPr>
            </w:pPr>
            <w:r>
              <w:rPr>
                <w:rFonts w:hint="eastAsia"/>
                <w:b/>
                <w:bCs/>
                <w:color w:val="000000"/>
                <w:kern w:val="0"/>
                <w:sz w:val="22"/>
                <w:szCs w:val="22"/>
              </w:rPr>
              <w:t>100</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16606FAB">
            <w:pPr>
              <w:widowControl/>
              <w:jc w:val="center"/>
              <w:rPr>
                <w:b/>
                <w:bCs/>
                <w:color w:val="000000"/>
                <w:kern w:val="0"/>
                <w:sz w:val="22"/>
                <w:szCs w:val="22"/>
              </w:rPr>
            </w:pPr>
            <w:r>
              <w:rPr>
                <w:rFonts w:hint="eastAsia"/>
                <w:b/>
                <w:bCs/>
                <w:color w:val="000000"/>
                <w:kern w:val="0"/>
                <w:sz w:val="22"/>
                <w:szCs w:val="22"/>
              </w:rPr>
              <w:t>-</w:t>
            </w:r>
          </w:p>
        </w:tc>
        <w:tc>
          <w:tcPr>
            <w:tcW w:w="993" w:type="dxa"/>
            <w:tcBorders>
              <w:top w:val="single" w:color="auto" w:sz="4" w:space="0"/>
              <w:left w:val="single" w:color="auto" w:sz="4" w:space="0"/>
              <w:bottom w:val="single" w:color="auto" w:sz="4" w:space="0"/>
              <w:right w:val="single" w:color="auto" w:sz="4" w:space="0"/>
            </w:tcBorders>
            <w:shd w:val="clear" w:color="auto" w:fill="FFFFFF"/>
            <w:vAlign w:val="center"/>
          </w:tcPr>
          <w:p w14:paraId="6E7994AE">
            <w:pPr>
              <w:widowControl/>
              <w:jc w:val="center"/>
              <w:rPr>
                <w:b/>
                <w:bCs/>
                <w:color w:val="000000"/>
                <w:kern w:val="0"/>
                <w:sz w:val="22"/>
                <w:szCs w:val="22"/>
              </w:rPr>
            </w:pPr>
            <w:r>
              <w:rPr>
                <w:rFonts w:hint="eastAsia"/>
                <w:b/>
                <w:bCs/>
                <w:color w:val="000000"/>
                <w:kern w:val="0"/>
                <w:sz w:val="22"/>
                <w:szCs w:val="22"/>
              </w:rPr>
              <w:t>-</w:t>
            </w:r>
          </w:p>
        </w:tc>
        <w:tc>
          <w:tcPr>
            <w:tcW w:w="1045" w:type="dxa"/>
            <w:tcBorders>
              <w:top w:val="single" w:color="auto" w:sz="4" w:space="0"/>
              <w:left w:val="single" w:color="auto" w:sz="4" w:space="0"/>
              <w:bottom w:val="single" w:color="auto" w:sz="4" w:space="0"/>
              <w:right w:val="single" w:color="auto" w:sz="4" w:space="0"/>
            </w:tcBorders>
            <w:shd w:val="clear" w:color="auto" w:fill="FFFFFF"/>
            <w:vAlign w:val="center"/>
          </w:tcPr>
          <w:p w14:paraId="69F526C1">
            <w:pPr>
              <w:widowControl/>
              <w:jc w:val="center"/>
              <w:rPr>
                <w:b/>
                <w:bCs/>
                <w:color w:val="000000"/>
                <w:kern w:val="0"/>
                <w:sz w:val="22"/>
                <w:szCs w:val="22"/>
              </w:rPr>
            </w:pPr>
            <w:r>
              <w:rPr>
                <w:rFonts w:hint="eastAsia"/>
                <w:b/>
                <w:bCs/>
                <w:color w:val="000000"/>
                <w:kern w:val="0"/>
                <w:sz w:val="22"/>
                <w:szCs w:val="22"/>
              </w:rPr>
              <w:t>-</w:t>
            </w:r>
          </w:p>
        </w:tc>
        <w:tc>
          <w:tcPr>
            <w:tcW w:w="797" w:type="dxa"/>
            <w:tcBorders>
              <w:top w:val="single" w:color="auto" w:sz="4" w:space="0"/>
              <w:left w:val="single" w:color="auto" w:sz="4" w:space="0"/>
              <w:bottom w:val="single" w:color="auto" w:sz="4" w:space="0"/>
              <w:right w:val="single" w:color="auto" w:sz="4" w:space="0"/>
            </w:tcBorders>
            <w:shd w:val="clear" w:color="auto" w:fill="FFFFFF"/>
            <w:vAlign w:val="center"/>
          </w:tcPr>
          <w:p w14:paraId="65D431AB">
            <w:pPr>
              <w:widowControl/>
              <w:jc w:val="center"/>
              <w:rPr>
                <w:b/>
                <w:bCs/>
                <w:color w:val="000000"/>
                <w:kern w:val="0"/>
                <w:sz w:val="22"/>
                <w:szCs w:val="22"/>
              </w:rPr>
            </w:pPr>
            <w:r>
              <w:rPr>
                <w:rFonts w:hint="eastAsia"/>
                <w:b/>
                <w:bCs/>
                <w:color w:val="000000"/>
                <w:kern w:val="0"/>
                <w:sz w:val="22"/>
                <w:szCs w:val="22"/>
              </w:rPr>
              <w:t>99.19</w:t>
            </w:r>
          </w:p>
        </w:tc>
      </w:tr>
    </w:tbl>
    <w:p w14:paraId="4701B584">
      <w:pPr>
        <w:spacing w:line="560" w:lineRule="exact"/>
        <w:ind w:firstLine="640" w:firstLineChars="200"/>
        <w:rPr>
          <w:rFonts w:eastAsia="黑体"/>
          <w:sz w:val="32"/>
          <w:szCs w:val="32"/>
        </w:rPr>
      </w:pPr>
      <w:r>
        <w:rPr>
          <w:rFonts w:eastAsia="黑体"/>
          <w:sz w:val="32"/>
          <w:szCs w:val="32"/>
        </w:rPr>
        <w:t>四、绩效评价指标分析</w:t>
      </w:r>
    </w:p>
    <w:p w14:paraId="75D1C42C">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781298F1">
      <w:pPr>
        <w:spacing w:line="560" w:lineRule="exact"/>
        <w:ind w:firstLine="640" w:firstLineChars="200"/>
        <w:rPr>
          <w:rFonts w:ascii="仿宋" w:hAnsi="仿宋" w:eastAsia="仿宋"/>
          <w:sz w:val="32"/>
          <w:szCs w:val="32"/>
        </w:rPr>
      </w:pPr>
      <w:r>
        <w:rPr>
          <w:rFonts w:hint="eastAsia" w:ascii="仿宋" w:hAnsi="仿宋" w:eastAsia="仿宋"/>
          <w:sz w:val="32"/>
          <w:szCs w:val="32"/>
        </w:rPr>
        <w:t>1、立项依据充分性</w:t>
      </w:r>
    </w:p>
    <w:p w14:paraId="510B5BD6">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项目立项依据</w:t>
      </w:r>
      <w:r>
        <w:rPr>
          <w:rFonts w:hint="eastAsia" w:ascii="仿宋" w:hAnsi="仿宋" w:eastAsia="仿宋" w:cs="宋体"/>
          <w:bCs/>
          <w:kern w:val="0"/>
          <w:sz w:val="32"/>
          <w:szCs w:val="32"/>
        </w:rPr>
        <w:t>根据《新疆维吾尔自治区2021-2022年度政府集中采购目录及标准》</w:t>
      </w:r>
      <w:r>
        <w:rPr>
          <w:rFonts w:hint="eastAsia" w:ascii="仿宋" w:hAnsi="仿宋" w:eastAsia="仿宋"/>
          <w:sz w:val="32"/>
          <w:szCs w:val="32"/>
        </w:rPr>
        <w:t>和</w:t>
      </w:r>
      <w:r>
        <w:rPr>
          <w:rFonts w:hint="eastAsia" w:ascii="仿宋" w:hAnsi="仿宋" w:eastAsia="仿宋" w:cs="宋体"/>
          <w:sz w:val="32"/>
          <w:szCs w:val="32"/>
        </w:rPr>
        <w:t>医院的购置需求和论证。该项目符合行业</w:t>
      </w:r>
      <w:r>
        <w:rPr>
          <w:rFonts w:hint="eastAsia" w:ascii="仿宋" w:hAnsi="仿宋" w:eastAsia="仿宋"/>
          <w:sz w:val="32"/>
          <w:szCs w:val="32"/>
        </w:rPr>
        <w:t>发展规划和政策要求；该项目的实施有助于提升医院医疗水平和保证医院的正常运营，属于医院履职所需该项目不与医院相关项目重复。</w:t>
      </w:r>
    </w:p>
    <w:p w14:paraId="67584450">
      <w:pPr>
        <w:spacing w:line="560" w:lineRule="exact"/>
        <w:ind w:firstLine="640" w:firstLineChars="200"/>
        <w:rPr>
          <w:rFonts w:ascii="仿宋" w:hAnsi="仿宋" w:eastAsia="仿宋"/>
          <w:sz w:val="32"/>
          <w:szCs w:val="32"/>
        </w:rPr>
      </w:pPr>
      <w:r>
        <w:rPr>
          <w:rFonts w:hint="eastAsia" w:ascii="仿宋" w:hAnsi="仿宋" w:eastAsia="仿宋"/>
          <w:sz w:val="32"/>
          <w:szCs w:val="32"/>
        </w:rPr>
        <w:t>2、立项程序规范性</w:t>
      </w:r>
    </w:p>
    <w:p w14:paraId="5C5C9892">
      <w:pPr>
        <w:spacing w:line="560" w:lineRule="exact"/>
        <w:ind w:firstLine="640" w:firstLineChars="200"/>
        <w:jc w:val="left"/>
        <w:rPr>
          <w:rFonts w:ascii="仿宋" w:hAnsi="仿宋" w:eastAsia="仿宋"/>
          <w:sz w:val="32"/>
          <w:szCs w:val="32"/>
        </w:rPr>
      </w:pPr>
      <w:r>
        <w:rPr>
          <w:rFonts w:ascii="仿宋" w:hAnsi="仿宋" w:eastAsia="仿宋"/>
          <w:sz w:val="32"/>
          <w:szCs w:val="32"/>
        </w:rPr>
        <w:t>项目按照规定程序申请设立，由院内归口部门上报，经医院预算委员会讨论，报医院财经领导</w:t>
      </w:r>
      <w:r>
        <w:rPr>
          <w:rFonts w:hint="eastAsia" w:ascii="仿宋" w:hAnsi="仿宋" w:eastAsia="仿宋"/>
          <w:sz w:val="32"/>
          <w:szCs w:val="32"/>
          <w:lang w:eastAsia="zh-CN"/>
        </w:rPr>
        <w:t>小组</w:t>
      </w:r>
      <w:r>
        <w:rPr>
          <w:rFonts w:ascii="仿宋" w:hAnsi="仿宋" w:eastAsia="仿宋"/>
          <w:sz w:val="32"/>
          <w:szCs w:val="32"/>
        </w:rPr>
        <w:t>审核后，经财政批复。申报该项目前，经过必要的可行性研究、专家论证、风险评估、绩效评估和集体决策。</w:t>
      </w:r>
    </w:p>
    <w:p w14:paraId="6903C19A">
      <w:pPr>
        <w:spacing w:line="560" w:lineRule="exact"/>
        <w:ind w:firstLine="640" w:firstLineChars="200"/>
        <w:rPr>
          <w:rFonts w:ascii="仿宋" w:hAnsi="仿宋" w:eastAsia="仿宋"/>
          <w:sz w:val="32"/>
          <w:szCs w:val="32"/>
        </w:rPr>
      </w:pPr>
      <w:r>
        <w:rPr>
          <w:rFonts w:hint="eastAsia" w:ascii="仿宋" w:hAnsi="仿宋" w:eastAsia="仿宋"/>
          <w:sz w:val="32"/>
          <w:szCs w:val="32"/>
        </w:rPr>
        <w:t>3、绩效目标合理性</w:t>
      </w:r>
    </w:p>
    <w:p w14:paraId="19F64453">
      <w:pPr>
        <w:spacing w:line="560" w:lineRule="exact"/>
        <w:ind w:firstLine="640" w:firstLineChars="200"/>
        <w:rPr>
          <w:rFonts w:ascii="仿宋" w:hAnsi="仿宋" w:eastAsia="仿宋"/>
          <w:sz w:val="32"/>
          <w:szCs w:val="32"/>
        </w:rPr>
      </w:pPr>
      <w:r>
        <w:rPr>
          <w:rFonts w:hint="eastAsia" w:ascii="仿宋" w:hAnsi="仿宋" w:eastAsia="仿宋"/>
          <w:sz w:val="32"/>
          <w:szCs w:val="32"/>
        </w:rPr>
        <w:t>医院政府采购项目设立了项目绩效目标，与提升医院医疗水平和保证医院的正常运营具有相关性，项目的预期产出效益和效果也均能符合正常的业绩水平，并且与预算确定的项目投资额或资金量相匹配。</w:t>
      </w:r>
    </w:p>
    <w:p w14:paraId="1B6704DF">
      <w:pPr>
        <w:spacing w:line="560" w:lineRule="exact"/>
        <w:ind w:firstLine="640" w:firstLineChars="200"/>
        <w:rPr>
          <w:rFonts w:ascii="仿宋" w:hAnsi="仿宋" w:eastAsia="仿宋"/>
          <w:sz w:val="32"/>
          <w:szCs w:val="32"/>
        </w:rPr>
      </w:pPr>
      <w:r>
        <w:rPr>
          <w:rFonts w:hint="eastAsia" w:ascii="仿宋" w:hAnsi="仿宋" w:eastAsia="仿宋"/>
          <w:sz w:val="32"/>
          <w:szCs w:val="32"/>
        </w:rPr>
        <w:t>4、绩效指标明确性</w:t>
      </w:r>
    </w:p>
    <w:p w14:paraId="66152141">
      <w:pPr>
        <w:spacing w:line="560" w:lineRule="exact"/>
        <w:ind w:firstLine="640" w:firstLineChars="200"/>
        <w:rPr>
          <w:rFonts w:ascii="仿宋" w:hAnsi="仿宋" w:eastAsia="仿宋"/>
          <w:color w:val="FF0000"/>
          <w:sz w:val="32"/>
          <w:szCs w:val="32"/>
        </w:rPr>
      </w:pPr>
      <w:bookmarkStart w:id="1" w:name="_Hlk68699917"/>
      <w:r>
        <w:rPr>
          <w:rFonts w:ascii="仿宋" w:hAnsi="仿宋" w:eastAsia="仿宋"/>
          <w:sz w:val="32"/>
          <w:szCs w:val="32"/>
        </w:rPr>
        <w:t>医院政府采购</w:t>
      </w:r>
      <w:r>
        <w:rPr>
          <w:rFonts w:hint="eastAsia" w:ascii="仿宋" w:hAnsi="仿宋" w:eastAsia="仿宋"/>
          <w:sz w:val="32"/>
          <w:szCs w:val="32"/>
        </w:rPr>
        <w:t>项目将项目绩效目标细化分解为具体的绩效指标，一级指标共4条，二级指标共7条，三级指标共11条，其中量化指标条数共11条，所有绩效指标均通过清晰、可衡量的指标值予以体现，并且做到了与项目目标任务数或计划数相对应。</w:t>
      </w:r>
      <w:bookmarkEnd w:id="1"/>
    </w:p>
    <w:p w14:paraId="41BD6EFA">
      <w:pPr>
        <w:spacing w:line="560" w:lineRule="exact"/>
        <w:ind w:firstLine="640" w:firstLineChars="200"/>
        <w:rPr>
          <w:rFonts w:ascii="仿宋" w:hAnsi="仿宋" w:eastAsia="仿宋"/>
          <w:sz w:val="32"/>
          <w:szCs w:val="32"/>
        </w:rPr>
      </w:pPr>
      <w:r>
        <w:rPr>
          <w:rFonts w:hint="eastAsia" w:ascii="仿宋" w:hAnsi="仿宋" w:eastAsia="仿宋"/>
          <w:sz w:val="32"/>
          <w:szCs w:val="32"/>
        </w:rPr>
        <w:t>5、预算编制科学性</w:t>
      </w:r>
    </w:p>
    <w:p w14:paraId="0C28D24A">
      <w:pPr>
        <w:spacing w:line="560" w:lineRule="exact"/>
        <w:ind w:firstLine="640" w:firstLineChars="200"/>
        <w:rPr>
          <w:rFonts w:ascii="仿宋" w:hAnsi="仿宋" w:eastAsia="仿宋"/>
          <w:color w:val="FF0000"/>
          <w:sz w:val="32"/>
          <w:szCs w:val="32"/>
        </w:rPr>
      </w:pPr>
      <w:r>
        <w:rPr>
          <w:rFonts w:hint="eastAsia" w:ascii="仿宋" w:hAnsi="仿宋" w:eastAsia="仿宋"/>
          <w:color w:val="000000" w:themeColor="text1"/>
          <w:sz w:val="32"/>
          <w:szCs w:val="32"/>
        </w:rPr>
        <w:t>政府采购项目预算编制严格按照</w:t>
      </w:r>
      <w:r>
        <w:rPr>
          <w:rFonts w:hint="eastAsia" w:ascii="仿宋" w:hAnsi="仿宋" w:eastAsia="仿宋" w:cs="宋体"/>
          <w:bCs/>
          <w:color w:val="000000" w:themeColor="text1"/>
          <w:kern w:val="0"/>
          <w:sz w:val="32"/>
          <w:szCs w:val="32"/>
        </w:rPr>
        <w:t>《</w:t>
      </w:r>
      <w:r>
        <w:rPr>
          <w:rFonts w:hint="eastAsia" w:ascii="仿宋" w:hAnsi="仿宋" w:eastAsia="仿宋" w:cs="宋体"/>
          <w:bCs/>
          <w:kern w:val="0"/>
          <w:sz w:val="32"/>
          <w:szCs w:val="32"/>
        </w:rPr>
        <w:t>新疆维吾尔自治区2021-2022年度政府集中采购目录及标准》编制，并经过专家论证，预算委员会讨论，预算内容与项目内容匹配；预算额度测算依据充分，按照政策标准、计划标准和历史标准测算，政府采购项目资金量与工作任务相匹配。</w:t>
      </w:r>
    </w:p>
    <w:p w14:paraId="7836C17A">
      <w:pPr>
        <w:spacing w:line="560" w:lineRule="exact"/>
        <w:ind w:firstLine="640" w:firstLineChars="200"/>
        <w:rPr>
          <w:rFonts w:ascii="仿宋" w:hAnsi="仿宋" w:eastAsia="仿宋"/>
          <w:sz w:val="32"/>
          <w:szCs w:val="32"/>
        </w:rPr>
      </w:pPr>
      <w:r>
        <w:rPr>
          <w:rFonts w:hint="eastAsia" w:ascii="仿宋" w:hAnsi="仿宋" w:eastAsia="仿宋"/>
          <w:sz w:val="32"/>
          <w:szCs w:val="32"/>
        </w:rPr>
        <w:t>6、资金分配合理性</w:t>
      </w:r>
    </w:p>
    <w:p w14:paraId="02917404">
      <w:pPr>
        <w:spacing w:line="56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预算资金分配依据充分，分配额度合理，与医院实际相适应。</w:t>
      </w:r>
    </w:p>
    <w:p w14:paraId="0D7C8186">
      <w:pPr>
        <w:pStyle w:val="2"/>
        <w:spacing w:before="0" w:after="0" w:line="560" w:lineRule="exact"/>
        <w:ind w:firstLine="643" w:firstLineChars="200"/>
        <w:jc w:val="both"/>
        <w:rPr>
          <w:rFonts w:ascii="楷体" w:hAnsi="楷体" w:eastAsia="楷体" w:cs="楷体"/>
        </w:rPr>
      </w:pPr>
      <w:r>
        <w:rPr>
          <w:rFonts w:hint="eastAsia" w:ascii="楷体" w:hAnsi="楷体" w:eastAsia="楷体" w:cs="楷体"/>
        </w:rPr>
        <w:t>（二）项目过程情况</w:t>
      </w:r>
    </w:p>
    <w:p w14:paraId="6BEE4C6B">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1、资金到位率：</w:t>
      </w:r>
    </w:p>
    <w:p w14:paraId="3B71F89D">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预算资金3509万元，实际到位资金3509万元，资金到位率100%。</w:t>
      </w:r>
    </w:p>
    <w:p w14:paraId="40E1ADA7">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2、预算执行率</w:t>
      </w:r>
    </w:p>
    <w:p w14:paraId="144173E7">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年初预算数3509万元，全年预算数3509万元，全年执行数2800.56万元，预算执行率为79.81%。</w:t>
      </w:r>
    </w:p>
    <w:p w14:paraId="69F0B5DA">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3、资金使用合规性</w:t>
      </w:r>
    </w:p>
    <w:p w14:paraId="5C6CDBB5">
      <w:pPr>
        <w:spacing w:line="5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kern w:val="28"/>
          <w:sz w:val="32"/>
          <w:szCs w:val="32"/>
        </w:rPr>
        <w:t>资金严格按照国家财经法规和财务管理制度及有关专项资金管理办法的规定。资金拨付严格按照</w:t>
      </w:r>
      <w:r>
        <w:rPr>
          <w:rFonts w:hint="eastAsia" w:ascii="仿宋" w:hAnsi="仿宋" w:eastAsia="仿宋"/>
          <w:color w:val="000000" w:themeColor="text1"/>
          <w:sz w:val="32"/>
          <w:szCs w:val="32"/>
        </w:rPr>
        <w:t>《关于批复自治区本级2023年部门预算的通知》（新财预[2023]1号）拨付；支付内容符合项目预算批复规定的用途，主要用于支付医疗设备、软硬件、房屋修缮等，不存在占用列支出等情况。</w:t>
      </w:r>
    </w:p>
    <w:p w14:paraId="6B3DB3E8">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4、管理制度健全性</w:t>
      </w:r>
    </w:p>
    <w:p w14:paraId="43558ECA">
      <w:pPr>
        <w:spacing w:line="500" w:lineRule="exact"/>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医院制定了《新疆医科大学第二附属医院资金使用审批程序及权限规定（暂行）》和《新疆医科大学第二附属医院政府采购制度》等制度；财务和业务管理制度合法、合规、完整。</w:t>
      </w:r>
    </w:p>
    <w:p w14:paraId="13C852F0">
      <w:pPr>
        <w:spacing w:line="560" w:lineRule="exact"/>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5、制度执行有效性</w:t>
      </w:r>
    </w:p>
    <w:p w14:paraId="3F3AED54">
      <w:pPr>
        <w:spacing w:line="500" w:lineRule="exact"/>
        <w:ind w:firstLine="640" w:firstLineChars="200"/>
        <w:rPr>
          <w:rFonts w:ascii="仿宋" w:hAnsi="仿宋" w:eastAsia="仿宋"/>
          <w:color w:val="000000" w:themeColor="text1"/>
          <w:sz w:val="32"/>
          <w:szCs w:val="32"/>
        </w:rPr>
      </w:pPr>
      <w:r>
        <w:rPr>
          <w:rFonts w:ascii="仿宋" w:hAnsi="仿宋" w:eastAsia="仿宋"/>
          <w:color w:val="000000" w:themeColor="text1"/>
          <w:sz w:val="32"/>
          <w:szCs w:val="32"/>
        </w:rPr>
        <w:t>医院严格遵守相关法律法规和相关管理规定，项目中的采购程序、合同书、验收报告等资料齐全并及时归档。项目实施的人员条件、场地设备、信息支撑等落实到位。</w:t>
      </w:r>
    </w:p>
    <w:p w14:paraId="356BFFDC">
      <w:pPr>
        <w:pStyle w:val="2"/>
        <w:spacing w:before="0" w:after="0" w:line="560" w:lineRule="exact"/>
        <w:ind w:firstLine="643" w:firstLineChars="200"/>
        <w:jc w:val="both"/>
        <w:rPr>
          <w:rFonts w:ascii="楷体" w:hAnsi="楷体" w:eastAsia="楷体" w:cs="楷体"/>
        </w:rPr>
      </w:pPr>
      <w:r>
        <w:rPr>
          <w:rFonts w:hint="eastAsia" w:ascii="楷体" w:hAnsi="楷体" w:eastAsia="楷体" w:cs="楷体"/>
        </w:rPr>
        <w:t>（三）项目产出</w:t>
      </w:r>
    </w:p>
    <w:p w14:paraId="7DC95D16">
      <w:pPr>
        <w:snapToGrid w:val="0"/>
        <w:spacing w:line="560" w:lineRule="exact"/>
        <w:ind w:firstLine="627" w:firstLineChars="200"/>
        <w:rPr>
          <w:rStyle w:val="14"/>
          <w:rFonts w:ascii="仿宋" w:hAnsi="仿宋" w:eastAsia="仿宋"/>
          <w:bCs w:val="0"/>
          <w:spacing w:val="-4"/>
          <w:sz w:val="32"/>
          <w:szCs w:val="32"/>
        </w:rPr>
      </w:pPr>
      <w:r>
        <w:rPr>
          <w:rStyle w:val="14"/>
          <w:rFonts w:ascii="仿宋" w:hAnsi="仿宋" w:eastAsia="仿宋"/>
          <w:bCs w:val="0"/>
          <w:spacing w:val="-4"/>
          <w:sz w:val="32"/>
          <w:szCs w:val="32"/>
        </w:rPr>
        <w:t>数量指标方面：</w:t>
      </w:r>
    </w:p>
    <w:p w14:paraId="15A17DD0">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指标1：</w:t>
      </w:r>
      <w:r>
        <w:rPr>
          <w:rStyle w:val="14"/>
          <w:rFonts w:hint="eastAsia" w:ascii="仿宋" w:hAnsi="仿宋" w:eastAsia="仿宋"/>
          <w:b w:val="0"/>
          <w:spacing w:val="-4"/>
          <w:sz w:val="32"/>
          <w:szCs w:val="32"/>
        </w:rPr>
        <w:t>设备购置数量</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hint="eastAsia" w:ascii="仿宋" w:hAnsi="仿宋" w:eastAsia="仿宋"/>
          <w:b w:val="0"/>
          <w:spacing w:val="-4"/>
          <w:sz w:val="32"/>
          <w:szCs w:val="32"/>
        </w:rPr>
        <w:t>=30台</w:t>
      </w:r>
      <w:r>
        <w:rPr>
          <w:rStyle w:val="14"/>
          <w:rFonts w:ascii="仿宋" w:hAnsi="仿宋" w:eastAsia="仿宋"/>
          <w:b w:val="0"/>
          <w:spacing w:val="-4"/>
          <w:sz w:val="32"/>
          <w:szCs w:val="32"/>
        </w:rPr>
        <w:t xml:space="preserve"> ，实际完成值：</w:t>
      </w:r>
      <w:r>
        <w:rPr>
          <w:rStyle w:val="14"/>
          <w:rFonts w:hint="eastAsia" w:ascii="仿宋" w:hAnsi="仿宋" w:eastAsia="仿宋"/>
          <w:b w:val="0"/>
          <w:spacing w:val="-4"/>
          <w:sz w:val="32"/>
          <w:szCs w:val="32"/>
        </w:rPr>
        <w:t>30台</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4570AA1C">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w:t>
      </w:r>
      <w:r>
        <w:rPr>
          <w:rStyle w:val="14"/>
          <w:rFonts w:hint="eastAsia" w:ascii="仿宋" w:hAnsi="仿宋" w:eastAsia="仿宋"/>
          <w:b w:val="0"/>
          <w:spacing w:val="-4"/>
          <w:sz w:val="32"/>
          <w:szCs w:val="32"/>
        </w:rPr>
        <w:t>2</w:t>
      </w:r>
      <w:r>
        <w:rPr>
          <w:rStyle w:val="14"/>
          <w:rFonts w:ascii="仿宋" w:hAnsi="仿宋" w:eastAsia="仿宋"/>
          <w:b w:val="0"/>
          <w:spacing w:val="-4"/>
          <w:sz w:val="32"/>
          <w:szCs w:val="32"/>
        </w:rPr>
        <w:t>：</w:t>
      </w:r>
      <w:r>
        <w:rPr>
          <w:rStyle w:val="14"/>
          <w:rFonts w:hint="eastAsia" w:ascii="仿宋" w:hAnsi="仿宋" w:eastAsia="仿宋"/>
          <w:b w:val="0"/>
          <w:spacing w:val="-4"/>
          <w:sz w:val="32"/>
          <w:szCs w:val="32"/>
        </w:rPr>
        <w:t>软件建设数量</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hint="eastAsia" w:ascii="仿宋" w:hAnsi="仿宋" w:eastAsia="仿宋"/>
          <w:b w:val="0"/>
          <w:spacing w:val="-4"/>
          <w:sz w:val="32"/>
          <w:szCs w:val="32"/>
        </w:rPr>
        <w:t>=1个</w:t>
      </w:r>
      <w:r>
        <w:rPr>
          <w:rStyle w:val="14"/>
          <w:rFonts w:ascii="仿宋" w:hAnsi="仿宋" w:eastAsia="仿宋"/>
          <w:b w:val="0"/>
          <w:spacing w:val="-4"/>
          <w:sz w:val="32"/>
          <w:szCs w:val="32"/>
        </w:rPr>
        <w:t xml:space="preserve"> ，实际完成值：</w:t>
      </w:r>
      <w:r>
        <w:rPr>
          <w:rStyle w:val="14"/>
          <w:rFonts w:hint="eastAsia" w:ascii="仿宋" w:hAnsi="仿宋" w:eastAsia="仿宋"/>
          <w:b w:val="0"/>
          <w:spacing w:val="-4"/>
          <w:sz w:val="32"/>
          <w:szCs w:val="32"/>
        </w:rPr>
        <w:t>1个</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33801673">
      <w:pPr>
        <w:spacing w:line="560" w:lineRule="exact"/>
        <w:ind w:firstLine="643" w:firstLineChars="200"/>
        <w:rPr>
          <w:rStyle w:val="16"/>
          <w:rFonts w:ascii="仿宋" w:hAnsi="仿宋" w:eastAsia="仿宋" w:cs="Times New Roman"/>
          <w:b/>
          <w:bCs/>
          <w:color w:val="auto"/>
        </w:rPr>
      </w:pPr>
      <w:r>
        <w:rPr>
          <w:rStyle w:val="16"/>
          <w:rFonts w:ascii="仿宋" w:hAnsi="仿宋" w:eastAsia="仿宋" w:cs="Times New Roman"/>
          <w:b/>
          <w:bCs/>
          <w:color w:val="auto"/>
        </w:rPr>
        <w:t>质量指标方面：</w:t>
      </w:r>
    </w:p>
    <w:p w14:paraId="6E7A24EA">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指标1：</w:t>
      </w:r>
      <w:r>
        <w:rPr>
          <w:rStyle w:val="14"/>
          <w:rFonts w:hint="eastAsia" w:ascii="仿宋" w:hAnsi="仿宋" w:eastAsia="仿宋"/>
          <w:b w:val="0"/>
          <w:spacing w:val="-4"/>
          <w:sz w:val="32"/>
          <w:szCs w:val="32"/>
        </w:rPr>
        <w:t>设备验收合格率</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%，实际完成值：</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392857BC">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w:t>
      </w:r>
      <w:r>
        <w:rPr>
          <w:rStyle w:val="14"/>
          <w:rFonts w:hint="eastAsia" w:ascii="仿宋" w:hAnsi="仿宋" w:eastAsia="仿宋"/>
          <w:b w:val="0"/>
          <w:spacing w:val="-4"/>
          <w:sz w:val="32"/>
          <w:szCs w:val="32"/>
        </w:rPr>
        <w:t>2</w:t>
      </w:r>
      <w:r>
        <w:rPr>
          <w:rStyle w:val="14"/>
          <w:rFonts w:ascii="仿宋" w:hAnsi="仿宋" w:eastAsia="仿宋"/>
          <w:b w:val="0"/>
          <w:spacing w:val="-4"/>
          <w:sz w:val="32"/>
          <w:szCs w:val="32"/>
        </w:rPr>
        <w:t>：</w:t>
      </w:r>
      <w:r>
        <w:rPr>
          <w:rStyle w:val="14"/>
          <w:rFonts w:hint="eastAsia" w:ascii="仿宋" w:hAnsi="仿宋" w:eastAsia="仿宋"/>
          <w:b w:val="0"/>
          <w:spacing w:val="-4"/>
          <w:sz w:val="32"/>
          <w:szCs w:val="32"/>
        </w:rPr>
        <w:t>购置设备返厂率</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ascii="仿宋" w:hAnsi="仿宋" w:eastAsia="仿宋"/>
          <w:b w:val="0"/>
          <w:spacing w:val="-4"/>
          <w:sz w:val="32"/>
          <w:szCs w:val="32"/>
        </w:rPr>
        <w:t>=5% ，实际完成值：</w:t>
      </w:r>
      <w:r>
        <w:rPr>
          <w:rStyle w:val="14"/>
          <w:rFonts w:hint="eastAsia" w:ascii="仿宋" w:hAnsi="仿宋" w:eastAsia="仿宋"/>
          <w:b w:val="0"/>
          <w:spacing w:val="-4"/>
          <w:sz w:val="32"/>
          <w:szCs w:val="32"/>
        </w:rPr>
        <w:t>0</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2EDEEDAC">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w:t>
      </w:r>
      <w:r>
        <w:rPr>
          <w:rStyle w:val="14"/>
          <w:rFonts w:hint="eastAsia" w:ascii="仿宋" w:hAnsi="仿宋" w:eastAsia="仿宋"/>
          <w:b w:val="0"/>
          <w:spacing w:val="-4"/>
          <w:sz w:val="32"/>
          <w:szCs w:val="32"/>
        </w:rPr>
        <w:t>3</w:t>
      </w:r>
      <w:r>
        <w:rPr>
          <w:rStyle w:val="14"/>
          <w:rFonts w:ascii="仿宋" w:hAnsi="仿宋" w:eastAsia="仿宋"/>
          <w:b w:val="0"/>
          <w:spacing w:val="-4"/>
          <w:sz w:val="32"/>
          <w:szCs w:val="32"/>
        </w:rPr>
        <w:t>：</w:t>
      </w:r>
      <w:r>
        <w:rPr>
          <w:rStyle w:val="14"/>
          <w:rFonts w:hint="eastAsia" w:ascii="仿宋" w:hAnsi="仿宋" w:eastAsia="仿宋"/>
          <w:b w:val="0"/>
          <w:spacing w:val="-4"/>
          <w:sz w:val="32"/>
          <w:szCs w:val="32"/>
        </w:rPr>
        <w:t>软件验收合格率</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ascii="仿宋" w:hAnsi="仿宋" w:eastAsia="仿宋"/>
          <w:b w:val="0"/>
          <w:spacing w:val="-4"/>
          <w:sz w:val="32"/>
          <w:szCs w:val="32"/>
        </w:rPr>
        <w:t>=80% ，实际完成值：</w:t>
      </w:r>
      <w:r>
        <w:rPr>
          <w:rStyle w:val="14"/>
          <w:rFonts w:hint="eastAsia" w:ascii="仿宋" w:hAnsi="仿宋" w:eastAsia="仿宋"/>
          <w:b w:val="0"/>
          <w:spacing w:val="-4"/>
          <w:sz w:val="32"/>
          <w:szCs w:val="32"/>
        </w:rPr>
        <w:t>80</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40F39D09">
      <w:pPr>
        <w:pStyle w:val="2"/>
        <w:spacing w:before="0" w:after="0" w:line="560" w:lineRule="exact"/>
        <w:ind w:firstLine="643" w:firstLineChars="200"/>
        <w:jc w:val="both"/>
        <w:rPr>
          <w:rStyle w:val="16"/>
          <w:rFonts w:ascii="仿宋" w:hAnsi="仿宋" w:eastAsia="仿宋" w:cs="Times New Roman"/>
          <w:color w:val="auto"/>
        </w:rPr>
      </w:pPr>
      <w:r>
        <w:rPr>
          <w:rStyle w:val="16"/>
          <w:rFonts w:ascii="仿宋" w:hAnsi="仿宋" w:eastAsia="仿宋" w:cs="Times New Roman"/>
          <w:color w:val="auto"/>
        </w:rPr>
        <w:t>成本指标方面：</w:t>
      </w:r>
    </w:p>
    <w:p w14:paraId="5817B61A">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指标1：</w:t>
      </w:r>
      <w:r>
        <w:rPr>
          <w:rStyle w:val="14"/>
          <w:rFonts w:hint="eastAsia" w:ascii="仿宋" w:hAnsi="仿宋" w:eastAsia="仿宋"/>
          <w:b w:val="0"/>
          <w:spacing w:val="-4"/>
          <w:sz w:val="32"/>
          <w:szCs w:val="32"/>
        </w:rPr>
        <w:t>医疗专用设备购置成本</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hint="eastAsia" w:ascii="仿宋" w:hAnsi="仿宋" w:eastAsia="仿宋"/>
          <w:b w:val="0"/>
          <w:spacing w:val="-4"/>
          <w:sz w:val="32"/>
          <w:szCs w:val="32"/>
        </w:rPr>
        <w:t>=2170万元</w:t>
      </w:r>
      <w:r>
        <w:rPr>
          <w:rStyle w:val="14"/>
          <w:rFonts w:ascii="仿宋" w:hAnsi="仿宋" w:eastAsia="仿宋"/>
          <w:b w:val="0"/>
          <w:spacing w:val="-4"/>
          <w:sz w:val="32"/>
          <w:szCs w:val="32"/>
        </w:rPr>
        <w:t>，实际完成值：</w:t>
      </w:r>
      <w:r>
        <w:rPr>
          <w:rStyle w:val="14"/>
          <w:rFonts w:hint="eastAsia" w:ascii="仿宋" w:hAnsi="仿宋" w:eastAsia="仿宋"/>
          <w:b w:val="0"/>
          <w:spacing w:val="-4"/>
          <w:sz w:val="32"/>
          <w:szCs w:val="32"/>
        </w:rPr>
        <w:t>2170万元</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614F7334">
      <w:pPr>
        <w:snapToGrid w:val="0"/>
        <w:spacing w:line="560" w:lineRule="exact"/>
        <w:ind w:firstLine="624" w:firstLineChars="200"/>
        <w:rPr>
          <w:rStyle w:val="14"/>
          <w:rFonts w:ascii="仿宋" w:hAnsi="仿宋" w:eastAsia="仿宋"/>
          <w:b w:val="0"/>
          <w:spacing w:val="-4"/>
          <w:sz w:val="32"/>
          <w:szCs w:val="32"/>
        </w:rPr>
      </w:pPr>
      <w:r>
        <w:rPr>
          <w:rStyle w:val="14"/>
          <w:rFonts w:ascii="仿宋" w:hAnsi="仿宋" w:eastAsia="仿宋"/>
          <w:b w:val="0"/>
          <w:spacing w:val="-4"/>
          <w:sz w:val="32"/>
          <w:szCs w:val="32"/>
        </w:rPr>
        <w:t>指标</w:t>
      </w:r>
      <w:r>
        <w:rPr>
          <w:rStyle w:val="14"/>
          <w:rFonts w:hint="eastAsia" w:ascii="仿宋" w:hAnsi="仿宋" w:eastAsia="仿宋"/>
          <w:b w:val="0"/>
          <w:spacing w:val="-4"/>
          <w:sz w:val="32"/>
          <w:szCs w:val="32"/>
        </w:rPr>
        <w:t>2</w:t>
      </w:r>
      <w:r>
        <w:rPr>
          <w:rStyle w:val="14"/>
          <w:rFonts w:ascii="仿宋" w:hAnsi="仿宋" w:eastAsia="仿宋"/>
          <w:b w:val="0"/>
          <w:spacing w:val="-4"/>
          <w:sz w:val="32"/>
          <w:szCs w:val="32"/>
        </w:rPr>
        <w:t>：</w:t>
      </w:r>
      <w:r>
        <w:rPr>
          <w:rStyle w:val="14"/>
          <w:rFonts w:hint="eastAsia" w:ascii="仿宋" w:hAnsi="仿宋" w:eastAsia="仿宋"/>
          <w:b w:val="0"/>
          <w:spacing w:val="-4"/>
          <w:sz w:val="32"/>
          <w:szCs w:val="32"/>
        </w:rPr>
        <w:t>信息软件购置成本</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hint="eastAsia" w:ascii="仿宋" w:hAnsi="仿宋" w:eastAsia="仿宋"/>
          <w:b w:val="0"/>
          <w:spacing w:val="-4"/>
          <w:sz w:val="32"/>
          <w:szCs w:val="32"/>
        </w:rPr>
        <w:t>=736万元</w:t>
      </w:r>
      <w:r>
        <w:rPr>
          <w:rStyle w:val="14"/>
          <w:rFonts w:ascii="仿宋" w:hAnsi="仿宋" w:eastAsia="仿宋"/>
          <w:b w:val="0"/>
          <w:spacing w:val="-4"/>
          <w:sz w:val="32"/>
          <w:szCs w:val="32"/>
        </w:rPr>
        <w:t>，实际完成值：</w:t>
      </w:r>
      <w:r>
        <w:rPr>
          <w:rStyle w:val="14"/>
          <w:rFonts w:hint="eastAsia" w:ascii="仿宋" w:hAnsi="仿宋" w:eastAsia="仿宋"/>
          <w:b w:val="0"/>
          <w:spacing w:val="-4"/>
          <w:sz w:val="32"/>
          <w:szCs w:val="32"/>
        </w:rPr>
        <w:t>736万元</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r>
        <w:rPr>
          <w:rStyle w:val="14"/>
          <w:rFonts w:hint="eastAsia" w:ascii="仿宋" w:hAnsi="仿宋" w:eastAsia="仿宋"/>
          <w:b w:val="0"/>
          <w:spacing w:val="-4"/>
          <w:sz w:val="32"/>
          <w:szCs w:val="32"/>
        </w:rPr>
        <w:t>。</w:t>
      </w:r>
    </w:p>
    <w:p w14:paraId="2A9DF2B5">
      <w:pPr>
        <w:spacing w:line="560" w:lineRule="exact"/>
        <w:ind w:firstLine="643" w:firstLineChars="200"/>
        <w:rPr>
          <w:rStyle w:val="16"/>
          <w:rFonts w:ascii="仿宋" w:hAnsi="仿宋" w:eastAsia="仿宋" w:cs="Times New Roman"/>
          <w:b/>
          <w:bCs/>
          <w:color w:val="auto"/>
        </w:rPr>
      </w:pPr>
      <w:r>
        <w:rPr>
          <w:rStyle w:val="16"/>
          <w:rFonts w:ascii="仿宋" w:hAnsi="仿宋" w:eastAsia="仿宋" w:cs="Times New Roman"/>
          <w:b/>
          <w:bCs/>
          <w:color w:val="auto"/>
        </w:rPr>
        <w:t>时效指标方面：</w:t>
      </w:r>
    </w:p>
    <w:p w14:paraId="3A2F4A05">
      <w:pPr>
        <w:pStyle w:val="3"/>
        <w:widowControl w:val="0"/>
        <w:spacing w:before="0" w:after="0" w:line="560" w:lineRule="exact"/>
        <w:ind w:firstLine="624" w:firstLineChars="200"/>
        <w:rPr>
          <w:rFonts w:ascii="仿宋" w:hAnsi="仿宋" w:eastAsia="仿宋"/>
          <w:sz w:val="32"/>
          <w:szCs w:val="32"/>
        </w:rPr>
      </w:pPr>
      <w:r>
        <w:rPr>
          <w:rStyle w:val="14"/>
          <w:rFonts w:hint="eastAsia" w:ascii="仿宋" w:hAnsi="仿宋" w:eastAsia="仿宋"/>
          <w:b w:val="0"/>
          <w:bCs/>
          <w:spacing w:val="-4"/>
          <w:kern w:val="2"/>
          <w:sz w:val="32"/>
          <w:szCs w:val="32"/>
        </w:rPr>
        <w:t>指标1：设备维修响应时间，指标值：</w:t>
      </w:r>
      <w:r>
        <w:rPr>
          <w:rStyle w:val="14"/>
          <w:rFonts w:hint="eastAsia" w:ascii="仿宋" w:hAnsi="仿宋" w:eastAsia="仿宋"/>
          <w:b w:val="0"/>
          <w:bCs/>
          <w:spacing w:val="-4"/>
          <w:kern w:val="2"/>
          <w:sz w:val="32"/>
          <w:szCs w:val="32"/>
          <w:lang w:eastAsia="zh-CN"/>
        </w:rPr>
        <w:t>〈</w:t>
      </w:r>
      <w:r>
        <w:rPr>
          <w:rStyle w:val="14"/>
          <w:rFonts w:hint="eastAsia" w:ascii="仿宋" w:hAnsi="仿宋" w:eastAsia="仿宋"/>
          <w:b w:val="0"/>
          <w:bCs/>
          <w:spacing w:val="-4"/>
          <w:kern w:val="2"/>
          <w:sz w:val="32"/>
          <w:szCs w:val="32"/>
        </w:rPr>
        <w:t>=24小时，实际完成值：24小时，指标完成率100%；</w:t>
      </w:r>
    </w:p>
    <w:p w14:paraId="0E5C0A00">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w:t>
      </w:r>
      <w:r>
        <w:rPr>
          <w:rFonts w:ascii="宋体" w:hAnsi="宋体" w:eastAsia="宋体" w:cs="宋体"/>
        </w:rPr>
        <w:t>四）</w:t>
      </w:r>
      <w:r>
        <w:rPr>
          <w:rFonts w:ascii="Times New Roman" w:hAnsi="Times New Roman" w:eastAsia="楷体_GB2312"/>
        </w:rPr>
        <w:t>效益情况</w:t>
      </w:r>
    </w:p>
    <w:p w14:paraId="3255AF42">
      <w:pPr>
        <w:spacing w:line="560" w:lineRule="exact"/>
        <w:ind w:firstLine="643" w:firstLineChars="200"/>
        <w:rPr>
          <w:rStyle w:val="16"/>
          <w:rFonts w:ascii="仿宋" w:hAnsi="仿宋" w:eastAsia="仿宋" w:cs="Times New Roman"/>
          <w:b/>
          <w:bCs/>
          <w:color w:val="auto"/>
        </w:rPr>
      </w:pPr>
      <w:r>
        <w:rPr>
          <w:rStyle w:val="16"/>
          <w:rFonts w:hint="eastAsia" w:ascii="仿宋" w:hAnsi="仿宋" w:eastAsia="仿宋" w:cs="Times New Roman"/>
          <w:b/>
          <w:bCs/>
          <w:color w:val="auto"/>
        </w:rPr>
        <w:t>经济效益指标方面：</w:t>
      </w:r>
    </w:p>
    <w:p w14:paraId="554EB9CA">
      <w:pPr>
        <w:spacing w:line="560" w:lineRule="exact"/>
        <w:ind w:firstLine="640" w:firstLineChars="200"/>
        <w:rPr>
          <w:rStyle w:val="16"/>
          <w:rFonts w:ascii="仿宋" w:hAnsi="仿宋" w:eastAsia="仿宋" w:cs="Times New Roman"/>
          <w:color w:val="auto"/>
        </w:rPr>
      </w:pPr>
      <w:r>
        <w:rPr>
          <w:rStyle w:val="16"/>
          <w:rFonts w:ascii="仿宋" w:hAnsi="仿宋" w:eastAsia="仿宋" w:cs="Times New Roman"/>
          <w:color w:val="auto"/>
        </w:rPr>
        <w:t>指标1：</w:t>
      </w:r>
      <w:r>
        <w:rPr>
          <w:rStyle w:val="16"/>
          <w:rFonts w:hint="eastAsia" w:ascii="仿宋" w:hAnsi="仿宋" w:eastAsia="仿宋" w:cs="Times New Roman"/>
          <w:color w:val="auto"/>
        </w:rPr>
        <w:t>设备利用率</w:t>
      </w:r>
      <w:r>
        <w:rPr>
          <w:rStyle w:val="16"/>
          <w:rFonts w:ascii="仿宋" w:hAnsi="仿宋" w:eastAsia="仿宋" w:cs="Times New Roman"/>
          <w:color w:val="auto"/>
        </w:rPr>
        <w:t>，指标值</w:t>
      </w:r>
      <w:r>
        <w:rPr>
          <w:rStyle w:val="16"/>
          <w:rFonts w:hint="eastAsia" w:ascii="仿宋" w:hAnsi="仿宋" w:eastAsia="仿宋" w:cs="Times New Roman"/>
          <w:color w:val="auto"/>
          <w:lang w:eastAsia="zh-CN"/>
        </w:rPr>
        <w:t>：</w:t>
      </w:r>
      <w:r>
        <w:rPr>
          <w:rStyle w:val="16"/>
          <w:rFonts w:ascii="仿宋" w:hAnsi="仿宋" w:eastAsia="仿宋" w:cs="Times New Roman"/>
          <w:color w:val="auto"/>
        </w:rPr>
        <w:t>=80%，实际完成值：</w:t>
      </w:r>
      <w:r>
        <w:rPr>
          <w:rStyle w:val="16"/>
          <w:rFonts w:hint="eastAsia" w:ascii="仿宋" w:hAnsi="仿宋" w:eastAsia="仿宋" w:cs="Times New Roman"/>
          <w:color w:val="auto"/>
        </w:rPr>
        <w:t>80</w:t>
      </w:r>
      <w:r>
        <w:rPr>
          <w:rStyle w:val="16"/>
          <w:rFonts w:ascii="仿宋" w:hAnsi="仿宋" w:eastAsia="仿宋" w:cs="Times New Roman"/>
          <w:color w:val="auto"/>
        </w:rPr>
        <w:t>%，指标完成率</w:t>
      </w:r>
      <w:r>
        <w:rPr>
          <w:rStyle w:val="16"/>
          <w:rFonts w:hint="eastAsia" w:ascii="仿宋" w:hAnsi="仿宋" w:eastAsia="仿宋" w:cs="Times New Roman"/>
          <w:color w:val="auto"/>
        </w:rPr>
        <w:t>100</w:t>
      </w:r>
      <w:r>
        <w:rPr>
          <w:rStyle w:val="16"/>
          <w:rFonts w:ascii="仿宋" w:hAnsi="仿宋" w:eastAsia="仿宋" w:cs="Times New Roman"/>
          <w:color w:val="auto"/>
        </w:rPr>
        <w:t>%；</w:t>
      </w:r>
    </w:p>
    <w:p w14:paraId="276A85FB">
      <w:pPr>
        <w:spacing w:line="560" w:lineRule="exact"/>
        <w:ind w:firstLine="643" w:firstLineChars="200"/>
        <w:rPr>
          <w:rStyle w:val="16"/>
          <w:rFonts w:ascii="仿宋" w:hAnsi="仿宋" w:eastAsia="仿宋" w:cs="Times New Roman"/>
          <w:color w:val="auto"/>
        </w:rPr>
      </w:pPr>
      <w:r>
        <w:rPr>
          <w:rStyle w:val="16"/>
          <w:rFonts w:hint="eastAsia" w:ascii="仿宋" w:hAnsi="仿宋" w:eastAsia="仿宋" w:cs="Times New Roman"/>
          <w:b/>
          <w:bCs/>
          <w:color w:val="auto"/>
        </w:rPr>
        <w:t>生态效益指标方面：</w:t>
      </w:r>
    </w:p>
    <w:p w14:paraId="1BECA99C">
      <w:pPr>
        <w:spacing w:line="560" w:lineRule="exact"/>
        <w:ind w:firstLine="640" w:firstLineChars="200"/>
        <w:rPr>
          <w:rFonts w:ascii="仿宋" w:hAnsi="仿宋" w:eastAsia="仿宋"/>
          <w:sz w:val="32"/>
          <w:szCs w:val="32"/>
        </w:rPr>
      </w:pPr>
      <w:r>
        <w:rPr>
          <w:rStyle w:val="16"/>
          <w:rFonts w:ascii="仿宋" w:hAnsi="仿宋" w:eastAsia="仿宋" w:cs="Times New Roman"/>
          <w:color w:val="auto"/>
        </w:rPr>
        <w:t>指标1：</w:t>
      </w:r>
      <w:r>
        <w:rPr>
          <w:rStyle w:val="16"/>
          <w:rFonts w:hint="eastAsia" w:ascii="仿宋" w:hAnsi="仿宋" w:eastAsia="仿宋" w:cs="Times New Roman"/>
          <w:color w:val="auto"/>
        </w:rPr>
        <w:t>系统使用年限</w:t>
      </w:r>
      <w:r>
        <w:rPr>
          <w:rStyle w:val="16"/>
          <w:rFonts w:ascii="仿宋" w:hAnsi="仿宋" w:eastAsia="仿宋" w:cs="Times New Roman"/>
          <w:color w:val="auto"/>
        </w:rPr>
        <w:t>，指标值</w:t>
      </w:r>
      <w:r>
        <w:rPr>
          <w:rStyle w:val="16"/>
          <w:rFonts w:hint="eastAsia" w:ascii="仿宋" w:hAnsi="仿宋" w:eastAsia="仿宋" w:cs="Times New Roman"/>
          <w:color w:val="auto"/>
          <w:lang w:eastAsia="zh-CN"/>
        </w:rPr>
        <w:t>：</w:t>
      </w:r>
      <w:r>
        <w:rPr>
          <w:rStyle w:val="16"/>
          <w:rFonts w:hint="eastAsia" w:ascii="仿宋" w:hAnsi="仿宋" w:eastAsia="仿宋" w:cs="Times New Roman"/>
          <w:color w:val="auto"/>
        </w:rPr>
        <w:t>=1年</w:t>
      </w:r>
      <w:r>
        <w:rPr>
          <w:rStyle w:val="16"/>
          <w:rFonts w:ascii="仿宋" w:hAnsi="仿宋" w:eastAsia="仿宋" w:cs="Times New Roman"/>
          <w:color w:val="auto"/>
        </w:rPr>
        <w:t>，实际完成值：</w:t>
      </w:r>
      <w:r>
        <w:rPr>
          <w:rStyle w:val="16"/>
          <w:rFonts w:hint="eastAsia" w:ascii="仿宋" w:hAnsi="仿宋" w:eastAsia="仿宋" w:cs="Times New Roman"/>
          <w:color w:val="auto"/>
        </w:rPr>
        <w:t>1年</w:t>
      </w:r>
      <w:r>
        <w:rPr>
          <w:rStyle w:val="16"/>
          <w:rFonts w:ascii="仿宋" w:hAnsi="仿宋" w:eastAsia="仿宋" w:cs="Times New Roman"/>
          <w:color w:val="auto"/>
        </w:rPr>
        <w:t>，指标完成率</w:t>
      </w:r>
      <w:r>
        <w:rPr>
          <w:rStyle w:val="16"/>
          <w:rFonts w:hint="eastAsia" w:ascii="仿宋" w:hAnsi="仿宋" w:eastAsia="仿宋" w:cs="Times New Roman"/>
          <w:color w:val="auto"/>
        </w:rPr>
        <w:t>100</w:t>
      </w:r>
      <w:r>
        <w:rPr>
          <w:rStyle w:val="16"/>
          <w:rFonts w:ascii="仿宋" w:hAnsi="仿宋" w:eastAsia="仿宋" w:cs="Times New Roman"/>
          <w:color w:val="auto"/>
        </w:rPr>
        <w:t>%；</w:t>
      </w:r>
    </w:p>
    <w:p w14:paraId="35E02D76">
      <w:pPr>
        <w:spacing w:line="560" w:lineRule="exact"/>
        <w:ind w:firstLine="643" w:firstLineChars="200"/>
        <w:rPr>
          <w:rStyle w:val="16"/>
          <w:rFonts w:ascii="仿宋" w:hAnsi="仿宋" w:eastAsia="仿宋" w:cs="Times New Roman"/>
          <w:b/>
          <w:bCs/>
          <w:color w:val="auto"/>
        </w:rPr>
      </w:pPr>
      <w:r>
        <w:rPr>
          <w:rStyle w:val="16"/>
          <w:rFonts w:ascii="仿宋" w:hAnsi="仿宋" w:eastAsia="仿宋" w:cs="Times New Roman"/>
          <w:b/>
          <w:bCs/>
          <w:color w:val="auto"/>
        </w:rPr>
        <w:t>满意度指标方面：</w:t>
      </w:r>
    </w:p>
    <w:p w14:paraId="15DE694D">
      <w:pPr>
        <w:snapToGrid w:val="0"/>
        <w:spacing w:line="560" w:lineRule="exact"/>
        <w:ind w:firstLine="624" w:firstLineChars="200"/>
        <w:rPr>
          <w:rStyle w:val="14"/>
          <w:rFonts w:eastAsia="仿宋_GB2312"/>
          <w:b w:val="0"/>
          <w:spacing w:val="-4"/>
          <w:sz w:val="32"/>
          <w:szCs w:val="32"/>
        </w:rPr>
      </w:pPr>
      <w:r>
        <w:rPr>
          <w:rStyle w:val="14"/>
          <w:rFonts w:ascii="仿宋" w:hAnsi="仿宋" w:eastAsia="仿宋"/>
          <w:b w:val="0"/>
          <w:spacing w:val="-4"/>
          <w:sz w:val="32"/>
          <w:szCs w:val="32"/>
        </w:rPr>
        <w:t>指标1：</w:t>
      </w:r>
      <w:r>
        <w:rPr>
          <w:rStyle w:val="14"/>
          <w:rFonts w:hint="eastAsia" w:ascii="仿宋" w:hAnsi="仿宋" w:eastAsia="仿宋"/>
          <w:b w:val="0"/>
          <w:spacing w:val="-4"/>
          <w:sz w:val="32"/>
          <w:szCs w:val="32"/>
        </w:rPr>
        <w:t>使用科室满意度</w:t>
      </w:r>
      <w:r>
        <w:rPr>
          <w:rStyle w:val="14"/>
          <w:rFonts w:ascii="仿宋" w:hAnsi="仿宋" w:eastAsia="仿宋"/>
          <w:b w:val="0"/>
          <w:spacing w:val="-4"/>
          <w:sz w:val="32"/>
          <w:szCs w:val="32"/>
        </w:rPr>
        <w:t>，指标值</w:t>
      </w:r>
      <w:r>
        <w:rPr>
          <w:rStyle w:val="14"/>
          <w:rFonts w:hint="eastAsia" w:ascii="仿宋" w:hAnsi="仿宋" w:eastAsia="仿宋"/>
          <w:b w:val="0"/>
          <w:spacing w:val="-4"/>
          <w:sz w:val="32"/>
          <w:szCs w:val="32"/>
          <w:lang w:eastAsia="zh-CN"/>
        </w:rPr>
        <w:t>：</w:t>
      </w:r>
      <w:r>
        <w:rPr>
          <w:rStyle w:val="14"/>
          <w:rFonts w:ascii="仿宋" w:hAnsi="仿宋" w:eastAsia="仿宋"/>
          <w:b w:val="0"/>
          <w:spacing w:val="-4"/>
          <w:sz w:val="32"/>
          <w:szCs w:val="32"/>
        </w:rPr>
        <w:t>=85%，实际完成值：</w:t>
      </w:r>
      <w:r>
        <w:rPr>
          <w:rStyle w:val="14"/>
          <w:rFonts w:hint="eastAsia" w:ascii="仿宋" w:hAnsi="仿宋" w:eastAsia="仿宋"/>
          <w:b w:val="0"/>
          <w:spacing w:val="-4"/>
          <w:sz w:val="32"/>
          <w:szCs w:val="32"/>
        </w:rPr>
        <w:t>85%</w:t>
      </w:r>
      <w:r>
        <w:rPr>
          <w:rStyle w:val="14"/>
          <w:rFonts w:ascii="仿宋" w:hAnsi="仿宋" w:eastAsia="仿宋"/>
          <w:b w:val="0"/>
          <w:spacing w:val="-4"/>
          <w:sz w:val="32"/>
          <w:szCs w:val="32"/>
        </w:rPr>
        <w:t>，指标完成率</w:t>
      </w:r>
      <w:r>
        <w:rPr>
          <w:rStyle w:val="14"/>
          <w:rFonts w:hint="eastAsia" w:ascii="仿宋" w:hAnsi="仿宋" w:eastAsia="仿宋"/>
          <w:b w:val="0"/>
          <w:spacing w:val="-4"/>
          <w:sz w:val="32"/>
          <w:szCs w:val="32"/>
        </w:rPr>
        <w:t>100</w:t>
      </w:r>
      <w:r>
        <w:rPr>
          <w:rStyle w:val="14"/>
          <w:rFonts w:ascii="仿宋" w:hAnsi="仿宋" w:eastAsia="仿宋"/>
          <w:b w:val="0"/>
          <w:spacing w:val="-4"/>
          <w:sz w:val="32"/>
          <w:szCs w:val="32"/>
        </w:rPr>
        <w:t>%；</w:t>
      </w:r>
    </w:p>
    <w:p w14:paraId="5A9B94F3">
      <w:pPr>
        <w:spacing w:line="560" w:lineRule="exact"/>
        <w:ind w:firstLine="640" w:firstLineChars="200"/>
        <w:rPr>
          <w:rFonts w:eastAsia="黑体"/>
          <w:sz w:val="32"/>
          <w:szCs w:val="32"/>
        </w:rPr>
      </w:pPr>
      <w:r>
        <w:rPr>
          <w:rFonts w:eastAsia="黑体"/>
          <w:sz w:val="32"/>
          <w:szCs w:val="32"/>
        </w:rPr>
        <w:t>五、</w:t>
      </w:r>
      <w:r>
        <w:rPr>
          <w:rFonts w:hint="eastAsia" w:eastAsia="黑体"/>
          <w:sz w:val="32"/>
          <w:szCs w:val="32"/>
        </w:rPr>
        <w:t>预算执行进度与绩效指标总体完成率偏差</w:t>
      </w:r>
    </w:p>
    <w:p w14:paraId="6222B936">
      <w:pPr>
        <w:snapToGrid w:val="0"/>
        <w:spacing w:line="560" w:lineRule="exact"/>
        <w:ind w:firstLine="624" w:firstLineChars="200"/>
        <w:rPr>
          <w:rStyle w:val="14"/>
          <w:rFonts w:ascii="仿宋" w:hAnsi="仿宋" w:eastAsia="仿宋"/>
          <w:b w:val="0"/>
          <w:spacing w:val="-4"/>
          <w:sz w:val="32"/>
          <w:szCs w:val="32"/>
        </w:rPr>
      </w:pPr>
      <w:r>
        <w:rPr>
          <w:rStyle w:val="14"/>
          <w:rFonts w:hint="eastAsia" w:ascii="仿宋" w:hAnsi="仿宋" w:eastAsia="仿宋"/>
          <w:b w:val="0"/>
          <w:spacing w:val="-4"/>
          <w:sz w:val="32"/>
          <w:szCs w:val="32"/>
        </w:rPr>
        <w:t>医院政府采购项目预算3509万元，到位3509万元，实际支出2800.56万元，预算执行率为79.81%，项目绩效指标总体完成率为</w:t>
      </w:r>
      <w:r>
        <w:rPr>
          <w:rStyle w:val="14"/>
          <w:rFonts w:hint="eastAsia" w:ascii="仿宋" w:hAnsi="仿宋" w:eastAsia="仿宋"/>
          <w:b w:val="0"/>
          <w:spacing w:val="-4"/>
          <w:sz w:val="32"/>
          <w:szCs w:val="32"/>
          <w:lang w:val="en-US" w:eastAsia="zh-CN"/>
        </w:rPr>
        <w:t>100</w:t>
      </w:r>
      <w:r>
        <w:rPr>
          <w:rStyle w:val="14"/>
          <w:rFonts w:hint="eastAsia" w:ascii="仿宋" w:hAnsi="仿宋" w:eastAsia="仿宋"/>
          <w:b w:val="0"/>
          <w:spacing w:val="-4"/>
          <w:sz w:val="32"/>
          <w:szCs w:val="32"/>
        </w:rPr>
        <w:t>%，总体偏差率为</w:t>
      </w:r>
      <w:r>
        <w:rPr>
          <w:rStyle w:val="14"/>
          <w:rFonts w:hint="eastAsia" w:ascii="仿宋" w:hAnsi="仿宋" w:eastAsia="仿宋"/>
          <w:b w:val="0"/>
          <w:spacing w:val="-4"/>
          <w:sz w:val="32"/>
          <w:szCs w:val="32"/>
          <w:lang w:val="en-US" w:eastAsia="zh-CN"/>
        </w:rPr>
        <w:t>20.19</w:t>
      </w:r>
      <w:r>
        <w:rPr>
          <w:rStyle w:val="14"/>
          <w:rFonts w:hint="eastAsia" w:ascii="仿宋" w:hAnsi="仿宋" w:eastAsia="仿宋"/>
          <w:b w:val="0"/>
          <w:spacing w:val="-4"/>
          <w:sz w:val="32"/>
          <w:szCs w:val="32"/>
        </w:rPr>
        <w:t>%。偏差原因：主要由于购置的软件已完成采购，但2023年未达到支付款项。改进措施：改进预算申报结构，采购预算和支出预算数据分开填报，在实际工作中，采购预算和支出预算有联系但又有区别。</w:t>
      </w:r>
    </w:p>
    <w:p w14:paraId="4A8F6561">
      <w:pPr>
        <w:spacing w:line="560" w:lineRule="exact"/>
        <w:ind w:firstLine="640" w:firstLineChars="200"/>
        <w:rPr>
          <w:rStyle w:val="16"/>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14:paraId="016A2824">
      <w:pPr>
        <w:pStyle w:val="2"/>
        <w:spacing w:before="0" w:after="0" w:line="560" w:lineRule="exact"/>
        <w:ind w:firstLine="643" w:firstLineChars="200"/>
        <w:jc w:val="both"/>
        <w:rPr>
          <w:rFonts w:ascii="楷体" w:hAnsi="楷体" w:eastAsia="楷体" w:cs="楷体"/>
        </w:rPr>
      </w:pPr>
      <w:r>
        <w:rPr>
          <w:rFonts w:hint="eastAsia" w:ascii="楷体" w:hAnsi="楷体" w:eastAsia="楷体" w:cs="楷体"/>
        </w:rPr>
        <w:t>（一）主要经验及做法</w:t>
      </w:r>
    </w:p>
    <w:p w14:paraId="2C4EBF17">
      <w:pPr>
        <w:spacing w:line="560" w:lineRule="exact"/>
        <w:ind w:firstLine="640" w:firstLineChars="200"/>
        <w:rPr>
          <w:rFonts w:ascii="仿宋" w:hAnsi="仿宋" w:eastAsia="仿宋"/>
          <w:sz w:val="32"/>
          <w:szCs w:val="32"/>
        </w:rPr>
      </w:pPr>
      <w:r>
        <w:rPr>
          <w:rFonts w:ascii="仿宋" w:hAnsi="仿宋" w:eastAsia="仿宋"/>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4555060">
      <w:pPr>
        <w:pStyle w:val="2"/>
        <w:spacing w:before="0" w:after="0" w:line="560" w:lineRule="exact"/>
        <w:ind w:firstLine="640" w:firstLineChars="200"/>
        <w:jc w:val="left"/>
        <w:rPr>
          <w:rFonts w:ascii="Times New Roman" w:hAnsi="Times New Roman" w:eastAsia="仿宋_GB2312"/>
          <w:b w:val="0"/>
          <w:bCs w:val="0"/>
          <w:kern w:val="2"/>
        </w:rPr>
      </w:pPr>
      <w:r>
        <w:rPr>
          <w:rFonts w:hint="eastAsia" w:ascii="仿宋" w:hAnsi="仿宋" w:eastAsia="仿宋"/>
          <w:b w:val="0"/>
          <w:bCs w:val="0"/>
          <w:kern w:val="2"/>
        </w:rPr>
        <w:t>财务、纪检和审计等职能部门参与该项目资金事前、事中和事后全过程的监管</w:t>
      </w:r>
      <w:r>
        <w:rPr>
          <w:rFonts w:ascii="仿宋" w:hAnsi="仿宋" w:eastAsia="仿宋"/>
          <w:b w:val="0"/>
          <w:bCs w:val="0"/>
          <w:kern w:val="2"/>
        </w:rPr>
        <w:t>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Times New Roman" w:hAnsi="Times New Roman" w:eastAsia="仿宋_GB2312"/>
          <w:b w:val="0"/>
          <w:bCs w:val="0"/>
          <w:kern w:val="2"/>
        </w:rPr>
        <w:t>。</w:t>
      </w:r>
    </w:p>
    <w:p w14:paraId="7DC7FF0C">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49644B7B">
      <w:pPr>
        <w:pStyle w:val="2"/>
        <w:spacing w:before="0" w:after="0" w:line="560" w:lineRule="exact"/>
        <w:ind w:firstLine="640" w:firstLineChars="200"/>
        <w:jc w:val="both"/>
        <w:rPr>
          <w:rFonts w:ascii="仿宋" w:hAnsi="仿宋" w:eastAsia="仿宋"/>
          <w:b w:val="0"/>
          <w:bCs w:val="0"/>
          <w:kern w:val="2"/>
        </w:rPr>
      </w:pPr>
      <w:r>
        <w:rPr>
          <w:rFonts w:hint="eastAsia" w:ascii="仿宋" w:hAnsi="仿宋" w:eastAsia="仿宋"/>
          <w:b w:val="0"/>
          <w:bCs w:val="0"/>
          <w:kern w:val="2"/>
        </w:rPr>
        <w:t>本项目</w:t>
      </w:r>
      <w:r>
        <w:rPr>
          <w:rFonts w:ascii="仿宋" w:hAnsi="仿宋" w:eastAsia="仿宋"/>
          <w:b w:val="0"/>
          <w:bCs w:val="0"/>
          <w:kern w:val="2"/>
        </w:rPr>
        <w:t>202</w:t>
      </w:r>
      <w:r>
        <w:rPr>
          <w:rFonts w:hint="eastAsia" w:ascii="仿宋" w:hAnsi="仿宋" w:eastAsia="仿宋"/>
          <w:b w:val="0"/>
          <w:bCs w:val="0"/>
          <w:kern w:val="2"/>
        </w:rPr>
        <w:t>3年度存在的主要问题为预算执行率不高，主要原因为政府采购项目指标具有双重性质，要满足采购需求同时要满足支出需求，在编制预算过程中按照两者较大数据申报预算，导致该项目预算执行率不高。</w:t>
      </w:r>
    </w:p>
    <w:p w14:paraId="55D76745">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14:paraId="7A263541">
      <w:pPr>
        <w:spacing w:line="560" w:lineRule="exact"/>
        <w:ind w:firstLine="640" w:firstLineChars="200"/>
        <w:rPr>
          <w:rFonts w:ascii="仿宋" w:hAnsi="仿宋" w:eastAsia="仿宋" w:cs="仿宋_GB2312"/>
          <w:sz w:val="32"/>
          <w:szCs w:val="28"/>
        </w:rPr>
      </w:pPr>
      <w:r>
        <w:rPr>
          <w:rFonts w:hint="eastAsia" w:ascii="仿宋" w:hAnsi="仿宋" w:eastAsia="仿宋" w:cs="仿宋_GB2312"/>
          <w:sz w:val="32"/>
          <w:szCs w:val="28"/>
        </w:rPr>
        <w:t>进一步加强对绩效管理工作的组织领导，提高对预算绩效管理工作重要性的认识，总结经验查找问题，研究制定医院院内的绩效评价管理办法。加大对全面实施预算绩效管理和绩效管理工作的学习力度，让“花钱必问效，无效必问责”的理念深入工作每个环节。</w:t>
      </w:r>
    </w:p>
    <w:p w14:paraId="47FCFF7E">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2" w:name="page8"/>
      <w:bookmarkEnd w:id="2"/>
      <w:r>
        <w:rPr>
          <w:rFonts w:eastAsia="黑体"/>
          <w:sz w:val="32"/>
          <w:szCs w:val="32"/>
        </w:rPr>
        <w:t>明的问题</w:t>
      </w:r>
    </w:p>
    <w:p w14:paraId="676788B7">
      <w:pPr>
        <w:pStyle w:val="11"/>
        <w:spacing w:after="0" w:line="560" w:lineRule="exact"/>
        <w:ind w:left="0" w:leftChars="0" w:firstLine="640"/>
        <w:rPr>
          <w:rFonts w:ascii="仿宋" w:hAnsi="仿宋" w:eastAsia="仿宋" w:cs="仿宋_GB2312"/>
          <w:sz w:val="32"/>
          <w:szCs w:val="32"/>
        </w:rPr>
      </w:pPr>
      <w:r>
        <w:rPr>
          <w:rFonts w:hint="eastAsia" w:ascii="仿宋" w:hAnsi="仿宋" w:eastAsia="仿宋" w:cs="仿宋_GB2312"/>
          <w:sz w:val="32"/>
          <w:szCs w:val="32"/>
        </w:rPr>
        <w:t>本项目无其他需说明的问题。</w:t>
      </w:r>
    </w:p>
    <w:p w14:paraId="1CF3B7E6">
      <w:pPr>
        <w:widowControl/>
        <w:jc w:val="center"/>
        <w:textAlignment w:val="center"/>
        <w:rPr>
          <w:rFonts w:ascii="宋体" w:hAnsi="宋体" w:cs="宋体"/>
          <w:b/>
          <w:color w:val="000000"/>
          <w:kern w:val="0"/>
          <w:sz w:val="32"/>
          <w:szCs w:val="32"/>
        </w:rPr>
        <w:sectPr>
          <w:footerReference r:id="rId3" w:type="default"/>
          <w:pgSz w:w="11906" w:h="16838"/>
          <w:pgMar w:top="1440" w:right="1558" w:bottom="1440" w:left="1800" w:header="851" w:footer="992" w:gutter="0"/>
          <w:cols w:space="425" w:num="1"/>
          <w:docGrid w:type="lines" w:linePitch="312" w:charSpace="0"/>
        </w:sect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0"/>
        <w:gridCol w:w="590"/>
        <w:gridCol w:w="590"/>
        <w:gridCol w:w="1327"/>
        <w:gridCol w:w="941"/>
        <w:gridCol w:w="941"/>
        <w:gridCol w:w="944"/>
        <w:gridCol w:w="941"/>
        <w:gridCol w:w="941"/>
        <w:gridCol w:w="941"/>
        <w:gridCol w:w="941"/>
        <w:gridCol w:w="1134"/>
        <w:gridCol w:w="1006"/>
        <w:gridCol w:w="2347"/>
      </w:tblGrid>
      <w:tr w14:paraId="6A53E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1833D947">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EF9A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6311B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5725D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58F2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35F32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医院政府采购项目</w:t>
            </w:r>
          </w:p>
        </w:tc>
      </w:tr>
      <w:tr w14:paraId="2E241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1EC92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360F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2BC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C430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新疆医科大学第二附属医院</w:t>
            </w:r>
          </w:p>
        </w:tc>
      </w:tr>
      <w:tr w14:paraId="398FE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79E4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2BD12">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043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815E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F9195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90C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36B6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097D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37961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7AF2A">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B2D67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B5B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3509.00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04C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3509</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4F9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2800.56</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68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A2E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79.81%</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05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7.98分</w:t>
            </w:r>
          </w:p>
        </w:tc>
      </w:tr>
      <w:tr w14:paraId="52DEA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A30BE">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86E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15B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F5F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49D37">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7C4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093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576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B111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093722">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B35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F72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3509</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79D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3509</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34B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2800.56</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23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F3B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37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9705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0E85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5746C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43D5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4E962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A83E2">
            <w:pPr>
              <w:jc w:val="center"/>
              <w:rPr>
                <w:rFonts w:hint="eastAsia" w:ascii="宋体" w:hAnsi="宋体" w:eastAsia="宋体" w:cs="宋体"/>
                <w:b/>
                <w:bCs/>
                <w:i w:val="0"/>
                <w:iCs w:val="0"/>
                <w:color w:val="000000"/>
                <w:sz w:val="18"/>
                <w:szCs w:val="18"/>
                <w:u w:val="none"/>
              </w:rPr>
            </w:pP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FB34E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1.在于解决医院周边环境人员的就医问题。2.紧紧围绕医院“强而精”医院定位</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奋力发展优势学科、专科建设。3.适应改革，积极推行现代化医院管理，加强医院内涵建设。</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4194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1.解决了解决医院周边环境人员的就医问题。2023年收治门诊患者684387人次，出院患者43519人次。2.紧紧围绕医院“强而精”医院定位</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奋力发展优势学科、专科建设。获批国家自治区重点专科1个自治区重点专科13个。3.适应改革，积极推行现代化医院管理，修订相关制度，加强医院内涵建设。</w:t>
            </w:r>
          </w:p>
        </w:tc>
      </w:tr>
      <w:tr w14:paraId="0BC3B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BDC72A">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D7D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7DCF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0AD5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D55DF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EBAA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75C2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F8D4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C15C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D362C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5A0E8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EC2DC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83817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C6D9C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5C8AD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92538A">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8E997">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D9CC9F">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64F2A">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7B71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2F78B">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C453B">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EA6BC">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B7183">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43B7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5A631">
            <w:pPr>
              <w:jc w:val="center"/>
              <w:rPr>
                <w:rFonts w:hint="eastAsia" w:ascii="宋体" w:hAnsi="宋体" w:eastAsia="宋体" w:cs="宋体"/>
                <w:b/>
                <w:bCs/>
                <w:i w:val="0"/>
                <w:iCs w:val="0"/>
                <w:color w:val="000000"/>
                <w:sz w:val="18"/>
                <w:szCs w:val="18"/>
                <w:u w:val="none"/>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80973">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D9DFD">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009CF">
            <w:pPr>
              <w:jc w:val="center"/>
              <w:rPr>
                <w:rFonts w:hint="eastAsia" w:ascii="宋体" w:hAnsi="宋体" w:eastAsia="宋体" w:cs="宋体"/>
                <w:b/>
                <w:bCs/>
                <w:i w:val="0"/>
                <w:iCs w:val="0"/>
                <w:color w:val="000000"/>
                <w:sz w:val="18"/>
                <w:szCs w:val="18"/>
                <w:u w:val="none"/>
              </w:rPr>
            </w:pPr>
          </w:p>
        </w:tc>
      </w:tr>
      <w:tr w14:paraId="7C3F1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844E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A455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C6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B78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设备购置数量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47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CDA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&gt;=30台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1B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A2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F0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C89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65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415台</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82B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2D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412B7">
            <w:pPr>
              <w:jc w:val="center"/>
              <w:rPr>
                <w:rFonts w:hint="eastAsia" w:ascii="宋体" w:hAnsi="宋体" w:eastAsia="宋体" w:cs="宋体"/>
                <w:i w:val="0"/>
                <w:iCs w:val="0"/>
                <w:color w:val="000000"/>
                <w:sz w:val="18"/>
                <w:szCs w:val="18"/>
                <w:u w:val="none"/>
              </w:rPr>
            </w:pPr>
          </w:p>
        </w:tc>
      </w:tr>
      <w:tr w14:paraId="28CE7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D7BDC">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462F5E">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60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43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软件建设数量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A4E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33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&gt;=1个</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8EA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=1个</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E15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82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4E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A2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1BA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0E7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78E9E">
            <w:pPr>
              <w:jc w:val="center"/>
              <w:rPr>
                <w:rFonts w:hint="eastAsia" w:ascii="宋体" w:hAnsi="宋体" w:eastAsia="宋体" w:cs="宋体"/>
                <w:i w:val="0"/>
                <w:iCs w:val="0"/>
                <w:color w:val="000000"/>
                <w:sz w:val="18"/>
                <w:szCs w:val="18"/>
                <w:u w:val="none"/>
              </w:rPr>
            </w:pPr>
          </w:p>
        </w:tc>
      </w:tr>
      <w:tr w14:paraId="7331F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41A0B">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1B5C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BB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76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577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0E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02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40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806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E3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FB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C4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DA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C2F70">
            <w:pPr>
              <w:jc w:val="center"/>
              <w:rPr>
                <w:rFonts w:hint="eastAsia" w:ascii="宋体" w:hAnsi="宋体" w:eastAsia="宋体" w:cs="宋体"/>
                <w:i w:val="0"/>
                <w:iCs w:val="0"/>
                <w:color w:val="000000"/>
                <w:sz w:val="18"/>
                <w:szCs w:val="18"/>
                <w:u w:val="none"/>
              </w:rPr>
            </w:pPr>
          </w:p>
        </w:tc>
      </w:tr>
      <w:tr w14:paraId="7B86D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0318C">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70B68">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6E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095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购置设备返厂率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9D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51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D7F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C77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4C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331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43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A5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96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8FAB2">
            <w:pPr>
              <w:jc w:val="center"/>
              <w:rPr>
                <w:rFonts w:hint="eastAsia" w:ascii="宋体" w:hAnsi="宋体" w:eastAsia="宋体" w:cs="宋体"/>
                <w:i w:val="0"/>
                <w:iCs w:val="0"/>
                <w:color w:val="000000"/>
                <w:sz w:val="18"/>
                <w:szCs w:val="18"/>
                <w:u w:val="none"/>
              </w:rPr>
            </w:pPr>
          </w:p>
        </w:tc>
      </w:tr>
      <w:tr w14:paraId="2F5E2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B24FDD">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43919">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D0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6FE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98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807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311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97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A44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FEFE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2DC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EF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39D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BF4BB">
            <w:pPr>
              <w:jc w:val="center"/>
              <w:rPr>
                <w:rFonts w:hint="eastAsia" w:ascii="宋体" w:hAnsi="宋体" w:eastAsia="宋体" w:cs="宋体"/>
                <w:i w:val="0"/>
                <w:iCs w:val="0"/>
                <w:color w:val="000000"/>
                <w:sz w:val="18"/>
                <w:szCs w:val="18"/>
                <w:u w:val="none"/>
              </w:rPr>
            </w:pPr>
          </w:p>
        </w:tc>
      </w:tr>
      <w:tr w14:paraId="14CE6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79826">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6C338">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768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9D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设备维修响应时间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A4A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30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&lt;=24小时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F1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&lt;=24小时</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506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D00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8C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8D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&lt;=24小时</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10DF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C1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6DF6F">
            <w:pPr>
              <w:jc w:val="center"/>
              <w:rPr>
                <w:rFonts w:hint="eastAsia" w:ascii="宋体" w:hAnsi="宋体" w:eastAsia="宋体" w:cs="宋体"/>
                <w:i w:val="0"/>
                <w:iCs w:val="0"/>
                <w:color w:val="000000"/>
                <w:sz w:val="18"/>
                <w:szCs w:val="18"/>
                <w:u w:val="none"/>
              </w:rPr>
            </w:pPr>
          </w:p>
        </w:tc>
      </w:tr>
      <w:tr w14:paraId="43E8A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5929A">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917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F5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88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医疗专用设备购置成本</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D6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5DD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&lt;=2170万元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7F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=2170万元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97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19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E4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C4B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1025.93万元</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D8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F9C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CFCCA">
            <w:pPr>
              <w:jc w:val="center"/>
              <w:rPr>
                <w:rFonts w:hint="eastAsia" w:ascii="宋体" w:hAnsi="宋体" w:eastAsia="宋体" w:cs="宋体"/>
                <w:i w:val="0"/>
                <w:iCs w:val="0"/>
                <w:color w:val="000000"/>
                <w:sz w:val="18"/>
                <w:szCs w:val="18"/>
                <w:u w:val="none"/>
              </w:rPr>
            </w:pPr>
          </w:p>
        </w:tc>
      </w:tr>
      <w:tr w14:paraId="63861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5F25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15E55">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997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532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信息软件购置成本</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FE5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7EC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&lt;=736万元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68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&lt;=736万元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11C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F4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B9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ADC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76.50万元</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FE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8DA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DC4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该指标具有政府采购和支出双属性，根据采购金额报送预算，决算为实际支出情况。</w:t>
            </w:r>
          </w:p>
        </w:tc>
      </w:tr>
      <w:tr w14:paraId="0AD55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73A81">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69E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537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7BC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EE4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725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2AA4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A8B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0B2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75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F4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B2C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CC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9F51A">
            <w:pPr>
              <w:jc w:val="center"/>
              <w:rPr>
                <w:rFonts w:hint="eastAsia" w:ascii="宋体" w:hAnsi="宋体" w:eastAsia="宋体" w:cs="宋体"/>
                <w:i w:val="0"/>
                <w:iCs w:val="0"/>
                <w:color w:val="000000"/>
                <w:sz w:val="18"/>
                <w:szCs w:val="18"/>
                <w:u w:val="none"/>
              </w:rPr>
            </w:pPr>
          </w:p>
        </w:tc>
      </w:tr>
      <w:tr w14:paraId="69057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16312">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DABA5">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73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5C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系统使用年限</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313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C3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49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EB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C4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75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39C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&gt;=1年</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1D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AE3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30B1C">
            <w:pPr>
              <w:jc w:val="center"/>
              <w:rPr>
                <w:rFonts w:hint="eastAsia" w:ascii="宋体" w:hAnsi="宋体" w:eastAsia="宋体" w:cs="宋体"/>
                <w:i w:val="0"/>
                <w:iCs w:val="0"/>
                <w:color w:val="000000"/>
                <w:sz w:val="18"/>
                <w:szCs w:val="18"/>
                <w:u w:val="none"/>
              </w:rPr>
            </w:pPr>
          </w:p>
        </w:tc>
      </w:tr>
      <w:tr w14:paraId="2BAC5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7FB5F">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981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E0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E0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使用科室满意度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574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BE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B8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1D3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FEA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784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1EC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33D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2F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正式材料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CC923">
            <w:pPr>
              <w:jc w:val="center"/>
              <w:rPr>
                <w:rFonts w:hint="eastAsia" w:ascii="宋体" w:hAnsi="宋体" w:eastAsia="宋体" w:cs="宋体"/>
                <w:i w:val="0"/>
                <w:iCs w:val="0"/>
                <w:color w:val="000000"/>
                <w:sz w:val="18"/>
                <w:szCs w:val="18"/>
                <w:u w:val="none"/>
              </w:rPr>
            </w:pPr>
          </w:p>
        </w:tc>
      </w:tr>
      <w:tr w14:paraId="7F677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1092" w:type="pct"/>
            <w:gridSpan w:val="4"/>
            <w:tcBorders>
              <w:top w:val="single" w:color="000000" w:sz="4" w:space="0"/>
              <w:left w:val="single" w:color="000000" w:sz="4" w:space="0"/>
              <w:bottom w:val="single" w:color="000000" w:sz="4" w:space="0"/>
              <w:right w:val="nil"/>
            </w:tcBorders>
            <w:shd w:val="clear" w:color="auto" w:fill="auto"/>
            <w:vAlign w:val="center"/>
          </w:tcPr>
          <w:p w14:paraId="24576E9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E8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63DCABB2">
            <w:pP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A776D">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D0A52">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F1D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97.98分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3F603">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76394">
            <w:pPr>
              <w:rPr>
                <w:rFonts w:hint="eastAsia" w:ascii="宋体" w:hAnsi="宋体" w:eastAsia="宋体" w:cs="宋体"/>
                <w:i w:val="0"/>
                <w:iCs w:val="0"/>
                <w:color w:val="000000"/>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BBD97A">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7FC53">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72193">
            <w:pPr>
              <w:rPr>
                <w:rFonts w:hint="eastAsia" w:ascii="宋体" w:hAnsi="宋体" w:eastAsia="宋体" w:cs="宋体"/>
                <w:i w:val="0"/>
                <w:iCs w:val="0"/>
                <w:color w:val="000000"/>
                <w:sz w:val="18"/>
                <w:szCs w:val="18"/>
                <w:u w:val="none"/>
              </w:rPr>
            </w:pPr>
          </w:p>
        </w:tc>
      </w:tr>
    </w:tbl>
    <w:p w14:paraId="2B8A3814">
      <w:pPr>
        <w:pStyle w:val="2"/>
        <w:jc w:val="both"/>
        <w:rPr>
          <w:rFonts w:ascii="Times New Roman" w:hAnsi="Times New Roman"/>
        </w:rPr>
        <w:sectPr>
          <w:pgSz w:w="16838" w:h="11906" w:orient="landscape"/>
          <w:pgMar w:top="1800" w:right="1440" w:bottom="1558" w:left="1440" w:header="851" w:footer="992" w:gutter="0"/>
          <w:cols w:space="425" w:num="1"/>
          <w:docGrid w:type="lines" w:linePitch="312" w:charSpace="0"/>
        </w:sectPr>
      </w:pPr>
    </w:p>
    <w:p w14:paraId="784FDEFA">
      <w:pPr>
        <w:spacing w:line="600" w:lineRule="exact"/>
        <w:rPr>
          <w:bCs/>
          <w:sz w:val="32"/>
          <w:szCs w:val="32"/>
        </w:rPr>
      </w:pPr>
      <w:r>
        <w:rPr>
          <w:bCs/>
          <w:sz w:val="32"/>
          <w:szCs w:val="32"/>
        </w:rPr>
        <w:t>附件1</w:t>
      </w:r>
    </w:p>
    <w:p w14:paraId="7C0A8143">
      <w:pPr>
        <w:pStyle w:val="17"/>
        <w:ind w:firstLine="562"/>
        <w:jc w:val="center"/>
      </w:pPr>
      <w:bookmarkStart w:id="3" w:name="_Toc30064_WPSOffice_Level1"/>
      <w:bookmarkStart w:id="4" w:name="_Toc26499_WPSOffice_Level2"/>
      <w:r>
        <w:rPr>
          <w:rFonts w:hint="eastAsia"/>
          <w:b/>
          <w:bCs/>
          <w:sz w:val="28"/>
          <w:szCs w:val="40"/>
        </w:rPr>
        <w:t>医院政府采购项目绩效评价指标体系综合评分表</w:t>
      </w:r>
      <w:bookmarkEnd w:id="3"/>
      <w:bookmarkEnd w:id="4"/>
    </w:p>
    <w:tbl>
      <w:tblPr>
        <w:tblStyle w:val="12"/>
        <w:tblW w:w="4997"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37"/>
        <w:gridCol w:w="855"/>
        <w:gridCol w:w="975"/>
        <w:gridCol w:w="2630"/>
        <w:gridCol w:w="5798"/>
        <w:gridCol w:w="1448"/>
        <w:gridCol w:w="1522"/>
      </w:tblGrid>
      <w:tr w14:paraId="36A3E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BEBEBE" w:themeFill="background1" w:themeFillShade="BF"/>
            <w:vAlign w:val="center"/>
          </w:tcPr>
          <w:p w14:paraId="23B94568">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BEBEBE" w:themeFill="background1" w:themeFillShade="BF"/>
            <w:vAlign w:val="center"/>
          </w:tcPr>
          <w:p w14:paraId="5EA895D5">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BEBEBE" w:themeFill="background1" w:themeFillShade="BF"/>
            <w:vAlign w:val="center"/>
          </w:tcPr>
          <w:p w14:paraId="7D9E1BD9">
            <w:pPr>
              <w:widowControl/>
              <w:spacing w:line="0" w:lineRule="atLeast"/>
              <w:jc w:val="center"/>
              <w:rPr>
                <w:b/>
                <w:bCs/>
                <w:color w:val="000000"/>
                <w:kern w:val="0"/>
                <w:sz w:val="22"/>
                <w:szCs w:val="22"/>
              </w:rPr>
            </w:pPr>
            <w:r>
              <w:rPr>
                <w:b/>
                <w:bCs/>
                <w:color w:val="000000"/>
                <w:kern w:val="0"/>
                <w:sz w:val="22"/>
                <w:szCs w:val="22"/>
              </w:rPr>
              <w:t>三级指标</w:t>
            </w:r>
          </w:p>
        </w:tc>
        <w:tc>
          <w:tcPr>
            <w:tcW w:w="928" w:type="pct"/>
            <w:shd w:val="clear" w:color="auto" w:fill="BEBEBE" w:themeFill="background1" w:themeFillShade="BF"/>
            <w:vAlign w:val="center"/>
          </w:tcPr>
          <w:p w14:paraId="149412C1">
            <w:pPr>
              <w:widowControl/>
              <w:spacing w:line="0" w:lineRule="atLeast"/>
              <w:jc w:val="center"/>
              <w:rPr>
                <w:b/>
                <w:bCs/>
                <w:color w:val="000000"/>
                <w:kern w:val="0"/>
                <w:sz w:val="22"/>
                <w:szCs w:val="22"/>
              </w:rPr>
            </w:pPr>
            <w:r>
              <w:rPr>
                <w:b/>
                <w:bCs/>
                <w:color w:val="000000"/>
                <w:kern w:val="0"/>
                <w:sz w:val="22"/>
                <w:szCs w:val="22"/>
              </w:rPr>
              <w:t>指标解释</w:t>
            </w:r>
          </w:p>
        </w:tc>
        <w:tc>
          <w:tcPr>
            <w:tcW w:w="2045" w:type="pct"/>
            <w:shd w:val="clear" w:color="auto" w:fill="BEBEBE" w:themeFill="background1" w:themeFillShade="BF"/>
            <w:vAlign w:val="center"/>
          </w:tcPr>
          <w:p w14:paraId="06925CED">
            <w:pPr>
              <w:widowControl/>
              <w:spacing w:line="0" w:lineRule="atLeast"/>
              <w:jc w:val="center"/>
              <w:rPr>
                <w:b/>
                <w:bCs/>
                <w:color w:val="000000"/>
                <w:kern w:val="0"/>
                <w:sz w:val="22"/>
                <w:szCs w:val="22"/>
              </w:rPr>
            </w:pPr>
            <w:r>
              <w:rPr>
                <w:b/>
                <w:bCs/>
                <w:color w:val="000000"/>
                <w:kern w:val="0"/>
                <w:sz w:val="22"/>
                <w:szCs w:val="22"/>
              </w:rPr>
              <w:t>指标说明</w:t>
            </w:r>
          </w:p>
        </w:tc>
        <w:tc>
          <w:tcPr>
            <w:tcW w:w="511" w:type="pct"/>
            <w:shd w:val="clear" w:color="auto" w:fill="BEBEBE" w:themeFill="background1" w:themeFillShade="BF"/>
            <w:vAlign w:val="center"/>
          </w:tcPr>
          <w:p w14:paraId="54C92642">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BEBEBE" w:themeFill="background1" w:themeFillShade="BF"/>
            <w:vAlign w:val="center"/>
          </w:tcPr>
          <w:p w14:paraId="142BA601">
            <w:pPr>
              <w:widowControl/>
              <w:spacing w:line="0" w:lineRule="atLeast"/>
              <w:jc w:val="center"/>
              <w:rPr>
                <w:b/>
                <w:bCs/>
                <w:color w:val="000000"/>
                <w:kern w:val="0"/>
                <w:sz w:val="22"/>
                <w:szCs w:val="22"/>
              </w:rPr>
            </w:pPr>
            <w:r>
              <w:rPr>
                <w:b/>
                <w:bCs/>
                <w:color w:val="000000"/>
                <w:kern w:val="0"/>
                <w:sz w:val="22"/>
                <w:szCs w:val="22"/>
              </w:rPr>
              <w:t>得分</w:t>
            </w:r>
          </w:p>
        </w:tc>
      </w:tr>
      <w:tr w14:paraId="4ED1B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1" w:type="pct"/>
            <w:vMerge w:val="restart"/>
            <w:shd w:val="clear" w:color="auto" w:fill="FFFFFF"/>
            <w:vAlign w:val="center"/>
          </w:tcPr>
          <w:p w14:paraId="625DC143">
            <w:pPr>
              <w:widowControl/>
              <w:spacing w:line="0" w:lineRule="atLeast"/>
              <w:jc w:val="center"/>
              <w:rPr>
                <w:color w:val="000000"/>
                <w:kern w:val="0"/>
                <w:sz w:val="22"/>
                <w:szCs w:val="22"/>
              </w:rPr>
            </w:pPr>
            <w:r>
              <w:rPr>
                <w:color w:val="000000"/>
                <w:kern w:val="0"/>
                <w:sz w:val="22"/>
                <w:szCs w:val="22"/>
              </w:rPr>
              <w:t>决策　</w:t>
            </w:r>
          </w:p>
          <w:p w14:paraId="7895A47D">
            <w:pPr>
              <w:widowControl/>
              <w:spacing w:line="0" w:lineRule="atLeast"/>
              <w:jc w:val="center"/>
              <w:rPr>
                <w:color w:val="000000"/>
                <w:kern w:val="0"/>
                <w:sz w:val="22"/>
                <w:szCs w:val="22"/>
              </w:rPr>
            </w:pPr>
            <w:r>
              <w:rPr>
                <w:color w:val="000000"/>
                <w:kern w:val="0"/>
                <w:sz w:val="22"/>
                <w:szCs w:val="22"/>
              </w:rPr>
              <w:t>　</w:t>
            </w:r>
          </w:p>
          <w:p w14:paraId="76699D71">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14:paraId="5D609FA6">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0F3A662A">
            <w:pPr>
              <w:widowControl/>
              <w:spacing w:line="0" w:lineRule="atLeast"/>
              <w:jc w:val="center"/>
              <w:rPr>
                <w:color w:val="000000"/>
                <w:kern w:val="0"/>
                <w:sz w:val="22"/>
                <w:szCs w:val="22"/>
              </w:rPr>
            </w:pPr>
            <w:r>
              <w:rPr>
                <w:color w:val="000000"/>
                <w:kern w:val="0"/>
                <w:sz w:val="22"/>
                <w:szCs w:val="22"/>
              </w:rPr>
              <w:t>立项依据</w:t>
            </w:r>
          </w:p>
          <w:p w14:paraId="3FBC8CB6">
            <w:pPr>
              <w:widowControl/>
              <w:spacing w:line="0" w:lineRule="atLeast"/>
              <w:jc w:val="center"/>
              <w:rPr>
                <w:color w:val="000000"/>
                <w:kern w:val="0"/>
                <w:sz w:val="22"/>
                <w:szCs w:val="22"/>
              </w:rPr>
            </w:pPr>
            <w:r>
              <w:rPr>
                <w:color w:val="000000"/>
                <w:kern w:val="0"/>
                <w:sz w:val="22"/>
                <w:szCs w:val="22"/>
              </w:rPr>
              <w:t>充分性</w:t>
            </w:r>
          </w:p>
        </w:tc>
        <w:tc>
          <w:tcPr>
            <w:tcW w:w="928" w:type="pct"/>
            <w:shd w:val="clear" w:color="auto" w:fill="FFFFFF"/>
            <w:vAlign w:val="center"/>
          </w:tcPr>
          <w:p w14:paraId="7109FE69">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5" w:type="pct"/>
            <w:shd w:val="clear" w:color="auto" w:fill="FFFFFF"/>
            <w:vAlign w:val="center"/>
          </w:tcPr>
          <w:p w14:paraId="553CCA1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1" w:type="pct"/>
            <w:shd w:val="clear" w:color="auto" w:fill="FFFFFF"/>
            <w:vAlign w:val="center"/>
          </w:tcPr>
          <w:p w14:paraId="44789A80">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7F7541E8">
            <w:pPr>
              <w:widowControl/>
              <w:spacing w:line="0" w:lineRule="atLeast"/>
              <w:jc w:val="center"/>
              <w:rPr>
                <w:b/>
                <w:bCs/>
                <w:color w:val="000000"/>
                <w:kern w:val="0"/>
                <w:sz w:val="22"/>
                <w:szCs w:val="22"/>
              </w:rPr>
            </w:pPr>
            <w:r>
              <w:rPr>
                <w:rFonts w:hint="eastAsia"/>
                <w:b/>
                <w:bCs/>
                <w:color w:val="000000"/>
                <w:kern w:val="0"/>
                <w:sz w:val="22"/>
                <w:szCs w:val="22"/>
              </w:rPr>
              <w:t>3</w:t>
            </w:r>
          </w:p>
        </w:tc>
      </w:tr>
      <w:tr w14:paraId="5973AF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380977DE">
            <w:pPr>
              <w:spacing w:line="0" w:lineRule="atLeast"/>
              <w:jc w:val="center"/>
              <w:rPr>
                <w:color w:val="000000"/>
                <w:kern w:val="0"/>
                <w:sz w:val="22"/>
                <w:szCs w:val="22"/>
              </w:rPr>
            </w:pPr>
          </w:p>
        </w:tc>
        <w:tc>
          <w:tcPr>
            <w:tcW w:w="302" w:type="pct"/>
            <w:vMerge w:val="continue"/>
            <w:shd w:val="clear" w:color="auto" w:fill="FFFFFF"/>
            <w:vAlign w:val="center"/>
          </w:tcPr>
          <w:p w14:paraId="471D0168">
            <w:pPr>
              <w:widowControl/>
              <w:spacing w:line="0" w:lineRule="atLeast"/>
              <w:jc w:val="center"/>
              <w:rPr>
                <w:color w:val="000000"/>
                <w:kern w:val="0"/>
                <w:sz w:val="22"/>
                <w:szCs w:val="22"/>
              </w:rPr>
            </w:pPr>
          </w:p>
        </w:tc>
        <w:tc>
          <w:tcPr>
            <w:tcW w:w="344" w:type="pct"/>
            <w:shd w:val="clear" w:color="auto" w:fill="FFFFFF"/>
            <w:vAlign w:val="center"/>
          </w:tcPr>
          <w:p w14:paraId="048F48CE">
            <w:pPr>
              <w:widowControl/>
              <w:spacing w:line="0" w:lineRule="atLeast"/>
              <w:jc w:val="center"/>
              <w:rPr>
                <w:color w:val="000000"/>
                <w:kern w:val="0"/>
                <w:sz w:val="22"/>
                <w:szCs w:val="22"/>
              </w:rPr>
            </w:pPr>
            <w:r>
              <w:rPr>
                <w:color w:val="000000"/>
                <w:kern w:val="0"/>
                <w:sz w:val="22"/>
                <w:szCs w:val="22"/>
              </w:rPr>
              <w:t>立项程序</w:t>
            </w:r>
          </w:p>
          <w:p w14:paraId="1663241F">
            <w:pPr>
              <w:widowControl/>
              <w:spacing w:line="0" w:lineRule="atLeast"/>
              <w:jc w:val="center"/>
              <w:rPr>
                <w:color w:val="000000"/>
                <w:kern w:val="0"/>
                <w:sz w:val="22"/>
                <w:szCs w:val="22"/>
              </w:rPr>
            </w:pPr>
            <w:r>
              <w:rPr>
                <w:color w:val="000000"/>
                <w:kern w:val="0"/>
                <w:sz w:val="22"/>
                <w:szCs w:val="22"/>
              </w:rPr>
              <w:t>规范性</w:t>
            </w:r>
          </w:p>
        </w:tc>
        <w:tc>
          <w:tcPr>
            <w:tcW w:w="928" w:type="pct"/>
            <w:shd w:val="clear" w:color="auto" w:fill="FFFFFF"/>
            <w:vAlign w:val="center"/>
          </w:tcPr>
          <w:p w14:paraId="7EA172C9">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5" w:type="pct"/>
            <w:shd w:val="clear" w:color="auto" w:fill="FFFFFF"/>
            <w:vAlign w:val="center"/>
          </w:tcPr>
          <w:p w14:paraId="1862D1ED">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1" w:type="pct"/>
            <w:shd w:val="clear" w:color="auto" w:fill="FFFFFF"/>
            <w:vAlign w:val="center"/>
          </w:tcPr>
          <w:p w14:paraId="4A0AA8E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25397AA3">
            <w:pPr>
              <w:widowControl/>
              <w:spacing w:line="0" w:lineRule="atLeast"/>
              <w:jc w:val="center"/>
              <w:rPr>
                <w:b/>
                <w:bCs/>
                <w:color w:val="000000"/>
                <w:kern w:val="0"/>
                <w:sz w:val="22"/>
                <w:szCs w:val="22"/>
              </w:rPr>
            </w:pPr>
            <w:r>
              <w:rPr>
                <w:rFonts w:hint="eastAsia"/>
                <w:b/>
                <w:bCs/>
                <w:color w:val="000000"/>
                <w:kern w:val="0"/>
                <w:sz w:val="22"/>
                <w:szCs w:val="22"/>
              </w:rPr>
              <w:t>3</w:t>
            </w:r>
          </w:p>
        </w:tc>
      </w:tr>
      <w:tr w14:paraId="719318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5572E5A2">
            <w:pPr>
              <w:spacing w:line="0" w:lineRule="atLeast"/>
              <w:jc w:val="center"/>
              <w:rPr>
                <w:color w:val="000000"/>
                <w:kern w:val="0"/>
                <w:sz w:val="22"/>
                <w:szCs w:val="22"/>
              </w:rPr>
            </w:pPr>
          </w:p>
        </w:tc>
        <w:tc>
          <w:tcPr>
            <w:tcW w:w="302" w:type="pct"/>
            <w:shd w:val="clear" w:color="auto" w:fill="FFFFFF"/>
            <w:vAlign w:val="center"/>
          </w:tcPr>
          <w:p w14:paraId="55C87E36">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3B960E1E">
            <w:pPr>
              <w:widowControl/>
              <w:spacing w:line="0" w:lineRule="atLeast"/>
              <w:jc w:val="center"/>
              <w:rPr>
                <w:color w:val="000000"/>
                <w:kern w:val="0"/>
                <w:sz w:val="22"/>
                <w:szCs w:val="22"/>
              </w:rPr>
            </w:pPr>
            <w:r>
              <w:rPr>
                <w:color w:val="000000"/>
                <w:kern w:val="0"/>
                <w:sz w:val="22"/>
                <w:szCs w:val="22"/>
              </w:rPr>
              <w:t>绩效目标</w:t>
            </w:r>
          </w:p>
          <w:p w14:paraId="44D7BBB8">
            <w:pPr>
              <w:widowControl/>
              <w:spacing w:line="0" w:lineRule="atLeast"/>
              <w:jc w:val="center"/>
              <w:rPr>
                <w:color w:val="000000"/>
                <w:kern w:val="0"/>
                <w:sz w:val="22"/>
                <w:szCs w:val="22"/>
              </w:rPr>
            </w:pPr>
            <w:r>
              <w:rPr>
                <w:color w:val="000000"/>
                <w:kern w:val="0"/>
                <w:sz w:val="22"/>
                <w:szCs w:val="22"/>
              </w:rPr>
              <w:t>合理性</w:t>
            </w:r>
          </w:p>
        </w:tc>
        <w:tc>
          <w:tcPr>
            <w:tcW w:w="928" w:type="pct"/>
            <w:shd w:val="clear" w:color="000000" w:fill="FFFFFF"/>
            <w:vAlign w:val="center"/>
          </w:tcPr>
          <w:p w14:paraId="4361C361">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5" w:type="pct"/>
            <w:shd w:val="clear" w:color="000000" w:fill="FFFFFF"/>
            <w:vAlign w:val="center"/>
          </w:tcPr>
          <w:p w14:paraId="3DAA6F6E">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2A3593D3">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1" w:type="pct"/>
            <w:shd w:val="clear" w:color="000000" w:fill="FFFFFF"/>
            <w:vAlign w:val="center"/>
          </w:tcPr>
          <w:p w14:paraId="6C0AC34F">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78A2DDF7">
            <w:pPr>
              <w:widowControl/>
              <w:spacing w:line="0" w:lineRule="atLeast"/>
              <w:jc w:val="center"/>
              <w:rPr>
                <w:b/>
                <w:bCs/>
                <w:color w:val="000000"/>
                <w:kern w:val="0"/>
                <w:sz w:val="22"/>
                <w:szCs w:val="22"/>
              </w:rPr>
            </w:pPr>
            <w:r>
              <w:rPr>
                <w:rFonts w:hint="eastAsia"/>
                <w:b/>
                <w:bCs/>
                <w:color w:val="000000"/>
                <w:kern w:val="0"/>
                <w:sz w:val="22"/>
                <w:szCs w:val="22"/>
              </w:rPr>
              <w:t>3</w:t>
            </w:r>
          </w:p>
        </w:tc>
      </w:tr>
      <w:tr w14:paraId="21973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2F82EF14">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14:paraId="3CD9A747">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2FB8E690">
            <w:pPr>
              <w:widowControl/>
              <w:spacing w:line="0" w:lineRule="atLeast"/>
              <w:jc w:val="center"/>
              <w:rPr>
                <w:color w:val="000000"/>
                <w:kern w:val="0"/>
                <w:sz w:val="22"/>
                <w:szCs w:val="22"/>
              </w:rPr>
            </w:pPr>
            <w:r>
              <w:rPr>
                <w:color w:val="000000"/>
                <w:kern w:val="0"/>
                <w:sz w:val="22"/>
                <w:szCs w:val="22"/>
              </w:rPr>
              <w:t>绩效指标</w:t>
            </w:r>
          </w:p>
          <w:p w14:paraId="2FFD95DF">
            <w:pPr>
              <w:widowControl/>
              <w:spacing w:line="0" w:lineRule="atLeast"/>
              <w:jc w:val="center"/>
              <w:rPr>
                <w:color w:val="000000"/>
                <w:kern w:val="0"/>
                <w:sz w:val="22"/>
                <w:szCs w:val="22"/>
              </w:rPr>
            </w:pPr>
            <w:r>
              <w:rPr>
                <w:color w:val="000000"/>
                <w:kern w:val="0"/>
                <w:sz w:val="22"/>
                <w:szCs w:val="22"/>
              </w:rPr>
              <w:t>明确性</w:t>
            </w:r>
          </w:p>
        </w:tc>
        <w:tc>
          <w:tcPr>
            <w:tcW w:w="928" w:type="pct"/>
            <w:shd w:val="clear" w:color="000000" w:fill="FFFFFF"/>
            <w:vAlign w:val="center"/>
          </w:tcPr>
          <w:p w14:paraId="3EF30D06">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5" w:type="pct"/>
            <w:shd w:val="clear" w:color="000000" w:fill="FFFFFF"/>
            <w:vAlign w:val="center"/>
          </w:tcPr>
          <w:p w14:paraId="137723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1" w:type="pct"/>
            <w:shd w:val="clear" w:color="000000" w:fill="FFFFFF"/>
            <w:vAlign w:val="center"/>
          </w:tcPr>
          <w:p w14:paraId="3329C7C7">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1838DB0A">
            <w:pPr>
              <w:widowControl/>
              <w:spacing w:line="0" w:lineRule="atLeast"/>
              <w:jc w:val="center"/>
              <w:rPr>
                <w:b/>
                <w:bCs/>
                <w:color w:val="000000"/>
                <w:kern w:val="0"/>
                <w:sz w:val="22"/>
                <w:szCs w:val="22"/>
              </w:rPr>
            </w:pPr>
            <w:r>
              <w:rPr>
                <w:rFonts w:hint="eastAsia"/>
                <w:b/>
                <w:bCs/>
                <w:color w:val="000000"/>
                <w:kern w:val="0"/>
                <w:sz w:val="22"/>
                <w:szCs w:val="22"/>
              </w:rPr>
              <w:t>3</w:t>
            </w:r>
          </w:p>
        </w:tc>
      </w:tr>
      <w:tr w14:paraId="37EF43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5284741D">
            <w:pPr>
              <w:spacing w:line="0" w:lineRule="atLeast"/>
              <w:jc w:val="center"/>
              <w:rPr>
                <w:color w:val="000000"/>
                <w:kern w:val="0"/>
                <w:sz w:val="22"/>
                <w:szCs w:val="22"/>
              </w:rPr>
            </w:pPr>
          </w:p>
        </w:tc>
        <w:tc>
          <w:tcPr>
            <w:tcW w:w="302" w:type="pct"/>
            <w:vMerge w:val="restart"/>
            <w:shd w:val="clear" w:color="auto" w:fill="FFFFFF"/>
            <w:vAlign w:val="center"/>
          </w:tcPr>
          <w:p w14:paraId="4F241CB6">
            <w:pPr>
              <w:widowControl/>
              <w:spacing w:line="0" w:lineRule="atLeast"/>
              <w:jc w:val="center"/>
              <w:rPr>
                <w:color w:val="000000"/>
                <w:kern w:val="0"/>
                <w:sz w:val="22"/>
                <w:szCs w:val="22"/>
              </w:rPr>
            </w:pPr>
            <w:r>
              <w:rPr>
                <w:color w:val="000000"/>
                <w:kern w:val="0"/>
                <w:sz w:val="22"/>
                <w:szCs w:val="22"/>
              </w:rPr>
              <w:t>资金投入</w:t>
            </w:r>
          </w:p>
          <w:p w14:paraId="03716C3A">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24B6FAD7">
            <w:pPr>
              <w:widowControl/>
              <w:spacing w:line="0" w:lineRule="atLeast"/>
              <w:jc w:val="center"/>
              <w:rPr>
                <w:color w:val="000000"/>
                <w:kern w:val="0"/>
                <w:sz w:val="22"/>
                <w:szCs w:val="22"/>
              </w:rPr>
            </w:pPr>
            <w:r>
              <w:rPr>
                <w:color w:val="000000"/>
                <w:kern w:val="0"/>
                <w:sz w:val="22"/>
                <w:szCs w:val="22"/>
              </w:rPr>
              <w:t>预算编制</w:t>
            </w:r>
          </w:p>
          <w:p w14:paraId="78B84652">
            <w:pPr>
              <w:widowControl/>
              <w:spacing w:line="0" w:lineRule="atLeast"/>
              <w:jc w:val="center"/>
              <w:rPr>
                <w:color w:val="000000"/>
                <w:kern w:val="0"/>
                <w:sz w:val="22"/>
                <w:szCs w:val="22"/>
              </w:rPr>
            </w:pPr>
            <w:r>
              <w:rPr>
                <w:color w:val="000000"/>
                <w:kern w:val="0"/>
                <w:sz w:val="22"/>
                <w:szCs w:val="22"/>
              </w:rPr>
              <w:t>科学性</w:t>
            </w:r>
          </w:p>
        </w:tc>
        <w:tc>
          <w:tcPr>
            <w:tcW w:w="928" w:type="pct"/>
            <w:shd w:val="clear" w:color="auto" w:fill="FFFFFF"/>
            <w:vAlign w:val="center"/>
          </w:tcPr>
          <w:p w14:paraId="0B8F6B18">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5" w:type="pct"/>
            <w:shd w:val="clear" w:color="auto" w:fill="FFFFFF"/>
            <w:vAlign w:val="center"/>
          </w:tcPr>
          <w:p w14:paraId="0C1E6E3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1" w:type="pct"/>
            <w:shd w:val="clear" w:color="auto" w:fill="FFFFFF"/>
            <w:vAlign w:val="center"/>
          </w:tcPr>
          <w:p w14:paraId="100F3F1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2D9EF43C">
            <w:pPr>
              <w:widowControl/>
              <w:spacing w:line="0" w:lineRule="atLeast"/>
              <w:jc w:val="center"/>
              <w:rPr>
                <w:b/>
                <w:bCs/>
                <w:color w:val="000000"/>
                <w:kern w:val="0"/>
                <w:sz w:val="22"/>
                <w:szCs w:val="22"/>
              </w:rPr>
            </w:pPr>
            <w:r>
              <w:rPr>
                <w:rFonts w:hint="eastAsia"/>
                <w:b/>
                <w:bCs/>
                <w:color w:val="000000"/>
                <w:kern w:val="0"/>
                <w:sz w:val="22"/>
                <w:szCs w:val="22"/>
              </w:rPr>
              <w:t>4</w:t>
            </w:r>
          </w:p>
        </w:tc>
      </w:tr>
      <w:tr w14:paraId="372E2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0F2E0E3F">
            <w:pPr>
              <w:widowControl/>
              <w:spacing w:line="0" w:lineRule="atLeast"/>
              <w:jc w:val="center"/>
              <w:rPr>
                <w:color w:val="000000"/>
                <w:kern w:val="0"/>
                <w:sz w:val="22"/>
                <w:szCs w:val="22"/>
              </w:rPr>
            </w:pPr>
          </w:p>
        </w:tc>
        <w:tc>
          <w:tcPr>
            <w:tcW w:w="302" w:type="pct"/>
            <w:vMerge w:val="continue"/>
            <w:shd w:val="clear" w:color="auto" w:fill="FFFFFF"/>
            <w:vAlign w:val="center"/>
          </w:tcPr>
          <w:p w14:paraId="0E68C724">
            <w:pPr>
              <w:widowControl/>
              <w:spacing w:line="0" w:lineRule="atLeast"/>
              <w:jc w:val="center"/>
              <w:rPr>
                <w:color w:val="000000"/>
                <w:kern w:val="0"/>
                <w:sz w:val="22"/>
                <w:szCs w:val="22"/>
              </w:rPr>
            </w:pPr>
          </w:p>
        </w:tc>
        <w:tc>
          <w:tcPr>
            <w:tcW w:w="344" w:type="pct"/>
            <w:shd w:val="clear" w:color="auto" w:fill="FFFFFF"/>
            <w:vAlign w:val="center"/>
          </w:tcPr>
          <w:p w14:paraId="4EB4EBBB">
            <w:pPr>
              <w:widowControl/>
              <w:spacing w:line="0" w:lineRule="atLeast"/>
              <w:jc w:val="center"/>
              <w:rPr>
                <w:color w:val="000000"/>
                <w:kern w:val="0"/>
                <w:sz w:val="22"/>
                <w:szCs w:val="22"/>
              </w:rPr>
            </w:pPr>
            <w:r>
              <w:rPr>
                <w:color w:val="000000"/>
                <w:kern w:val="0"/>
                <w:sz w:val="22"/>
                <w:szCs w:val="22"/>
              </w:rPr>
              <w:t>资金分配</w:t>
            </w:r>
          </w:p>
          <w:p w14:paraId="30CABC5A">
            <w:pPr>
              <w:widowControl/>
              <w:spacing w:line="0" w:lineRule="atLeast"/>
              <w:jc w:val="center"/>
              <w:rPr>
                <w:color w:val="000000"/>
                <w:kern w:val="0"/>
                <w:sz w:val="22"/>
                <w:szCs w:val="22"/>
              </w:rPr>
            </w:pPr>
            <w:r>
              <w:rPr>
                <w:color w:val="000000"/>
                <w:kern w:val="0"/>
                <w:sz w:val="22"/>
                <w:szCs w:val="22"/>
              </w:rPr>
              <w:t>合理性</w:t>
            </w:r>
          </w:p>
        </w:tc>
        <w:tc>
          <w:tcPr>
            <w:tcW w:w="928" w:type="pct"/>
            <w:shd w:val="clear" w:color="auto" w:fill="FFFFFF"/>
            <w:vAlign w:val="center"/>
          </w:tcPr>
          <w:p w14:paraId="21A7368F">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5" w:type="pct"/>
            <w:shd w:val="clear" w:color="auto" w:fill="FFFFFF"/>
            <w:vAlign w:val="center"/>
          </w:tcPr>
          <w:p w14:paraId="0463250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1" w:type="pct"/>
            <w:shd w:val="clear" w:color="auto" w:fill="FFFFFF"/>
            <w:vAlign w:val="center"/>
          </w:tcPr>
          <w:p w14:paraId="1D4EAED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6260777D">
            <w:pPr>
              <w:widowControl/>
              <w:spacing w:line="0" w:lineRule="atLeast"/>
              <w:jc w:val="center"/>
              <w:rPr>
                <w:b/>
                <w:bCs/>
                <w:color w:val="000000"/>
                <w:kern w:val="0"/>
                <w:sz w:val="22"/>
                <w:szCs w:val="22"/>
              </w:rPr>
            </w:pPr>
            <w:r>
              <w:rPr>
                <w:rFonts w:hint="eastAsia"/>
                <w:b/>
                <w:bCs/>
                <w:color w:val="000000"/>
                <w:kern w:val="0"/>
                <w:sz w:val="22"/>
                <w:szCs w:val="22"/>
              </w:rPr>
              <w:t>4</w:t>
            </w:r>
          </w:p>
        </w:tc>
      </w:tr>
      <w:tr w14:paraId="3CE69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6EB7E035">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1A7385A3">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2443E042">
            <w:pPr>
              <w:widowControl/>
              <w:spacing w:line="0" w:lineRule="atLeast"/>
              <w:jc w:val="center"/>
              <w:rPr>
                <w:color w:val="000000"/>
                <w:kern w:val="0"/>
                <w:sz w:val="22"/>
                <w:szCs w:val="22"/>
              </w:rPr>
            </w:pPr>
            <w:r>
              <w:rPr>
                <w:color w:val="000000"/>
                <w:kern w:val="0"/>
                <w:sz w:val="22"/>
                <w:szCs w:val="22"/>
              </w:rPr>
              <w:t>资金到位率</w:t>
            </w:r>
          </w:p>
        </w:tc>
        <w:tc>
          <w:tcPr>
            <w:tcW w:w="928" w:type="pct"/>
            <w:shd w:val="clear" w:color="000000" w:fill="FFFFFF"/>
            <w:vAlign w:val="center"/>
          </w:tcPr>
          <w:p w14:paraId="0A887972">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5" w:type="pct"/>
            <w:shd w:val="clear" w:color="000000" w:fill="FFFFFF"/>
            <w:vAlign w:val="center"/>
          </w:tcPr>
          <w:p w14:paraId="1C8D49D0">
            <w:pPr>
              <w:widowControl/>
              <w:spacing w:line="0" w:lineRule="atLeast"/>
              <w:rPr>
                <w:color w:val="000000"/>
                <w:kern w:val="0"/>
                <w:sz w:val="22"/>
                <w:szCs w:val="22"/>
              </w:rPr>
            </w:pPr>
            <w:r>
              <w:rPr>
                <w:color w:val="000000"/>
                <w:kern w:val="0"/>
                <w:sz w:val="22"/>
                <w:szCs w:val="22"/>
              </w:rPr>
              <w:t>资金到位率=（实际到位资金/预算资金）×100%。</w:t>
            </w:r>
          </w:p>
          <w:p w14:paraId="18CCE5CE">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0AC7FD3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1" w:type="pct"/>
            <w:shd w:val="clear" w:color="000000" w:fill="FFFFFF"/>
            <w:vAlign w:val="center"/>
          </w:tcPr>
          <w:p w14:paraId="12CB3A4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6A7881FC">
            <w:pPr>
              <w:widowControl/>
              <w:spacing w:line="0" w:lineRule="atLeast"/>
              <w:jc w:val="center"/>
              <w:rPr>
                <w:b/>
                <w:bCs/>
                <w:color w:val="000000"/>
                <w:kern w:val="0"/>
                <w:sz w:val="22"/>
                <w:szCs w:val="22"/>
              </w:rPr>
            </w:pPr>
            <w:r>
              <w:rPr>
                <w:rFonts w:hint="eastAsia"/>
                <w:b/>
                <w:bCs/>
                <w:color w:val="000000"/>
                <w:kern w:val="0"/>
                <w:sz w:val="22"/>
                <w:szCs w:val="22"/>
              </w:rPr>
              <w:t>4</w:t>
            </w:r>
          </w:p>
        </w:tc>
      </w:tr>
      <w:tr w14:paraId="2CD890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51C5DED7">
            <w:pPr>
              <w:spacing w:line="0" w:lineRule="atLeast"/>
              <w:jc w:val="center"/>
              <w:rPr>
                <w:color w:val="000000"/>
                <w:kern w:val="0"/>
                <w:sz w:val="22"/>
                <w:szCs w:val="22"/>
              </w:rPr>
            </w:pPr>
          </w:p>
        </w:tc>
        <w:tc>
          <w:tcPr>
            <w:tcW w:w="302" w:type="pct"/>
            <w:vMerge w:val="continue"/>
            <w:shd w:val="clear" w:color="auto" w:fill="FFFFFF"/>
            <w:vAlign w:val="center"/>
          </w:tcPr>
          <w:p w14:paraId="63C82A29">
            <w:pPr>
              <w:spacing w:line="0" w:lineRule="atLeast"/>
              <w:jc w:val="center"/>
              <w:rPr>
                <w:color w:val="000000"/>
                <w:kern w:val="0"/>
                <w:sz w:val="22"/>
                <w:szCs w:val="22"/>
              </w:rPr>
            </w:pPr>
          </w:p>
        </w:tc>
        <w:tc>
          <w:tcPr>
            <w:tcW w:w="344" w:type="pct"/>
            <w:shd w:val="clear" w:color="auto" w:fill="FFFFFF"/>
            <w:vAlign w:val="center"/>
          </w:tcPr>
          <w:p w14:paraId="74F2C8A6">
            <w:pPr>
              <w:widowControl/>
              <w:spacing w:line="0" w:lineRule="atLeast"/>
              <w:jc w:val="center"/>
              <w:rPr>
                <w:color w:val="000000"/>
                <w:kern w:val="0"/>
                <w:sz w:val="22"/>
                <w:szCs w:val="22"/>
              </w:rPr>
            </w:pPr>
            <w:r>
              <w:rPr>
                <w:color w:val="000000"/>
                <w:kern w:val="0"/>
                <w:sz w:val="22"/>
                <w:szCs w:val="22"/>
              </w:rPr>
              <w:t>预算执行率</w:t>
            </w:r>
          </w:p>
        </w:tc>
        <w:tc>
          <w:tcPr>
            <w:tcW w:w="928" w:type="pct"/>
            <w:shd w:val="clear" w:color="auto" w:fill="FFFFFF"/>
            <w:vAlign w:val="center"/>
          </w:tcPr>
          <w:p w14:paraId="76EA5C47">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5" w:type="pct"/>
            <w:shd w:val="clear" w:color="auto" w:fill="FFFFFF"/>
            <w:vAlign w:val="center"/>
          </w:tcPr>
          <w:p w14:paraId="5A70DDC8">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1" w:type="pct"/>
            <w:shd w:val="clear" w:color="auto" w:fill="FFFFFF"/>
            <w:vAlign w:val="center"/>
          </w:tcPr>
          <w:p w14:paraId="6ECB761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5537265E">
            <w:pPr>
              <w:widowControl/>
              <w:spacing w:line="0" w:lineRule="atLeast"/>
              <w:jc w:val="center"/>
              <w:rPr>
                <w:b/>
                <w:bCs/>
                <w:color w:val="000000"/>
                <w:kern w:val="0"/>
                <w:sz w:val="22"/>
                <w:szCs w:val="22"/>
              </w:rPr>
            </w:pPr>
            <w:r>
              <w:rPr>
                <w:rFonts w:hint="eastAsia"/>
                <w:b/>
                <w:bCs/>
                <w:color w:val="000000"/>
                <w:kern w:val="0"/>
                <w:sz w:val="22"/>
                <w:szCs w:val="22"/>
              </w:rPr>
              <w:t>3.19</w:t>
            </w:r>
          </w:p>
        </w:tc>
      </w:tr>
      <w:tr w14:paraId="746C7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38B26835">
            <w:pPr>
              <w:widowControl/>
              <w:spacing w:line="0" w:lineRule="atLeast"/>
              <w:jc w:val="center"/>
              <w:rPr>
                <w:color w:val="000000"/>
                <w:kern w:val="0"/>
                <w:sz w:val="22"/>
                <w:szCs w:val="22"/>
              </w:rPr>
            </w:pPr>
            <w:r>
              <w:rPr>
                <w:color w:val="000000"/>
                <w:kern w:val="0"/>
                <w:sz w:val="22"/>
                <w:szCs w:val="22"/>
              </w:rPr>
              <w:t>　</w:t>
            </w:r>
          </w:p>
          <w:p w14:paraId="022DC581">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14:paraId="15114E35">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19DB72FB">
            <w:pPr>
              <w:widowControl/>
              <w:spacing w:line="0" w:lineRule="atLeast"/>
              <w:jc w:val="center"/>
              <w:rPr>
                <w:color w:val="000000"/>
                <w:kern w:val="0"/>
                <w:sz w:val="22"/>
                <w:szCs w:val="22"/>
              </w:rPr>
            </w:pPr>
            <w:r>
              <w:rPr>
                <w:color w:val="000000"/>
                <w:kern w:val="0"/>
                <w:sz w:val="22"/>
                <w:szCs w:val="22"/>
              </w:rPr>
              <w:t>资金使用</w:t>
            </w:r>
          </w:p>
          <w:p w14:paraId="41B89AA0">
            <w:pPr>
              <w:widowControl/>
              <w:spacing w:line="0" w:lineRule="atLeast"/>
              <w:jc w:val="center"/>
              <w:rPr>
                <w:color w:val="000000"/>
                <w:kern w:val="0"/>
                <w:sz w:val="22"/>
                <w:szCs w:val="22"/>
              </w:rPr>
            </w:pPr>
            <w:r>
              <w:rPr>
                <w:color w:val="000000"/>
                <w:kern w:val="0"/>
                <w:sz w:val="22"/>
                <w:szCs w:val="22"/>
              </w:rPr>
              <w:t>合规性</w:t>
            </w:r>
          </w:p>
        </w:tc>
        <w:tc>
          <w:tcPr>
            <w:tcW w:w="928" w:type="pct"/>
            <w:shd w:val="clear" w:color="000000" w:fill="FFFFFF"/>
            <w:vAlign w:val="center"/>
          </w:tcPr>
          <w:p w14:paraId="275F0CD4">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5" w:type="pct"/>
            <w:shd w:val="clear" w:color="000000" w:fill="FFFFFF"/>
            <w:vAlign w:val="center"/>
          </w:tcPr>
          <w:p w14:paraId="2F31D4E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1" w:type="pct"/>
            <w:shd w:val="clear" w:color="000000" w:fill="FFFFFF"/>
            <w:vAlign w:val="center"/>
          </w:tcPr>
          <w:p w14:paraId="58242D0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6ABB3912">
            <w:pPr>
              <w:widowControl/>
              <w:spacing w:line="0" w:lineRule="atLeast"/>
              <w:jc w:val="center"/>
              <w:rPr>
                <w:b/>
                <w:bCs/>
                <w:color w:val="000000"/>
                <w:kern w:val="0"/>
                <w:sz w:val="22"/>
                <w:szCs w:val="22"/>
              </w:rPr>
            </w:pPr>
            <w:r>
              <w:rPr>
                <w:rFonts w:hint="eastAsia"/>
                <w:b/>
                <w:bCs/>
                <w:color w:val="000000"/>
                <w:kern w:val="0"/>
                <w:sz w:val="22"/>
                <w:szCs w:val="22"/>
              </w:rPr>
              <w:t>4</w:t>
            </w:r>
          </w:p>
        </w:tc>
      </w:tr>
      <w:tr w14:paraId="10FFF1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105176AD">
            <w:pPr>
              <w:spacing w:line="0" w:lineRule="atLeast"/>
              <w:jc w:val="center"/>
              <w:rPr>
                <w:color w:val="000000"/>
                <w:kern w:val="0"/>
                <w:sz w:val="22"/>
                <w:szCs w:val="22"/>
              </w:rPr>
            </w:pPr>
          </w:p>
        </w:tc>
        <w:tc>
          <w:tcPr>
            <w:tcW w:w="302" w:type="pct"/>
            <w:vMerge w:val="restart"/>
            <w:shd w:val="clear" w:color="auto" w:fill="FFFFFF"/>
            <w:vAlign w:val="center"/>
          </w:tcPr>
          <w:p w14:paraId="5F34EA63">
            <w:pPr>
              <w:widowControl/>
              <w:spacing w:line="0" w:lineRule="atLeast"/>
              <w:jc w:val="center"/>
              <w:rPr>
                <w:color w:val="000000"/>
                <w:kern w:val="0"/>
                <w:sz w:val="22"/>
                <w:szCs w:val="22"/>
              </w:rPr>
            </w:pPr>
            <w:r>
              <w:rPr>
                <w:color w:val="000000"/>
                <w:kern w:val="0"/>
                <w:sz w:val="22"/>
                <w:szCs w:val="22"/>
              </w:rPr>
              <w:t>组织实施</w:t>
            </w:r>
          </w:p>
          <w:p w14:paraId="01AF7631">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576C0843">
            <w:pPr>
              <w:widowControl/>
              <w:spacing w:line="0" w:lineRule="atLeast"/>
              <w:jc w:val="center"/>
              <w:rPr>
                <w:color w:val="000000"/>
                <w:kern w:val="0"/>
                <w:sz w:val="22"/>
                <w:szCs w:val="22"/>
              </w:rPr>
            </w:pPr>
            <w:r>
              <w:rPr>
                <w:color w:val="000000"/>
                <w:kern w:val="0"/>
                <w:sz w:val="22"/>
                <w:szCs w:val="22"/>
              </w:rPr>
              <w:t>管理制度</w:t>
            </w:r>
          </w:p>
          <w:p w14:paraId="5FC1378E">
            <w:pPr>
              <w:widowControl/>
              <w:spacing w:line="0" w:lineRule="atLeast"/>
              <w:jc w:val="center"/>
              <w:rPr>
                <w:color w:val="000000"/>
                <w:kern w:val="0"/>
                <w:sz w:val="22"/>
                <w:szCs w:val="22"/>
              </w:rPr>
            </w:pPr>
            <w:r>
              <w:rPr>
                <w:color w:val="000000"/>
                <w:kern w:val="0"/>
                <w:sz w:val="22"/>
                <w:szCs w:val="22"/>
              </w:rPr>
              <w:t>健全性</w:t>
            </w:r>
          </w:p>
        </w:tc>
        <w:tc>
          <w:tcPr>
            <w:tcW w:w="928" w:type="pct"/>
            <w:shd w:val="clear" w:color="000000" w:fill="FFFFFF"/>
            <w:vAlign w:val="center"/>
          </w:tcPr>
          <w:p w14:paraId="2D6C4273">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5" w:type="pct"/>
            <w:shd w:val="clear" w:color="000000" w:fill="FFFFFF"/>
            <w:vAlign w:val="center"/>
          </w:tcPr>
          <w:p w14:paraId="053AA13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1" w:type="pct"/>
            <w:shd w:val="clear" w:color="000000" w:fill="FFFFFF"/>
            <w:vAlign w:val="center"/>
          </w:tcPr>
          <w:p w14:paraId="441DF57E">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0AE0047D">
            <w:pPr>
              <w:widowControl/>
              <w:spacing w:line="0" w:lineRule="atLeast"/>
              <w:jc w:val="center"/>
              <w:rPr>
                <w:b/>
                <w:bCs/>
                <w:color w:val="000000"/>
                <w:kern w:val="0"/>
                <w:sz w:val="22"/>
                <w:szCs w:val="22"/>
              </w:rPr>
            </w:pPr>
            <w:r>
              <w:rPr>
                <w:rFonts w:hint="eastAsia"/>
                <w:b/>
                <w:bCs/>
                <w:color w:val="000000"/>
                <w:kern w:val="0"/>
                <w:sz w:val="22"/>
                <w:szCs w:val="22"/>
              </w:rPr>
              <w:t>4</w:t>
            </w:r>
          </w:p>
        </w:tc>
      </w:tr>
      <w:tr w14:paraId="74E7F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17A56B9E">
            <w:pPr>
              <w:widowControl/>
              <w:spacing w:line="0" w:lineRule="atLeast"/>
              <w:jc w:val="center"/>
              <w:rPr>
                <w:color w:val="000000"/>
                <w:kern w:val="0"/>
                <w:sz w:val="22"/>
                <w:szCs w:val="22"/>
              </w:rPr>
            </w:pPr>
          </w:p>
        </w:tc>
        <w:tc>
          <w:tcPr>
            <w:tcW w:w="302" w:type="pct"/>
            <w:vMerge w:val="continue"/>
            <w:shd w:val="clear" w:color="auto" w:fill="FFFFFF"/>
            <w:vAlign w:val="center"/>
          </w:tcPr>
          <w:p w14:paraId="34213679">
            <w:pPr>
              <w:widowControl/>
              <w:spacing w:line="0" w:lineRule="atLeast"/>
              <w:jc w:val="center"/>
              <w:rPr>
                <w:color w:val="000000"/>
                <w:kern w:val="0"/>
                <w:sz w:val="22"/>
                <w:szCs w:val="22"/>
              </w:rPr>
            </w:pPr>
          </w:p>
        </w:tc>
        <w:tc>
          <w:tcPr>
            <w:tcW w:w="344" w:type="pct"/>
            <w:shd w:val="clear" w:color="auto" w:fill="FFFFFF"/>
            <w:vAlign w:val="center"/>
          </w:tcPr>
          <w:p w14:paraId="4FC65DB4">
            <w:pPr>
              <w:widowControl/>
              <w:spacing w:line="0" w:lineRule="atLeast"/>
              <w:jc w:val="center"/>
              <w:rPr>
                <w:color w:val="000000"/>
                <w:kern w:val="0"/>
                <w:sz w:val="22"/>
                <w:szCs w:val="22"/>
              </w:rPr>
            </w:pPr>
            <w:r>
              <w:rPr>
                <w:color w:val="000000"/>
                <w:kern w:val="0"/>
                <w:sz w:val="22"/>
                <w:szCs w:val="22"/>
              </w:rPr>
              <w:t>制度执行</w:t>
            </w:r>
          </w:p>
          <w:p w14:paraId="2598B0F0">
            <w:pPr>
              <w:widowControl/>
              <w:spacing w:line="0" w:lineRule="atLeast"/>
              <w:jc w:val="center"/>
              <w:rPr>
                <w:color w:val="000000"/>
                <w:kern w:val="0"/>
                <w:sz w:val="22"/>
                <w:szCs w:val="22"/>
              </w:rPr>
            </w:pPr>
            <w:r>
              <w:rPr>
                <w:color w:val="000000"/>
                <w:kern w:val="0"/>
                <w:sz w:val="22"/>
                <w:szCs w:val="22"/>
              </w:rPr>
              <w:t>有效性</w:t>
            </w:r>
          </w:p>
        </w:tc>
        <w:tc>
          <w:tcPr>
            <w:tcW w:w="928" w:type="pct"/>
            <w:shd w:val="clear" w:color="000000" w:fill="FFFFFF"/>
            <w:vAlign w:val="center"/>
          </w:tcPr>
          <w:p w14:paraId="4B3B584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5" w:type="pct"/>
            <w:shd w:val="clear" w:color="000000" w:fill="FFFFFF"/>
            <w:vAlign w:val="center"/>
          </w:tcPr>
          <w:p w14:paraId="20039C8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1" w:type="pct"/>
            <w:shd w:val="clear" w:color="000000" w:fill="FFFFFF"/>
            <w:vAlign w:val="center"/>
          </w:tcPr>
          <w:p w14:paraId="4F0DCEF2">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03A099B9">
            <w:pPr>
              <w:widowControl/>
              <w:spacing w:line="0" w:lineRule="atLeast"/>
              <w:jc w:val="center"/>
              <w:rPr>
                <w:b/>
                <w:bCs/>
                <w:color w:val="000000"/>
                <w:kern w:val="0"/>
                <w:sz w:val="22"/>
                <w:szCs w:val="22"/>
              </w:rPr>
            </w:pPr>
            <w:r>
              <w:rPr>
                <w:rFonts w:hint="eastAsia"/>
                <w:b/>
                <w:bCs/>
                <w:color w:val="000000"/>
                <w:kern w:val="0"/>
                <w:sz w:val="22"/>
                <w:szCs w:val="22"/>
              </w:rPr>
              <w:t>4</w:t>
            </w:r>
          </w:p>
        </w:tc>
      </w:tr>
      <w:tr w14:paraId="4CBCC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01839A59">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0B05C54F">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0B131E96">
            <w:pPr>
              <w:widowControl/>
              <w:spacing w:line="0" w:lineRule="atLeast"/>
              <w:jc w:val="center"/>
              <w:rPr>
                <w:color w:val="000000"/>
                <w:kern w:val="0"/>
                <w:sz w:val="22"/>
                <w:szCs w:val="22"/>
              </w:rPr>
            </w:pPr>
            <w:r>
              <w:rPr>
                <w:color w:val="000000"/>
                <w:kern w:val="0"/>
                <w:sz w:val="22"/>
                <w:szCs w:val="22"/>
              </w:rPr>
              <w:t>实际完成率</w:t>
            </w:r>
          </w:p>
        </w:tc>
        <w:tc>
          <w:tcPr>
            <w:tcW w:w="928" w:type="pct"/>
            <w:shd w:val="clear" w:color="000000" w:fill="FFFFFF"/>
            <w:vAlign w:val="center"/>
          </w:tcPr>
          <w:p w14:paraId="742AF3BF">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5" w:type="pct"/>
            <w:shd w:val="clear" w:color="000000" w:fill="FFFFFF"/>
            <w:vAlign w:val="center"/>
          </w:tcPr>
          <w:p w14:paraId="1D235FAC">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1" w:type="pct"/>
            <w:shd w:val="clear" w:color="000000" w:fill="FFFFFF"/>
            <w:vAlign w:val="center"/>
          </w:tcPr>
          <w:p w14:paraId="7CE9F6E7">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6A84EDA5">
            <w:pPr>
              <w:widowControl/>
              <w:spacing w:line="0" w:lineRule="atLeast"/>
              <w:jc w:val="center"/>
              <w:rPr>
                <w:b/>
                <w:bCs/>
                <w:color w:val="000000"/>
                <w:kern w:val="0"/>
                <w:sz w:val="22"/>
                <w:szCs w:val="22"/>
              </w:rPr>
            </w:pPr>
            <w:r>
              <w:rPr>
                <w:rFonts w:hint="eastAsia"/>
                <w:b/>
                <w:bCs/>
                <w:color w:val="000000"/>
                <w:kern w:val="0"/>
                <w:sz w:val="22"/>
                <w:szCs w:val="22"/>
              </w:rPr>
              <w:t>10</w:t>
            </w:r>
          </w:p>
        </w:tc>
      </w:tr>
      <w:tr w14:paraId="1C2031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53F91E3D">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51484631">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5D8E346E">
            <w:pPr>
              <w:widowControl/>
              <w:spacing w:line="0" w:lineRule="atLeast"/>
              <w:jc w:val="center"/>
              <w:rPr>
                <w:color w:val="000000"/>
                <w:kern w:val="0"/>
                <w:sz w:val="22"/>
                <w:szCs w:val="22"/>
              </w:rPr>
            </w:pPr>
            <w:r>
              <w:rPr>
                <w:color w:val="000000"/>
                <w:kern w:val="0"/>
                <w:sz w:val="22"/>
                <w:szCs w:val="22"/>
              </w:rPr>
              <w:t>质量达标率</w:t>
            </w:r>
          </w:p>
        </w:tc>
        <w:tc>
          <w:tcPr>
            <w:tcW w:w="928" w:type="pct"/>
            <w:shd w:val="clear" w:color="000000" w:fill="FFFFFF"/>
            <w:vAlign w:val="center"/>
          </w:tcPr>
          <w:p w14:paraId="60155458">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5" w:type="pct"/>
            <w:shd w:val="clear" w:color="000000" w:fill="FFFFFF"/>
            <w:vAlign w:val="center"/>
          </w:tcPr>
          <w:p w14:paraId="21FEDC17">
            <w:pPr>
              <w:widowControl/>
              <w:spacing w:line="0" w:lineRule="atLeast"/>
              <w:rPr>
                <w:color w:val="000000"/>
                <w:kern w:val="0"/>
                <w:sz w:val="22"/>
                <w:szCs w:val="22"/>
              </w:rPr>
            </w:pPr>
            <w:r>
              <w:rPr>
                <w:color w:val="000000"/>
                <w:kern w:val="0"/>
                <w:sz w:val="22"/>
                <w:szCs w:val="22"/>
              </w:rPr>
              <w:t>质量达标率=（质量达标产出数/实际产出数）×100%。</w:t>
            </w:r>
          </w:p>
          <w:p w14:paraId="353A075B">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1" w:type="pct"/>
            <w:shd w:val="clear" w:color="000000" w:fill="FFFFFF"/>
            <w:vAlign w:val="center"/>
          </w:tcPr>
          <w:p w14:paraId="57B17362">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BE28E94">
            <w:pPr>
              <w:widowControl/>
              <w:spacing w:line="0" w:lineRule="atLeast"/>
              <w:jc w:val="center"/>
              <w:rPr>
                <w:b/>
                <w:bCs/>
                <w:color w:val="000000"/>
                <w:kern w:val="0"/>
                <w:sz w:val="22"/>
                <w:szCs w:val="22"/>
              </w:rPr>
            </w:pPr>
            <w:r>
              <w:rPr>
                <w:rFonts w:hint="eastAsia"/>
                <w:b/>
                <w:bCs/>
                <w:color w:val="000000"/>
                <w:kern w:val="0"/>
                <w:sz w:val="22"/>
                <w:szCs w:val="22"/>
              </w:rPr>
              <w:t>10</w:t>
            </w:r>
          </w:p>
        </w:tc>
      </w:tr>
      <w:tr w14:paraId="559260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02C685DE">
            <w:pPr>
              <w:spacing w:line="0" w:lineRule="atLeast"/>
              <w:jc w:val="center"/>
              <w:rPr>
                <w:color w:val="000000"/>
                <w:kern w:val="0"/>
                <w:sz w:val="22"/>
                <w:szCs w:val="22"/>
              </w:rPr>
            </w:pPr>
          </w:p>
        </w:tc>
        <w:tc>
          <w:tcPr>
            <w:tcW w:w="302" w:type="pct"/>
            <w:shd w:val="clear" w:color="auto" w:fill="FFFFFF"/>
            <w:vAlign w:val="center"/>
          </w:tcPr>
          <w:p w14:paraId="044EDDF1">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3BB74669">
            <w:pPr>
              <w:widowControl/>
              <w:spacing w:line="0" w:lineRule="atLeast"/>
              <w:jc w:val="center"/>
              <w:rPr>
                <w:color w:val="000000"/>
                <w:kern w:val="0"/>
                <w:sz w:val="22"/>
                <w:szCs w:val="22"/>
              </w:rPr>
            </w:pPr>
            <w:r>
              <w:rPr>
                <w:color w:val="000000"/>
                <w:kern w:val="0"/>
                <w:sz w:val="22"/>
                <w:szCs w:val="22"/>
              </w:rPr>
              <w:t>完成及时性</w:t>
            </w:r>
          </w:p>
        </w:tc>
        <w:tc>
          <w:tcPr>
            <w:tcW w:w="928" w:type="pct"/>
            <w:shd w:val="clear" w:color="000000" w:fill="FFFFFF"/>
            <w:vAlign w:val="center"/>
          </w:tcPr>
          <w:p w14:paraId="338BFFA6">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5" w:type="pct"/>
            <w:shd w:val="clear" w:color="000000" w:fill="FFFFFF"/>
            <w:vAlign w:val="center"/>
          </w:tcPr>
          <w:p w14:paraId="00697DED">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1" w:type="pct"/>
            <w:shd w:val="clear" w:color="000000" w:fill="FFFFFF"/>
            <w:vAlign w:val="center"/>
          </w:tcPr>
          <w:p w14:paraId="19B440A8">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393F2B9">
            <w:pPr>
              <w:widowControl/>
              <w:spacing w:line="0" w:lineRule="atLeast"/>
              <w:jc w:val="center"/>
              <w:rPr>
                <w:b/>
                <w:bCs/>
                <w:color w:val="000000"/>
                <w:kern w:val="0"/>
                <w:sz w:val="22"/>
                <w:szCs w:val="22"/>
              </w:rPr>
            </w:pPr>
            <w:r>
              <w:rPr>
                <w:rFonts w:hint="eastAsia"/>
                <w:b/>
                <w:bCs/>
                <w:color w:val="000000"/>
                <w:kern w:val="0"/>
                <w:sz w:val="22"/>
                <w:szCs w:val="22"/>
              </w:rPr>
              <w:t>10</w:t>
            </w:r>
          </w:p>
        </w:tc>
      </w:tr>
      <w:tr w14:paraId="4CFB2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690AD844">
            <w:pPr>
              <w:widowControl/>
              <w:spacing w:line="0" w:lineRule="atLeast"/>
              <w:jc w:val="center"/>
              <w:rPr>
                <w:color w:val="000000"/>
                <w:kern w:val="0"/>
                <w:sz w:val="22"/>
                <w:szCs w:val="22"/>
              </w:rPr>
            </w:pPr>
          </w:p>
        </w:tc>
        <w:tc>
          <w:tcPr>
            <w:tcW w:w="302" w:type="pct"/>
            <w:shd w:val="clear" w:color="auto" w:fill="FFFFFF"/>
            <w:vAlign w:val="center"/>
          </w:tcPr>
          <w:p w14:paraId="6222AC40">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AD36FC9">
            <w:pPr>
              <w:widowControl/>
              <w:spacing w:line="0" w:lineRule="atLeast"/>
              <w:jc w:val="center"/>
              <w:rPr>
                <w:color w:val="000000"/>
                <w:kern w:val="0"/>
                <w:sz w:val="22"/>
                <w:szCs w:val="22"/>
              </w:rPr>
            </w:pPr>
            <w:r>
              <w:rPr>
                <w:color w:val="000000"/>
                <w:kern w:val="0"/>
                <w:sz w:val="22"/>
                <w:szCs w:val="22"/>
              </w:rPr>
              <w:t>成本节约率</w:t>
            </w:r>
          </w:p>
        </w:tc>
        <w:tc>
          <w:tcPr>
            <w:tcW w:w="928" w:type="pct"/>
            <w:shd w:val="clear" w:color="000000" w:fill="FFFFFF"/>
            <w:vAlign w:val="center"/>
          </w:tcPr>
          <w:p w14:paraId="0860DC65">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5" w:type="pct"/>
            <w:shd w:val="clear" w:color="000000" w:fill="FFFFFF"/>
            <w:vAlign w:val="center"/>
          </w:tcPr>
          <w:p w14:paraId="2A6046F4">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1" w:type="pct"/>
            <w:shd w:val="clear" w:color="000000" w:fill="FFFFFF"/>
            <w:vAlign w:val="center"/>
          </w:tcPr>
          <w:p w14:paraId="4D78C3B4">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C87A79E">
            <w:pPr>
              <w:widowControl/>
              <w:spacing w:line="0" w:lineRule="atLeast"/>
              <w:jc w:val="center"/>
              <w:rPr>
                <w:b/>
                <w:bCs/>
                <w:color w:val="000000"/>
                <w:kern w:val="0"/>
                <w:sz w:val="22"/>
                <w:szCs w:val="22"/>
              </w:rPr>
            </w:pPr>
            <w:r>
              <w:rPr>
                <w:rFonts w:hint="eastAsia"/>
                <w:b/>
                <w:bCs/>
                <w:color w:val="000000"/>
                <w:kern w:val="0"/>
                <w:sz w:val="22"/>
                <w:szCs w:val="22"/>
              </w:rPr>
              <w:t>10</w:t>
            </w:r>
          </w:p>
        </w:tc>
      </w:tr>
      <w:tr w14:paraId="3DB4D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626B8E0D">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14:paraId="4ACF841B">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5A8162E1">
            <w:pPr>
              <w:widowControl/>
              <w:spacing w:line="0" w:lineRule="atLeast"/>
              <w:jc w:val="center"/>
              <w:rPr>
                <w:color w:val="000000"/>
                <w:kern w:val="0"/>
                <w:sz w:val="22"/>
                <w:szCs w:val="22"/>
              </w:rPr>
            </w:pPr>
            <w:r>
              <w:rPr>
                <w:color w:val="000000"/>
                <w:kern w:val="0"/>
                <w:sz w:val="22"/>
                <w:szCs w:val="22"/>
              </w:rPr>
              <w:t>实施效益</w:t>
            </w:r>
          </w:p>
        </w:tc>
        <w:tc>
          <w:tcPr>
            <w:tcW w:w="928" w:type="pct"/>
            <w:shd w:val="clear" w:color="auto" w:fill="FFFFFF"/>
            <w:vAlign w:val="center"/>
          </w:tcPr>
          <w:p w14:paraId="580824E0">
            <w:pPr>
              <w:widowControl/>
              <w:spacing w:line="0" w:lineRule="atLeast"/>
              <w:jc w:val="left"/>
              <w:rPr>
                <w:color w:val="000000"/>
                <w:kern w:val="0"/>
                <w:sz w:val="22"/>
                <w:szCs w:val="22"/>
              </w:rPr>
            </w:pPr>
            <w:r>
              <w:rPr>
                <w:color w:val="000000"/>
                <w:kern w:val="0"/>
                <w:sz w:val="22"/>
                <w:szCs w:val="22"/>
              </w:rPr>
              <w:t>项目实施所产生的效益。</w:t>
            </w:r>
          </w:p>
        </w:tc>
        <w:tc>
          <w:tcPr>
            <w:tcW w:w="2045" w:type="pct"/>
            <w:shd w:val="clear" w:color="auto" w:fill="FFFFFF"/>
            <w:vAlign w:val="center"/>
          </w:tcPr>
          <w:p w14:paraId="6ECD3D3A">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1" w:type="pct"/>
            <w:shd w:val="clear" w:color="auto" w:fill="FFFFFF"/>
            <w:vAlign w:val="center"/>
          </w:tcPr>
          <w:p w14:paraId="7E153B7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08CFD674">
            <w:pPr>
              <w:widowControl/>
              <w:spacing w:line="0" w:lineRule="atLeast"/>
              <w:jc w:val="center"/>
              <w:rPr>
                <w:b/>
                <w:bCs/>
                <w:color w:val="000000"/>
                <w:kern w:val="0"/>
                <w:sz w:val="22"/>
                <w:szCs w:val="22"/>
              </w:rPr>
            </w:pPr>
            <w:r>
              <w:rPr>
                <w:rFonts w:hint="eastAsia"/>
                <w:b/>
                <w:bCs/>
                <w:color w:val="000000"/>
                <w:kern w:val="0"/>
                <w:sz w:val="22"/>
                <w:szCs w:val="22"/>
              </w:rPr>
              <w:t>10</w:t>
            </w:r>
          </w:p>
        </w:tc>
      </w:tr>
      <w:tr w14:paraId="212ADE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1FCB5E60">
            <w:pPr>
              <w:widowControl/>
              <w:spacing w:line="0" w:lineRule="atLeast"/>
              <w:jc w:val="center"/>
              <w:rPr>
                <w:color w:val="000000"/>
                <w:kern w:val="0"/>
                <w:sz w:val="22"/>
                <w:szCs w:val="22"/>
              </w:rPr>
            </w:pPr>
          </w:p>
        </w:tc>
        <w:tc>
          <w:tcPr>
            <w:tcW w:w="302" w:type="pct"/>
            <w:vMerge w:val="continue"/>
            <w:shd w:val="clear" w:color="auto" w:fill="FFFFFF"/>
            <w:vAlign w:val="center"/>
          </w:tcPr>
          <w:p w14:paraId="20A16BCB">
            <w:pPr>
              <w:widowControl/>
              <w:spacing w:line="0" w:lineRule="atLeast"/>
              <w:jc w:val="center"/>
              <w:rPr>
                <w:color w:val="000000"/>
                <w:kern w:val="0"/>
                <w:sz w:val="22"/>
                <w:szCs w:val="22"/>
              </w:rPr>
            </w:pPr>
          </w:p>
        </w:tc>
        <w:tc>
          <w:tcPr>
            <w:tcW w:w="344" w:type="pct"/>
            <w:shd w:val="clear" w:color="auto" w:fill="FFFFFF"/>
            <w:vAlign w:val="center"/>
          </w:tcPr>
          <w:p w14:paraId="3EC06890">
            <w:pPr>
              <w:widowControl/>
              <w:spacing w:line="0" w:lineRule="atLeast"/>
              <w:jc w:val="center"/>
              <w:rPr>
                <w:color w:val="000000"/>
                <w:kern w:val="0"/>
                <w:sz w:val="22"/>
                <w:szCs w:val="22"/>
              </w:rPr>
            </w:pPr>
            <w:r>
              <w:rPr>
                <w:color w:val="000000"/>
                <w:kern w:val="0"/>
                <w:sz w:val="22"/>
                <w:szCs w:val="22"/>
              </w:rPr>
              <w:t>满意度</w:t>
            </w:r>
          </w:p>
        </w:tc>
        <w:tc>
          <w:tcPr>
            <w:tcW w:w="928" w:type="pct"/>
            <w:shd w:val="clear" w:color="000000" w:fill="FFFFFF"/>
            <w:vAlign w:val="center"/>
          </w:tcPr>
          <w:p w14:paraId="5931944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5" w:type="pct"/>
            <w:shd w:val="clear" w:color="000000" w:fill="FFFFFF"/>
            <w:vAlign w:val="center"/>
          </w:tcPr>
          <w:p w14:paraId="2200F9F5">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1" w:type="pct"/>
            <w:shd w:val="clear" w:color="000000" w:fill="FFFFFF"/>
            <w:vAlign w:val="center"/>
          </w:tcPr>
          <w:p w14:paraId="785FF2BB">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2B65BC56">
            <w:pPr>
              <w:widowControl/>
              <w:spacing w:line="0" w:lineRule="atLeast"/>
              <w:jc w:val="center"/>
              <w:rPr>
                <w:b/>
                <w:bCs/>
                <w:color w:val="000000"/>
                <w:kern w:val="0"/>
                <w:sz w:val="22"/>
                <w:szCs w:val="22"/>
              </w:rPr>
            </w:pPr>
            <w:r>
              <w:rPr>
                <w:rFonts w:hint="eastAsia"/>
                <w:b/>
                <w:bCs/>
                <w:color w:val="000000"/>
                <w:kern w:val="0"/>
                <w:sz w:val="22"/>
                <w:szCs w:val="22"/>
              </w:rPr>
              <w:t>10</w:t>
            </w:r>
          </w:p>
        </w:tc>
      </w:tr>
      <w:tr w14:paraId="3209E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7" w:hRule="atLeast"/>
          <w:jc w:val="center"/>
        </w:trPr>
        <w:tc>
          <w:tcPr>
            <w:tcW w:w="3951" w:type="pct"/>
            <w:gridSpan w:val="5"/>
            <w:shd w:val="clear" w:color="auto" w:fill="FFFFFF"/>
            <w:vAlign w:val="center"/>
          </w:tcPr>
          <w:p w14:paraId="2EAD4E2E">
            <w:pPr>
              <w:widowControl/>
              <w:spacing w:line="0" w:lineRule="atLeast"/>
              <w:jc w:val="center"/>
              <w:rPr>
                <w:color w:val="000000"/>
                <w:kern w:val="0"/>
                <w:sz w:val="22"/>
                <w:szCs w:val="22"/>
              </w:rPr>
            </w:pPr>
            <w:r>
              <w:rPr>
                <w:rFonts w:hint="eastAsia"/>
                <w:b/>
                <w:bCs/>
                <w:color w:val="000000"/>
                <w:kern w:val="0"/>
                <w:sz w:val="22"/>
                <w:szCs w:val="22"/>
              </w:rPr>
              <w:t>合计</w:t>
            </w:r>
          </w:p>
        </w:tc>
        <w:tc>
          <w:tcPr>
            <w:tcW w:w="511" w:type="pct"/>
            <w:shd w:val="clear" w:color="000000" w:fill="FFFFFF"/>
            <w:vAlign w:val="center"/>
          </w:tcPr>
          <w:p w14:paraId="513F0783">
            <w:pPr>
              <w:widowControl/>
              <w:spacing w:line="0" w:lineRule="atLeast"/>
              <w:jc w:val="center"/>
              <w:rPr>
                <w:b/>
                <w:bCs/>
                <w:color w:val="000000"/>
                <w:kern w:val="0"/>
                <w:sz w:val="22"/>
                <w:szCs w:val="22"/>
              </w:rPr>
            </w:pPr>
            <w:r>
              <w:rPr>
                <w:rFonts w:hint="eastAsia"/>
                <w:b/>
                <w:bCs/>
                <w:color w:val="000000"/>
                <w:kern w:val="0"/>
                <w:sz w:val="22"/>
                <w:szCs w:val="22"/>
              </w:rPr>
              <w:t>100</w:t>
            </w:r>
          </w:p>
        </w:tc>
        <w:tc>
          <w:tcPr>
            <w:tcW w:w="537" w:type="pct"/>
            <w:shd w:val="clear" w:color="000000" w:fill="FFFFFF"/>
            <w:vAlign w:val="center"/>
          </w:tcPr>
          <w:p w14:paraId="5232B42F">
            <w:pPr>
              <w:widowControl/>
              <w:spacing w:line="0" w:lineRule="atLeast"/>
              <w:jc w:val="center"/>
              <w:rPr>
                <w:b/>
                <w:bCs/>
                <w:color w:val="000000"/>
                <w:kern w:val="0"/>
                <w:sz w:val="22"/>
                <w:szCs w:val="22"/>
              </w:rPr>
            </w:pPr>
            <w:r>
              <w:rPr>
                <w:rFonts w:hint="eastAsia"/>
                <w:b/>
                <w:bCs/>
                <w:color w:val="000000"/>
                <w:kern w:val="0"/>
                <w:sz w:val="22"/>
                <w:szCs w:val="22"/>
              </w:rPr>
              <w:t>99.19</w:t>
            </w:r>
          </w:p>
        </w:tc>
      </w:tr>
    </w:tbl>
    <w:p w14:paraId="5EF4FEF5">
      <w:pPr>
        <w:pStyle w:val="2"/>
        <w:rPr>
          <w:rFonts w:ascii="Times New Roman" w:hAnsi="Times New Roman"/>
        </w:rPr>
      </w:pPr>
    </w:p>
    <w:p w14:paraId="6387DAE9"/>
    <w:p w14:paraId="4564F8A7">
      <w:pPr>
        <w:spacing w:line="540" w:lineRule="exact"/>
        <w:ind w:firstLine="640"/>
        <w:rPr>
          <w:rStyle w:val="14"/>
          <w:rFonts w:eastAsia="黑体"/>
          <w:bCs w:val="0"/>
          <w:spacing w:val="-4"/>
          <w:sz w:val="32"/>
          <w:szCs w:val="32"/>
        </w:rPr>
      </w:pPr>
    </w:p>
    <w:p w14:paraId="18A59C59">
      <w:pPr>
        <w:spacing w:line="540" w:lineRule="exact"/>
        <w:ind w:firstLine="640"/>
        <w:rPr>
          <w:rStyle w:val="14"/>
          <w:rFonts w:eastAsia="黑体"/>
          <w:bCs w:val="0"/>
          <w:spacing w:val="-4"/>
          <w:sz w:val="32"/>
          <w:szCs w:val="32"/>
        </w:rPr>
      </w:pPr>
    </w:p>
    <w:p w14:paraId="5B60ACEF"/>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FEBD6E-4D35-46A7-879A-DF3C7D23D81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7037F84-6989-4CCE-929F-8741DB89DBC3}"/>
  </w:font>
  <w:font w:name="华文中宋">
    <w:panose1 w:val="02010600040101010101"/>
    <w:charset w:val="86"/>
    <w:family w:val="auto"/>
    <w:pitch w:val="default"/>
    <w:sig w:usb0="00000287" w:usb1="080F0000" w:usb2="00000000" w:usb3="00000000" w:csb0="0004009F" w:csb1="DFD70000"/>
    <w:embedRegular r:id="rId3" w:fontKey="{C2678BEC-4672-4D2B-BA0B-185CA09F3A4F}"/>
  </w:font>
  <w:font w:name="方正小标宋_GBK">
    <w:panose1 w:val="02000000000000000000"/>
    <w:charset w:val="86"/>
    <w:family w:val="script"/>
    <w:pitch w:val="default"/>
    <w:sig w:usb0="A00002BF" w:usb1="38CF7CFA" w:usb2="00082016" w:usb3="00000000" w:csb0="00040001" w:csb1="00000000"/>
    <w:embedRegular r:id="rId4" w:fontKey="{E12B2B3C-EF1E-4E74-98E8-737B62F3C3AB}"/>
  </w:font>
  <w:font w:name="楷体_GB2312">
    <w:panose1 w:val="02010609030101010101"/>
    <w:charset w:val="86"/>
    <w:family w:val="auto"/>
    <w:pitch w:val="default"/>
    <w:sig w:usb0="00000001" w:usb1="080E0000" w:usb2="00000000" w:usb3="00000000" w:csb0="00040000" w:csb1="00000000"/>
    <w:embedRegular r:id="rId5" w:fontKey="{89C9940E-0607-4008-96FE-B763202F1FF5}"/>
  </w:font>
  <w:font w:name="仿宋">
    <w:panose1 w:val="02010609060101010101"/>
    <w:charset w:val="86"/>
    <w:family w:val="modern"/>
    <w:pitch w:val="default"/>
    <w:sig w:usb0="800002BF" w:usb1="38CF7CFA" w:usb2="00000016" w:usb3="00000000" w:csb0="00040001" w:csb1="00000000"/>
    <w:embedRegular r:id="rId6" w:fontKey="{43E302DF-02F0-42F4-AEDB-89D8DFA2A217}"/>
  </w:font>
  <w:font w:name="___WRD_EMBED_SUB_39">
    <w:panose1 w:val="02010609030101010101"/>
    <w:charset w:val="86"/>
    <w:family w:val="modern"/>
    <w:pitch w:val="default"/>
    <w:sig w:usb0="00000001" w:usb1="080E0000" w:usb2="00000000" w:usb3="00000000" w:csb0="00040000" w:csb1="00000000"/>
    <w:embedRegular r:id="rId7" w:fontKey="{774AC093-B9BB-4453-AD99-239A3CFC5241}"/>
  </w:font>
  <w:font w:name="楷体">
    <w:panose1 w:val="02010609060101010101"/>
    <w:charset w:val="86"/>
    <w:family w:val="modern"/>
    <w:pitch w:val="default"/>
    <w:sig w:usb0="800002BF" w:usb1="38CF7CFA" w:usb2="00000016" w:usb3="00000000" w:csb0="00040001" w:csb1="00000000"/>
    <w:embedRegular r:id="rId8" w:fontKey="{0E5DE06D-B7B4-42FE-B4E4-9E2324E42F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B74288A">
        <w:pPr>
          <w:pStyle w:val="8"/>
          <w:jc w:val="center"/>
        </w:pPr>
        <w:r>
          <w:fldChar w:fldCharType="begin"/>
        </w:r>
        <w:r>
          <w:instrText xml:space="preserve">PAGE   \* MERGEFORMAT</w:instrText>
        </w:r>
        <w:r>
          <w:fldChar w:fldCharType="separate"/>
        </w:r>
        <w:r>
          <w:rPr>
            <w:lang w:val="zh-CN"/>
          </w:rPr>
          <w:t>1</w:t>
        </w:r>
        <w:r>
          <w:fldChar w:fldCharType="end"/>
        </w:r>
      </w:p>
    </w:sdtContent>
  </w:sdt>
  <w:p w14:paraId="43DC7E06">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ViY2JkMjU3NGYzZTEwMzZmMGFkZWViYmNkYWU3NDIifQ=="/>
  </w:docVars>
  <w:rsids>
    <w:rsidRoot w:val="FF6C4049"/>
    <w:rsid w:val="000566BA"/>
    <w:rsid w:val="00095176"/>
    <w:rsid w:val="000A0F5E"/>
    <w:rsid w:val="00107145"/>
    <w:rsid w:val="00127570"/>
    <w:rsid w:val="0019670F"/>
    <w:rsid w:val="00240113"/>
    <w:rsid w:val="002B5B34"/>
    <w:rsid w:val="0035784F"/>
    <w:rsid w:val="003B7BF1"/>
    <w:rsid w:val="003E4B88"/>
    <w:rsid w:val="00407EF5"/>
    <w:rsid w:val="0043786A"/>
    <w:rsid w:val="00451360"/>
    <w:rsid w:val="004712B7"/>
    <w:rsid w:val="004C45E0"/>
    <w:rsid w:val="00502876"/>
    <w:rsid w:val="00505EE8"/>
    <w:rsid w:val="00543356"/>
    <w:rsid w:val="00550D95"/>
    <w:rsid w:val="005717EC"/>
    <w:rsid w:val="00575704"/>
    <w:rsid w:val="006414D7"/>
    <w:rsid w:val="00646D98"/>
    <w:rsid w:val="006C208B"/>
    <w:rsid w:val="006E1BC0"/>
    <w:rsid w:val="006F7EE7"/>
    <w:rsid w:val="007024F6"/>
    <w:rsid w:val="00714727"/>
    <w:rsid w:val="00736412"/>
    <w:rsid w:val="007D6A8C"/>
    <w:rsid w:val="00840CF4"/>
    <w:rsid w:val="00851CBA"/>
    <w:rsid w:val="008816B2"/>
    <w:rsid w:val="008B2407"/>
    <w:rsid w:val="008B7C43"/>
    <w:rsid w:val="008C01D1"/>
    <w:rsid w:val="00922D3B"/>
    <w:rsid w:val="00944D26"/>
    <w:rsid w:val="009B4724"/>
    <w:rsid w:val="00A22E65"/>
    <w:rsid w:val="00A35817"/>
    <w:rsid w:val="00A9783F"/>
    <w:rsid w:val="00AA0DB1"/>
    <w:rsid w:val="00B20BF6"/>
    <w:rsid w:val="00B432A8"/>
    <w:rsid w:val="00BF653C"/>
    <w:rsid w:val="00CD553E"/>
    <w:rsid w:val="00D06610"/>
    <w:rsid w:val="00D2344A"/>
    <w:rsid w:val="00D302E1"/>
    <w:rsid w:val="00D94DBF"/>
    <w:rsid w:val="00DB55E8"/>
    <w:rsid w:val="00E64190"/>
    <w:rsid w:val="00ED0305"/>
    <w:rsid w:val="00ED6F1D"/>
    <w:rsid w:val="00F01D58"/>
    <w:rsid w:val="00F228EC"/>
    <w:rsid w:val="00F33D4E"/>
    <w:rsid w:val="00FC7F82"/>
    <w:rsid w:val="00FD3DF8"/>
    <w:rsid w:val="07E653EF"/>
    <w:rsid w:val="0AED0784"/>
    <w:rsid w:val="13B90F01"/>
    <w:rsid w:val="1C671E73"/>
    <w:rsid w:val="1D1979CC"/>
    <w:rsid w:val="276D0A1B"/>
    <w:rsid w:val="27F21145"/>
    <w:rsid w:val="281E228E"/>
    <w:rsid w:val="288F07CD"/>
    <w:rsid w:val="2A2653EC"/>
    <w:rsid w:val="32813259"/>
    <w:rsid w:val="333C5198"/>
    <w:rsid w:val="395F2B56"/>
    <w:rsid w:val="3BECE841"/>
    <w:rsid w:val="3FF7797D"/>
    <w:rsid w:val="4BD21BD6"/>
    <w:rsid w:val="50904599"/>
    <w:rsid w:val="52FB1889"/>
    <w:rsid w:val="5BFF6039"/>
    <w:rsid w:val="5D76A616"/>
    <w:rsid w:val="5D7F20B9"/>
    <w:rsid w:val="5DAC7D0E"/>
    <w:rsid w:val="5FFE8511"/>
    <w:rsid w:val="5FFEACE2"/>
    <w:rsid w:val="643EE26D"/>
    <w:rsid w:val="64EB5A9B"/>
    <w:rsid w:val="6D88069E"/>
    <w:rsid w:val="6FAF6C78"/>
    <w:rsid w:val="7317C656"/>
    <w:rsid w:val="76961013"/>
    <w:rsid w:val="77FD8BE9"/>
    <w:rsid w:val="79A9BD3F"/>
    <w:rsid w:val="7BFFFDD0"/>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FFDEEE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23"/>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0"/>
    <w:qFormat/>
    <w:uiPriority w:val="99"/>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19"/>
    <w:autoRedefine/>
    <w:qFormat/>
    <w:uiPriority w:val="0"/>
    <w:pPr>
      <w:tabs>
        <w:tab w:val="center" w:pos="4153"/>
        <w:tab w:val="right" w:pos="8306"/>
      </w:tabs>
      <w:snapToGrid w:val="0"/>
      <w:jc w:val="center"/>
    </w:pPr>
    <w:rPr>
      <w:sz w:val="18"/>
      <w:szCs w:val="18"/>
    </w:rPr>
  </w:style>
  <w:style w:type="paragraph" w:styleId="10">
    <w:name w:val="Body Text First Indent"/>
    <w:basedOn w:val="5"/>
    <w:autoRedefine/>
    <w:qFormat/>
    <w:uiPriority w:val="0"/>
    <w:pPr>
      <w:spacing w:after="0"/>
      <w:ind w:firstLine="200" w:firstLineChars="200"/>
    </w:pPr>
  </w:style>
  <w:style w:type="paragraph" w:styleId="11">
    <w:name w:val="Body Text First Indent 2"/>
    <w:basedOn w:val="6"/>
    <w:autoRedefine/>
    <w:qFormat/>
    <w:uiPriority w:val="0"/>
    <w:pPr>
      <w:ind w:firstLine="420" w:firstLineChars="200"/>
    </w:pPr>
  </w:style>
  <w:style w:type="character" w:styleId="14">
    <w:name w:val="Strong"/>
    <w:basedOn w:val="13"/>
    <w:autoRedefine/>
    <w:qFormat/>
    <w:uiPriority w:val="0"/>
    <w:rPr>
      <w:b/>
      <w:bCs/>
    </w:rPr>
  </w:style>
  <w:style w:type="character" w:styleId="15">
    <w:name w:val="annotation reference"/>
    <w:basedOn w:val="13"/>
    <w:autoRedefine/>
    <w:qFormat/>
    <w:uiPriority w:val="99"/>
    <w:rPr>
      <w:sz w:val="21"/>
      <w:szCs w:val="21"/>
    </w:rPr>
  </w:style>
  <w:style w:type="character" w:customStyle="1" w:styleId="16">
    <w:name w:val="fontstyle01"/>
    <w:autoRedefine/>
    <w:qFormat/>
    <w:uiPriority w:val="0"/>
    <w:rPr>
      <w:rFonts w:ascii="仿宋_GB2312" w:hAnsi="仿宋_GB2312" w:eastAsia="仿宋_GB2312" w:cs="仿宋_GB2312"/>
      <w:color w:val="000000"/>
      <w:sz w:val="32"/>
      <w:szCs w:val="32"/>
    </w:rPr>
  </w:style>
  <w:style w:type="paragraph" w:customStyle="1" w:styleId="17">
    <w:name w:val="闻政-正文段落文字"/>
    <w:basedOn w:val="1"/>
    <w:autoRedefine/>
    <w:qFormat/>
    <w:uiPriority w:val="3"/>
    <w:pPr>
      <w:spacing w:line="500" w:lineRule="exact"/>
      <w:ind w:firstLine="200"/>
    </w:pPr>
    <w:rPr>
      <w:kern w:val="0"/>
      <w:szCs w:val="28"/>
    </w:rPr>
  </w:style>
  <w:style w:type="paragraph" w:customStyle="1" w:styleId="18">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Char"/>
    <w:basedOn w:val="13"/>
    <w:link w:val="9"/>
    <w:autoRedefine/>
    <w:qFormat/>
    <w:uiPriority w:val="0"/>
    <w:rPr>
      <w:rFonts w:ascii="Times New Roman" w:hAnsi="Times New Roman" w:eastAsia="宋体" w:cs="Times New Roman"/>
      <w:kern w:val="2"/>
      <w:sz w:val="18"/>
      <w:szCs w:val="18"/>
    </w:rPr>
  </w:style>
  <w:style w:type="character" w:customStyle="1" w:styleId="20">
    <w:name w:val="批注文字 Char"/>
    <w:basedOn w:val="13"/>
    <w:link w:val="4"/>
    <w:autoRedefine/>
    <w:qFormat/>
    <w:uiPriority w:val="99"/>
    <w:rPr>
      <w:rFonts w:ascii="Times New Roman" w:hAnsi="Times New Roman" w:eastAsia="宋体" w:cs="Times New Roman"/>
      <w:kern w:val="2"/>
      <w:sz w:val="21"/>
      <w:szCs w:val="24"/>
    </w:rPr>
  </w:style>
  <w:style w:type="paragraph" w:styleId="21">
    <w:name w:val="List Paragraph"/>
    <w:basedOn w:val="1"/>
    <w:autoRedefine/>
    <w:unhideWhenUsed/>
    <w:qFormat/>
    <w:uiPriority w:val="99"/>
    <w:pPr>
      <w:ind w:firstLine="420" w:firstLineChars="200"/>
    </w:pPr>
  </w:style>
  <w:style w:type="character" w:customStyle="1" w:styleId="22">
    <w:name w:val="批注框文本 Char"/>
    <w:basedOn w:val="13"/>
    <w:link w:val="7"/>
    <w:autoRedefine/>
    <w:qFormat/>
    <w:uiPriority w:val="0"/>
    <w:rPr>
      <w:rFonts w:ascii="Times New Roman" w:hAnsi="Times New Roman" w:eastAsia="宋体" w:cs="Times New Roman"/>
      <w:kern w:val="2"/>
      <w:sz w:val="18"/>
      <w:szCs w:val="18"/>
    </w:rPr>
  </w:style>
  <w:style w:type="character" w:customStyle="1" w:styleId="23">
    <w:name w:val="标题 Char"/>
    <w:basedOn w:val="13"/>
    <w:link w:val="2"/>
    <w:autoRedefine/>
    <w:qFormat/>
    <w:uiPriority w:val="10"/>
    <w:rPr>
      <w:rFonts w:cs="Times New Roman" w:asciiTheme="majorHAnsi" w:hAnsiTheme="majorHAnsi" w:eastAsiaTheme="majorEastAsia"/>
      <w:b/>
      <w:bCs/>
      <w:kern w:val="28"/>
      <w:sz w:val="32"/>
      <w:szCs w:val="32"/>
    </w:rPr>
  </w:style>
  <w:style w:type="character" w:customStyle="1" w:styleId="24">
    <w:name w:val="font21"/>
    <w:basedOn w:val="13"/>
    <w:autoRedefine/>
    <w:qFormat/>
    <w:uiPriority w:val="0"/>
    <w:rPr>
      <w:rFonts w:hint="eastAsia" w:ascii="宋体" w:hAnsi="宋体" w:eastAsia="宋体" w:cs="宋体"/>
      <w:color w:val="000000"/>
      <w:sz w:val="18"/>
      <w:szCs w:val="18"/>
      <w:u w:val="none"/>
    </w:rPr>
  </w:style>
  <w:style w:type="character" w:customStyle="1" w:styleId="25">
    <w:name w:val="font61"/>
    <w:basedOn w:val="13"/>
    <w:autoRedefine/>
    <w:qFormat/>
    <w:uiPriority w:val="0"/>
    <w:rPr>
      <w:rFonts w:hint="eastAsia" w:ascii="宋体" w:hAnsi="宋体" w:eastAsia="宋体" w:cs="宋体"/>
      <w:color w:val="000000"/>
      <w:sz w:val="16"/>
      <w:szCs w:val="16"/>
      <w:u w:val="none"/>
    </w:rPr>
  </w:style>
  <w:style w:type="character" w:customStyle="1" w:styleId="26">
    <w:name w:val="font71"/>
    <w:basedOn w:val="13"/>
    <w:autoRedefine/>
    <w:qFormat/>
    <w:uiPriority w:val="0"/>
    <w:rPr>
      <w:rFonts w:hint="eastAsia" w:ascii="宋体" w:hAnsi="宋体" w:eastAsia="宋体" w:cs="宋体"/>
      <w:color w:val="FF0000"/>
      <w:sz w:val="16"/>
      <w:szCs w:val="16"/>
      <w:u w:val="none"/>
    </w:rPr>
  </w:style>
  <w:style w:type="character" w:customStyle="1" w:styleId="27">
    <w:name w:val="font41"/>
    <w:basedOn w:val="13"/>
    <w:autoRedefine/>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23</Pages>
  <Words>9810</Words>
  <Characters>10488</Characters>
  <Lines>14</Lines>
  <Paragraphs>22</Paragraphs>
  <TotalTime>32</TotalTime>
  <ScaleCrop>false</ScaleCrop>
  <LinksUpToDate>false</LinksUpToDate>
  <CharactersWithSpaces>10517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2024-03-08T03:48:00Z</dcterms:created>
  <dc:creator>审核人</dc:creator>
  <cp:lastModifiedBy>薛俊璇</cp:lastModifiedBy>
  <cp:lastPrinted>2024-03-08T10:30:00Z</cp:lastPrinted>
  <dcterms:modified xsi:type="dcterms:W3CDTF">2024-08-27T11:09:04Z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FBE035CEBC9941378DC6D67B0257830F_13</vt:lpwstr>
  </property>
</Properties>
</file>