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FC10E">
      <w:pPr>
        <w:rPr>
          <w:rFonts w:hint="default" w:ascii="Times New Roman" w:hAnsi="Times New Roman" w:eastAsia="黑体" w:cs="Times New Roman"/>
          <w:sz w:val="32"/>
          <w:szCs w:val="32"/>
        </w:rPr>
      </w:pPr>
    </w:p>
    <w:p w14:paraId="2A0A79AE">
      <w:pPr>
        <w:jc w:val="center"/>
        <w:rPr>
          <w:rFonts w:hint="default" w:ascii="Times New Roman" w:hAnsi="Times New Roman" w:eastAsia="方正小标宋_GBK" w:cs="Times New Roman"/>
          <w:sz w:val="44"/>
          <w:szCs w:val="44"/>
        </w:rPr>
      </w:pPr>
      <w:bookmarkStart w:id="0" w:name="OLE_LINK8"/>
    </w:p>
    <w:p w14:paraId="241E97B6">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新疆医科大学第二附属医院</w:t>
      </w:r>
    </w:p>
    <w:p w14:paraId="299396F5">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 xml:space="preserve"> 2023年度部门决算</w:t>
      </w:r>
    </w:p>
    <w:p w14:paraId="0695FA9D">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公开说明</w:t>
      </w:r>
    </w:p>
    <w:p w14:paraId="01709AB5">
      <w:pP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br w:type="page"/>
      </w:r>
    </w:p>
    <w:p w14:paraId="50272E14">
      <w:pPr>
        <w:jc w:val="center"/>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
          <w:kern w:val="0"/>
          <w:sz w:val="36"/>
          <w:szCs w:val="36"/>
        </w:rPr>
        <w:t>目  录</w:t>
      </w:r>
    </w:p>
    <w:p w14:paraId="4C8EE68D">
      <w:pPr>
        <w:pStyle w:val="8"/>
        <w:tabs>
          <w:tab w:val="right" w:pos="8306"/>
        </w:tabs>
        <w:rPr>
          <w:rFonts w:hint="default" w:ascii="Times New Roman" w:hAnsi="Times New Roman" w:eastAsia="仿宋" w:cs="Times New Roman"/>
          <w:b/>
          <w:bCs/>
          <w:sz w:val="32"/>
          <w:szCs w:val="32"/>
        </w:rPr>
      </w:pPr>
      <w:r>
        <w:rPr>
          <w:rFonts w:hint="default" w:ascii="Times New Roman" w:hAnsi="Times New Roman" w:eastAsia="仿宋" w:cs="Times New Roman"/>
          <w:sz w:val="32"/>
          <w:szCs w:val="32"/>
        </w:rPr>
        <w:fldChar w:fldCharType="begin"/>
      </w:r>
      <w:r>
        <w:rPr>
          <w:rFonts w:hint="default" w:ascii="Times New Roman" w:hAnsi="Times New Roman" w:eastAsia="仿宋" w:cs="Times New Roman"/>
          <w:sz w:val="32"/>
          <w:szCs w:val="32"/>
        </w:rPr>
        <w:instrText xml:space="preserve">TOC \o "1-3" \n  \h \u </w:instrText>
      </w:r>
      <w:r>
        <w:rPr>
          <w:rFonts w:hint="default" w:ascii="Times New Roman" w:hAnsi="Times New Roman" w:eastAsia="仿宋" w:cs="Times New Roman"/>
          <w:sz w:val="32"/>
          <w:szCs w:val="32"/>
        </w:rPr>
        <w:fldChar w:fldCharType="separate"/>
      </w: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"_Toc32314" </w:instrText>
      </w:r>
      <w:r>
        <w:rPr>
          <w:rFonts w:hint="default" w:ascii="Times New Roman" w:hAnsi="Times New Roman" w:eastAsia="仿宋" w:cs="Times New Roman"/>
        </w:rPr>
        <w:fldChar w:fldCharType="separate"/>
      </w:r>
      <w:r>
        <w:rPr>
          <w:rFonts w:hint="default" w:ascii="Times New Roman" w:hAnsi="Times New Roman" w:eastAsia="仿宋" w:cs="Times New Roman"/>
          <w:b/>
          <w:bCs/>
          <w:sz w:val="32"/>
          <w:szCs w:val="32"/>
        </w:rPr>
        <w:t>第一部分 单位概况</w:t>
      </w:r>
      <w:r>
        <w:rPr>
          <w:rFonts w:hint="default" w:ascii="Times New Roman" w:hAnsi="Times New Roman" w:eastAsia="仿宋" w:cs="Times New Roman"/>
          <w:b/>
          <w:bCs/>
          <w:sz w:val="32"/>
          <w:szCs w:val="32"/>
        </w:rPr>
        <w:fldChar w:fldCharType="end"/>
      </w:r>
    </w:p>
    <w:p w14:paraId="068EE695">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"_Toc30567"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一、主要职能</w:t>
      </w:r>
      <w:r>
        <w:rPr>
          <w:rFonts w:hint="default" w:ascii="Times New Roman" w:hAnsi="Times New Roman" w:eastAsia="仿宋" w:cs="Times New Roman"/>
          <w:bCs/>
          <w:kern w:val="0"/>
          <w:sz w:val="32"/>
          <w:szCs w:val="32"/>
        </w:rPr>
        <w:fldChar w:fldCharType="end"/>
      </w:r>
    </w:p>
    <w:p w14:paraId="1D34A904">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"_Toc2151"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二、机构设置及人员情况</w:t>
      </w:r>
      <w:r>
        <w:rPr>
          <w:rFonts w:hint="default" w:ascii="Times New Roman" w:hAnsi="Times New Roman" w:eastAsia="仿宋" w:cs="Times New Roman"/>
          <w:bCs/>
          <w:kern w:val="0"/>
          <w:sz w:val="32"/>
          <w:szCs w:val="32"/>
        </w:rPr>
        <w:fldChar w:fldCharType="end"/>
      </w:r>
    </w:p>
    <w:p w14:paraId="1128AEE0">
      <w:pPr>
        <w:pStyle w:val="8"/>
        <w:tabs>
          <w:tab w:val="right" w:pos="8306"/>
        </w:tabs>
        <w:rPr>
          <w:rFonts w:hint="default" w:ascii="Times New Roman" w:hAnsi="Times New Roman" w:eastAsia="仿宋" w:cs="Times New Roman"/>
          <w:b/>
          <w:bCs/>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"_Toc29374" </w:instrText>
      </w:r>
      <w:r>
        <w:rPr>
          <w:rFonts w:hint="default" w:ascii="Times New Roman" w:hAnsi="Times New Roman" w:eastAsia="仿宋" w:cs="Times New Roman"/>
        </w:rPr>
        <w:fldChar w:fldCharType="separate"/>
      </w:r>
      <w:r>
        <w:rPr>
          <w:rFonts w:hint="default" w:ascii="Times New Roman" w:hAnsi="Times New Roman" w:eastAsia="仿宋" w:cs="Times New Roman"/>
          <w:b/>
          <w:bCs/>
          <w:sz w:val="32"/>
          <w:szCs w:val="32"/>
        </w:rPr>
        <w:t>第二部分 部门决算情况说明</w:t>
      </w:r>
      <w:r>
        <w:rPr>
          <w:rFonts w:hint="default" w:ascii="Times New Roman" w:hAnsi="Times New Roman" w:eastAsia="仿宋" w:cs="Times New Roman"/>
          <w:b/>
          <w:bCs/>
          <w:sz w:val="32"/>
          <w:szCs w:val="32"/>
        </w:rPr>
        <w:fldChar w:fldCharType="end"/>
      </w:r>
    </w:p>
    <w:p w14:paraId="3E843508">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"_Toc25314"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一、收入支出决算总体情况说明</w:t>
      </w:r>
      <w:r>
        <w:rPr>
          <w:rFonts w:hint="default" w:ascii="Times New Roman" w:hAnsi="Times New Roman" w:eastAsia="仿宋" w:cs="Times New Roman"/>
          <w:bCs/>
          <w:kern w:val="0"/>
          <w:sz w:val="32"/>
          <w:szCs w:val="32"/>
        </w:rPr>
        <w:fldChar w:fldCharType="end"/>
      </w:r>
    </w:p>
    <w:p w14:paraId="75F3A4D6">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"_Toc12142"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二、收入决算情况说明</w:t>
      </w:r>
      <w:r>
        <w:rPr>
          <w:rFonts w:hint="default" w:ascii="Times New Roman" w:hAnsi="Times New Roman" w:eastAsia="仿宋" w:cs="Times New Roman"/>
          <w:bCs/>
          <w:kern w:val="0"/>
          <w:sz w:val="32"/>
          <w:szCs w:val="32"/>
        </w:rPr>
        <w:fldChar w:fldCharType="end"/>
      </w:r>
    </w:p>
    <w:p w14:paraId="090318BF">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"_Toc13201"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三、支出决算情况说明</w:t>
      </w:r>
      <w:r>
        <w:rPr>
          <w:rFonts w:hint="default" w:ascii="Times New Roman" w:hAnsi="Times New Roman" w:eastAsia="仿宋" w:cs="Times New Roman"/>
          <w:bCs/>
          <w:kern w:val="0"/>
          <w:sz w:val="32"/>
          <w:szCs w:val="32"/>
        </w:rPr>
        <w:fldChar w:fldCharType="end"/>
      </w:r>
    </w:p>
    <w:p w14:paraId="7C402063">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"_Toc26564"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四、财政拨款收入支出决算总体情况说明</w:t>
      </w:r>
      <w:r>
        <w:rPr>
          <w:rFonts w:hint="default" w:ascii="Times New Roman" w:hAnsi="Times New Roman" w:eastAsia="仿宋" w:cs="Times New Roman"/>
          <w:bCs/>
          <w:kern w:val="0"/>
          <w:sz w:val="32"/>
          <w:szCs w:val="32"/>
        </w:rPr>
        <w:fldChar w:fldCharType="end"/>
      </w:r>
    </w:p>
    <w:p w14:paraId="44573AB4">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"_Toc20360"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五、一般公共预算财政拨款支出决算情况说明</w:t>
      </w:r>
      <w:r>
        <w:rPr>
          <w:rFonts w:hint="default" w:ascii="Times New Roman" w:hAnsi="Times New Roman" w:eastAsia="仿宋" w:cs="Times New Roman"/>
          <w:bCs/>
          <w:kern w:val="0"/>
          <w:sz w:val="32"/>
          <w:szCs w:val="32"/>
        </w:rPr>
        <w:fldChar w:fldCharType="end"/>
      </w:r>
    </w:p>
    <w:p w14:paraId="1F049C8C">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"_Toc30870"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六、一般公共预算财政拨款基本支出决算情况说明</w:t>
      </w:r>
      <w:r>
        <w:rPr>
          <w:rFonts w:hint="default" w:ascii="Times New Roman" w:hAnsi="Times New Roman" w:eastAsia="仿宋" w:cs="Times New Roman"/>
          <w:bCs/>
          <w:kern w:val="0"/>
          <w:sz w:val="32"/>
          <w:szCs w:val="32"/>
        </w:rPr>
        <w:fldChar w:fldCharType="end"/>
      </w:r>
    </w:p>
    <w:p w14:paraId="164128CF">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"_Toc21518"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七、财政拨款“三公”经费支出决算情况说明</w:t>
      </w:r>
      <w:r>
        <w:rPr>
          <w:rFonts w:hint="default" w:ascii="Times New Roman" w:hAnsi="Times New Roman" w:eastAsia="仿宋" w:cs="Times New Roman"/>
          <w:bCs/>
          <w:kern w:val="0"/>
          <w:sz w:val="32"/>
          <w:szCs w:val="32"/>
        </w:rPr>
        <w:fldChar w:fldCharType="end"/>
      </w:r>
    </w:p>
    <w:p w14:paraId="0A0A9669">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"_Toc5810"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八、政府性基金预算财政拨款收入支出决算情况说明</w:t>
      </w:r>
      <w:r>
        <w:rPr>
          <w:rFonts w:hint="default" w:ascii="Times New Roman" w:hAnsi="Times New Roman" w:eastAsia="仿宋" w:cs="Times New Roman"/>
          <w:bCs/>
          <w:kern w:val="0"/>
          <w:sz w:val="32"/>
          <w:szCs w:val="32"/>
        </w:rPr>
        <w:fldChar w:fldCharType="end"/>
      </w:r>
    </w:p>
    <w:p w14:paraId="1E19B524">
      <w:pPr>
        <w:rPr>
          <w:rFonts w:hint="default" w:ascii="Times New Roman" w:hAnsi="Times New Roman" w:eastAsia="仿宋" w:cs="Times New Roman"/>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"_Toc5810"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九、国有资本经营预算财政拨款收入支出决算情况说明</w:t>
      </w:r>
      <w:r>
        <w:rPr>
          <w:rFonts w:hint="default" w:ascii="Times New Roman" w:hAnsi="Times New Roman" w:eastAsia="仿宋" w:cs="Times New Roman"/>
          <w:bCs/>
          <w:kern w:val="0"/>
          <w:sz w:val="32"/>
          <w:szCs w:val="32"/>
        </w:rPr>
        <w:fldChar w:fldCharType="end"/>
      </w:r>
    </w:p>
    <w:p w14:paraId="341F368B">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"_Toc1235" </w:instrText>
      </w:r>
      <w:r>
        <w:rPr>
          <w:rFonts w:hint="default" w:ascii="Times New Roman" w:hAnsi="Times New Roman" w:eastAsia="仿宋" w:cs="Times New Roman"/>
        </w:rPr>
        <w:fldChar w:fldCharType="separate"/>
      </w:r>
      <w:r>
        <w:rPr>
          <w:rFonts w:hint="default" w:ascii="Times New Roman" w:hAnsi="Times New Roman" w:eastAsia="仿宋" w:cs="Times New Roman"/>
          <w:sz w:val="32"/>
          <w:szCs w:val="32"/>
        </w:rPr>
        <w:t>十</w:t>
      </w:r>
      <w:r>
        <w:rPr>
          <w:rFonts w:hint="default" w:ascii="Times New Roman" w:hAnsi="Times New Roman" w:eastAsia="仿宋" w:cs="Times New Roman"/>
          <w:bCs/>
          <w:kern w:val="0"/>
          <w:sz w:val="32"/>
          <w:szCs w:val="32"/>
        </w:rPr>
        <w:t>、其他重要事项的情况说明</w:t>
      </w:r>
      <w:r>
        <w:rPr>
          <w:rFonts w:hint="default" w:ascii="Times New Roman" w:hAnsi="Times New Roman" w:eastAsia="仿宋" w:cs="Times New Roman"/>
          <w:bCs/>
          <w:kern w:val="0"/>
          <w:sz w:val="32"/>
          <w:szCs w:val="32"/>
        </w:rPr>
        <w:fldChar w:fldCharType="end"/>
      </w:r>
    </w:p>
    <w:p w14:paraId="1403A47C">
      <w:pPr>
        <w:pStyle w:val="5"/>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"_Toc14519" </w:instrText>
      </w:r>
      <w:r>
        <w:rPr>
          <w:rFonts w:hint="default" w:ascii="Times New Roman" w:hAnsi="Times New Roman" w:eastAsia="仿宋" w:cs="Times New Roman"/>
        </w:rPr>
        <w:fldChar w:fldCharType="separate"/>
      </w:r>
      <w:r>
        <w:rPr>
          <w:rFonts w:hint="default" w:ascii="Times New Roman" w:hAnsi="Times New Roman" w:eastAsia="仿宋" w:cs="Times New Roman"/>
          <w:sz w:val="32"/>
          <w:szCs w:val="32"/>
        </w:rPr>
        <w:t>（一）机关运行经费支出情况</w:t>
      </w:r>
      <w:r>
        <w:rPr>
          <w:rFonts w:hint="default" w:ascii="Times New Roman" w:hAnsi="Times New Roman" w:eastAsia="仿宋" w:cs="Times New Roman"/>
          <w:sz w:val="32"/>
          <w:szCs w:val="32"/>
        </w:rPr>
        <w:fldChar w:fldCharType="end"/>
      </w:r>
    </w:p>
    <w:p w14:paraId="53DACB38">
      <w:pPr>
        <w:pStyle w:val="5"/>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"_Toc227" </w:instrText>
      </w:r>
      <w:r>
        <w:rPr>
          <w:rFonts w:hint="default" w:ascii="Times New Roman" w:hAnsi="Times New Roman" w:eastAsia="仿宋" w:cs="Times New Roman"/>
        </w:rPr>
        <w:fldChar w:fldCharType="separate"/>
      </w:r>
      <w:r>
        <w:rPr>
          <w:rFonts w:hint="default" w:ascii="Times New Roman" w:hAnsi="Times New Roman" w:eastAsia="仿宋" w:cs="Times New Roman"/>
          <w:sz w:val="32"/>
          <w:szCs w:val="32"/>
        </w:rPr>
        <w:t>（二）政府采购情况</w:t>
      </w:r>
      <w:r>
        <w:rPr>
          <w:rFonts w:hint="default" w:ascii="Times New Roman" w:hAnsi="Times New Roman" w:eastAsia="仿宋" w:cs="Times New Roman"/>
          <w:sz w:val="32"/>
          <w:szCs w:val="32"/>
        </w:rPr>
        <w:fldChar w:fldCharType="end"/>
      </w:r>
    </w:p>
    <w:p w14:paraId="0BAFB522">
      <w:pPr>
        <w:pStyle w:val="5"/>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"_Toc8391" </w:instrText>
      </w:r>
      <w:r>
        <w:rPr>
          <w:rFonts w:hint="default" w:ascii="Times New Roman" w:hAnsi="Times New Roman" w:eastAsia="仿宋" w:cs="Times New Roman"/>
        </w:rPr>
        <w:fldChar w:fldCharType="separate"/>
      </w:r>
      <w:r>
        <w:rPr>
          <w:rFonts w:hint="default" w:ascii="Times New Roman" w:hAnsi="Times New Roman" w:eastAsia="仿宋" w:cs="Times New Roman"/>
          <w:sz w:val="32"/>
          <w:szCs w:val="32"/>
        </w:rPr>
        <w:t>（三）国有资产占用情况说明</w:t>
      </w:r>
      <w:r>
        <w:rPr>
          <w:rFonts w:hint="default" w:ascii="Times New Roman" w:hAnsi="Times New Roman" w:eastAsia="仿宋" w:cs="Times New Roman"/>
          <w:sz w:val="32"/>
          <w:szCs w:val="32"/>
        </w:rPr>
        <w:fldChar w:fldCharType="end"/>
      </w:r>
    </w:p>
    <w:p w14:paraId="64B65334">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"_Toc11283"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十一、预算绩效的情况说明</w:t>
      </w:r>
      <w:r>
        <w:rPr>
          <w:rFonts w:hint="default" w:ascii="Times New Roman" w:hAnsi="Times New Roman" w:eastAsia="仿宋" w:cs="Times New Roman"/>
          <w:bCs/>
          <w:kern w:val="0"/>
          <w:sz w:val="32"/>
          <w:szCs w:val="32"/>
        </w:rPr>
        <w:fldChar w:fldCharType="end"/>
      </w:r>
    </w:p>
    <w:p w14:paraId="50DB6E25">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十二、其他需说明的事项</w:t>
      </w:r>
    </w:p>
    <w:p w14:paraId="4485DB44">
      <w:pPr>
        <w:pStyle w:val="8"/>
        <w:tabs>
          <w:tab w:val="right" w:pos="8306"/>
        </w:tabs>
        <w:rPr>
          <w:rFonts w:hint="default" w:ascii="Times New Roman" w:hAnsi="Times New Roman" w:eastAsia="仿宋" w:cs="Times New Roman"/>
          <w:b/>
          <w:bCs/>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"_Toc3250" </w:instrText>
      </w:r>
      <w:r>
        <w:rPr>
          <w:rFonts w:hint="default" w:ascii="Times New Roman" w:hAnsi="Times New Roman" w:eastAsia="仿宋" w:cs="Times New Roman"/>
        </w:rPr>
        <w:fldChar w:fldCharType="separate"/>
      </w:r>
      <w:r>
        <w:rPr>
          <w:rFonts w:hint="default" w:ascii="Times New Roman" w:hAnsi="Times New Roman" w:eastAsia="仿宋" w:cs="Times New Roman"/>
          <w:b/>
          <w:bCs/>
          <w:sz w:val="32"/>
          <w:szCs w:val="32"/>
        </w:rPr>
        <w:t>第三部分 专业名词解释</w:t>
      </w:r>
      <w:r>
        <w:rPr>
          <w:rFonts w:hint="default" w:ascii="Times New Roman" w:hAnsi="Times New Roman" w:eastAsia="仿宋" w:cs="Times New Roman"/>
          <w:b/>
          <w:bCs/>
          <w:sz w:val="32"/>
          <w:szCs w:val="32"/>
        </w:rPr>
        <w:fldChar w:fldCharType="end"/>
      </w:r>
    </w:p>
    <w:p w14:paraId="603B52D6">
      <w:pPr>
        <w:pStyle w:val="8"/>
        <w:tabs>
          <w:tab w:val="right" w:pos="8306"/>
        </w:tabs>
        <w:rPr>
          <w:rFonts w:hint="default" w:ascii="Times New Roman" w:hAnsi="Times New Roman" w:eastAsia="仿宋" w:cs="Times New Roman"/>
          <w:b/>
          <w:bCs/>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"_Toc22784" </w:instrText>
      </w:r>
      <w:r>
        <w:rPr>
          <w:rFonts w:hint="default" w:ascii="Times New Roman" w:hAnsi="Times New Roman" w:eastAsia="仿宋" w:cs="Times New Roman"/>
        </w:rPr>
        <w:fldChar w:fldCharType="separate"/>
      </w:r>
      <w:r>
        <w:rPr>
          <w:rFonts w:hint="default" w:ascii="Times New Roman" w:hAnsi="Times New Roman" w:eastAsia="仿宋" w:cs="Times New Roman"/>
          <w:b/>
          <w:bCs/>
          <w:sz w:val="32"/>
          <w:szCs w:val="32"/>
        </w:rPr>
        <w:t>第四部分 部门决算报表（见附表）</w:t>
      </w:r>
      <w:r>
        <w:rPr>
          <w:rFonts w:hint="default" w:ascii="Times New Roman" w:hAnsi="Times New Roman" w:eastAsia="仿宋" w:cs="Times New Roman"/>
          <w:b/>
          <w:bCs/>
          <w:sz w:val="32"/>
          <w:szCs w:val="32"/>
        </w:rPr>
        <w:fldChar w:fldCharType="end"/>
      </w:r>
    </w:p>
    <w:p w14:paraId="293F32D3">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"_Toc2183"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一、《收入支出决算总表》</w:t>
      </w:r>
      <w:r>
        <w:rPr>
          <w:rFonts w:hint="default" w:ascii="Times New Roman" w:hAnsi="Times New Roman" w:eastAsia="仿宋" w:cs="Times New Roman"/>
          <w:bCs/>
          <w:kern w:val="0"/>
          <w:sz w:val="32"/>
          <w:szCs w:val="32"/>
        </w:rPr>
        <w:fldChar w:fldCharType="end"/>
      </w:r>
    </w:p>
    <w:p w14:paraId="4D6716C3">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"_Toc24532"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二、《收入决算表》</w:t>
      </w:r>
      <w:r>
        <w:rPr>
          <w:rFonts w:hint="default" w:ascii="Times New Roman" w:hAnsi="Times New Roman" w:eastAsia="仿宋" w:cs="Times New Roman"/>
          <w:bCs/>
          <w:kern w:val="0"/>
          <w:sz w:val="32"/>
          <w:szCs w:val="32"/>
        </w:rPr>
        <w:fldChar w:fldCharType="end"/>
      </w:r>
    </w:p>
    <w:p w14:paraId="568179F2">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"_Toc32434"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三、《支出决算表》</w:t>
      </w:r>
      <w:r>
        <w:rPr>
          <w:rFonts w:hint="default" w:ascii="Times New Roman" w:hAnsi="Times New Roman" w:eastAsia="仿宋" w:cs="Times New Roman"/>
          <w:bCs/>
          <w:kern w:val="0"/>
          <w:sz w:val="32"/>
          <w:szCs w:val="32"/>
        </w:rPr>
        <w:fldChar w:fldCharType="end"/>
      </w:r>
    </w:p>
    <w:p w14:paraId="770602BA">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"_Toc28786"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四、《财政拨款收入支出决算总表》</w:t>
      </w:r>
      <w:r>
        <w:rPr>
          <w:rFonts w:hint="default" w:ascii="Times New Roman" w:hAnsi="Times New Roman" w:eastAsia="仿宋" w:cs="Times New Roman"/>
          <w:bCs/>
          <w:kern w:val="0"/>
          <w:sz w:val="32"/>
          <w:szCs w:val="32"/>
        </w:rPr>
        <w:fldChar w:fldCharType="end"/>
      </w:r>
    </w:p>
    <w:p w14:paraId="1B3BF551">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"_Toc14869"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五、《一般公共预算财政拨款支出决算表》</w:t>
      </w:r>
      <w:r>
        <w:rPr>
          <w:rFonts w:hint="default" w:ascii="Times New Roman" w:hAnsi="Times New Roman" w:eastAsia="仿宋" w:cs="Times New Roman"/>
          <w:bCs/>
          <w:kern w:val="0"/>
          <w:sz w:val="32"/>
          <w:szCs w:val="32"/>
        </w:rPr>
        <w:fldChar w:fldCharType="end"/>
      </w:r>
    </w:p>
    <w:p w14:paraId="2FE9F539">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"_Toc8884"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六、《一般公共预算财政拨款基本支出决算表》</w:t>
      </w:r>
      <w:r>
        <w:rPr>
          <w:rFonts w:hint="default" w:ascii="Times New Roman" w:hAnsi="Times New Roman" w:eastAsia="仿宋" w:cs="Times New Roman"/>
          <w:bCs/>
          <w:kern w:val="0"/>
          <w:sz w:val="32"/>
          <w:szCs w:val="32"/>
        </w:rPr>
        <w:fldChar w:fldCharType="end"/>
      </w:r>
    </w:p>
    <w:p w14:paraId="6E2CFA0E">
      <w:pPr>
        <w:pStyle w:val="9"/>
        <w:tabs>
          <w:tab w:val="right" w:pos="8306"/>
        </w:tabs>
        <w:ind w:left="0" w:leftChars="0"/>
        <w:rPr>
          <w:rFonts w:hint="default" w:ascii="Times New Roman" w:hAnsi="Times New Roman" w:eastAsia="仿宋" w:cs="Times New Roman"/>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"_Toc29106"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七、《财政拨款“三公”经费支出决算表》</w:t>
      </w:r>
      <w:r>
        <w:rPr>
          <w:rFonts w:hint="default" w:ascii="Times New Roman" w:hAnsi="Times New Roman" w:eastAsia="仿宋" w:cs="Times New Roman"/>
          <w:bCs/>
          <w:kern w:val="0"/>
          <w:sz w:val="32"/>
          <w:szCs w:val="32"/>
        </w:rPr>
        <w:fldChar w:fldCharType="end"/>
      </w:r>
    </w:p>
    <w:p w14:paraId="37F2F0B1">
      <w:pPr>
        <w:pStyle w:val="9"/>
        <w:tabs>
          <w:tab w:val="right" w:pos="8306"/>
        </w:tabs>
        <w:ind w:left="0" w:leftChars="0"/>
        <w:rPr>
          <w:rFonts w:hint="default" w:ascii="Times New Roman" w:hAnsi="Times New Roman" w:eastAsia="仿宋" w:cs="Times New Roman"/>
          <w:bCs/>
          <w:kern w:val="0"/>
          <w:sz w:val="32"/>
          <w:szCs w:val="32"/>
        </w:rPr>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HYPERLINK \l "_Toc7643" </w:instrText>
      </w:r>
      <w:r>
        <w:rPr>
          <w:rFonts w:hint="default" w:ascii="Times New Roman" w:hAnsi="Times New Roman" w:eastAsia="仿宋" w:cs="Times New Roman"/>
        </w:rPr>
        <w:fldChar w:fldCharType="separate"/>
      </w:r>
      <w:r>
        <w:rPr>
          <w:rFonts w:hint="default" w:ascii="Times New Roman" w:hAnsi="Times New Roman" w:eastAsia="仿宋" w:cs="Times New Roman"/>
          <w:bCs/>
          <w:kern w:val="0"/>
          <w:sz w:val="32"/>
          <w:szCs w:val="32"/>
        </w:rPr>
        <w:t>八、《政府性基金预算财政拨款收入支出决算表》</w:t>
      </w:r>
      <w:r>
        <w:rPr>
          <w:rFonts w:hint="default" w:ascii="Times New Roman" w:hAnsi="Times New Roman" w:eastAsia="仿宋" w:cs="Times New Roman"/>
          <w:bCs/>
          <w:kern w:val="0"/>
          <w:sz w:val="32"/>
          <w:szCs w:val="32"/>
        </w:rPr>
        <w:fldChar w:fldCharType="end"/>
      </w:r>
    </w:p>
    <w:p w14:paraId="71604381">
      <w:pPr>
        <w:pStyle w:val="9"/>
        <w:tabs>
          <w:tab w:val="right" w:pos="8306"/>
        </w:tabs>
        <w:ind w:left="0" w:leftChars="0"/>
        <w:rPr>
          <w:rFonts w:hint="default" w:ascii="Times New Roman" w:hAnsi="Times New Roman" w:eastAsia="仿宋" w:cs="Times New Roman"/>
          <w:bCs/>
          <w:kern w:val="0"/>
          <w:sz w:val="32"/>
          <w:szCs w:val="32"/>
        </w:rPr>
      </w:pPr>
      <w:r>
        <w:rPr>
          <w:rFonts w:hint="default" w:ascii="Times New Roman" w:hAnsi="Times New Roman" w:eastAsia="仿宋" w:cs="Times New Roman"/>
          <w:bCs/>
          <w:kern w:val="0"/>
          <w:sz w:val="32"/>
          <w:szCs w:val="32"/>
        </w:rPr>
        <w:t>九、《国有资本经营预算财政拨款收入支出决算表》</w:t>
      </w:r>
    </w:p>
    <w:p w14:paraId="1ED883F3">
      <w:pPr>
        <w:rPr>
          <w:rFonts w:hint="default" w:ascii="Times New Roman" w:hAnsi="Times New Roman" w:eastAsia="仿宋" w:cs="Times New Roman"/>
        </w:rPr>
      </w:pPr>
      <w:r>
        <w:rPr>
          <w:rFonts w:hint="default" w:ascii="Times New Roman" w:hAnsi="Times New Roman" w:eastAsia="仿宋" w:cs="Times New Roman"/>
          <w:sz w:val="32"/>
          <w:szCs w:val="32"/>
        </w:rPr>
        <w:fldChar w:fldCharType="end"/>
      </w:r>
    </w:p>
    <w:p w14:paraId="612EC501">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br w:type="page"/>
      </w:r>
    </w:p>
    <w:p w14:paraId="0371B289">
      <w:pPr>
        <w:jc w:val="center"/>
        <w:outlineLvl w:val="0"/>
        <w:rPr>
          <w:rFonts w:hint="default" w:ascii="Times New Roman" w:hAnsi="Times New Roman" w:eastAsia="黑体" w:cs="Times New Roman"/>
          <w:sz w:val="32"/>
          <w:szCs w:val="32"/>
        </w:rPr>
      </w:pPr>
      <w:bookmarkStart w:id="1" w:name="_Toc24028"/>
      <w:bookmarkStart w:id="2" w:name="_Toc32314"/>
      <w:r>
        <w:rPr>
          <w:rFonts w:hint="default" w:ascii="Times New Roman" w:hAnsi="Times New Roman" w:eastAsia="黑体" w:cs="Times New Roman"/>
          <w:sz w:val="32"/>
          <w:szCs w:val="32"/>
        </w:rPr>
        <w:t>第一部分 单位概况</w:t>
      </w:r>
      <w:bookmarkEnd w:id="1"/>
      <w:bookmarkEnd w:id="2"/>
    </w:p>
    <w:p w14:paraId="32C4D91F">
      <w:pPr>
        <w:pStyle w:val="18"/>
        <w:numPr>
          <w:ilvl w:val="0"/>
          <w:numId w:val="1"/>
        </w:numPr>
        <w:ind w:firstLineChars="0"/>
        <w:outlineLvl w:val="1"/>
        <w:rPr>
          <w:rFonts w:hint="default" w:ascii="Times New Roman" w:hAnsi="Times New Roman" w:eastAsia="黑体" w:cs="Times New Roman"/>
          <w:bCs/>
          <w:kern w:val="0"/>
          <w:sz w:val="32"/>
          <w:szCs w:val="32"/>
        </w:rPr>
      </w:pPr>
      <w:bookmarkStart w:id="3" w:name="_Toc30567"/>
      <w:bookmarkStart w:id="4" w:name="_Toc30738"/>
      <w:r>
        <w:rPr>
          <w:rFonts w:hint="default" w:ascii="Times New Roman" w:hAnsi="Times New Roman" w:eastAsia="黑体" w:cs="Times New Roman"/>
          <w:bCs/>
          <w:kern w:val="0"/>
          <w:sz w:val="32"/>
          <w:szCs w:val="32"/>
        </w:rPr>
        <w:t>主要职能</w:t>
      </w:r>
      <w:bookmarkEnd w:id="3"/>
      <w:bookmarkEnd w:id="4"/>
    </w:p>
    <w:p w14:paraId="5962CA74">
      <w:pPr>
        <w:keepNext w:val="0"/>
        <w:keepLines w:val="0"/>
        <w:pageBreakBefore w:val="0"/>
        <w:widowControl w:val="0"/>
        <w:kinsoku/>
        <w:wordWrap/>
        <w:overflowPunct w:val="0"/>
        <w:topLinePunct w:val="0"/>
        <w:autoSpaceDE w:val="0"/>
        <w:autoSpaceDN w:val="0"/>
        <w:bidi w:val="0"/>
        <w:adjustRightInd w:val="0"/>
        <w:snapToGrid w:val="0"/>
        <w:spacing w:line="560" w:lineRule="exact"/>
        <w:ind w:left="0" w:right="0" w:firstLine="640" w:firstLineChars="200"/>
        <w:jc w:val="both"/>
        <w:textAlignment w:val="baseline"/>
        <w:rPr>
          <w:rFonts w:hint="default" w:ascii="Times New Roman" w:hAnsi="Times New Roman" w:eastAsia="仿宋" w:cs="Times New Roman"/>
          <w:b w:val="0"/>
          <w:bCs w:val="0"/>
          <w:snapToGrid w:val="0"/>
          <w:color w:val="000000"/>
          <w:kern w:val="0"/>
          <w:sz w:val="32"/>
          <w:szCs w:val="40"/>
          <w:lang w:eastAsia="en-US"/>
        </w:rPr>
      </w:pPr>
      <w:r>
        <w:rPr>
          <w:rFonts w:hint="default" w:ascii="Times New Roman" w:hAnsi="Times New Roman" w:eastAsia="仿宋" w:cs="Times New Roman"/>
          <w:sz w:val="32"/>
          <w:szCs w:val="32"/>
        </w:rPr>
        <w:t>新疆医科大学第二附属医院建于1954年，</w:t>
      </w:r>
      <w:r>
        <w:rPr>
          <w:rFonts w:hint="default" w:ascii="Times New Roman" w:hAnsi="Times New Roman" w:eastAsia="仿宋" w:cs="Times New Roman"/>
          <w:b w:val="0"/>
          <w:bCs w:val="0"/>
          <w:snapToGrid w:val="0"/>
          <w:color w:val="000000"/>
          <w:kern w:val="0"/>
          <w:sz w:val="32"/>
          <w:szCs w:val="40"/>
          <w:lang w:val="en-US" w:eastAsia="zh-CN"/>
        </w:rPr>
        <w:t>是</w:t>
      </w:r>
      <w:r>
        <w:rPr>
          <w:rFonts w:hint="default" w:ascii="Times New Roman" w:hAnsi="Times New Roman" w:eastAsia="仿宋" w:cs="Times New Roman"/>
          <w:b w:val="0"/>
          <w:bCs w:val="0"/>
          <w:snapToGrid w:val="0"/>
          <w:color w:val="000000"/>
          <w:kern w:val="0"/>
          <w:sz w:val="32"/>
          <w:szCs w:val="40"/>
          <w:lang w:eastAsia="en-US"/>
        </w:rPr>
        <w:t>一所集医疗、教学、科研、康复、预防、保健于一体的省级综合型三级甲等医院</w:t>
      </w:r>
      <w:r>
        <w:rPr>
          <w:rFonts w:hint="default" w:ascii="Times New Roman" w:hAnsi="Times New Roman" w:eastAsia="仿宋" w:cs="Times New Roman"/>
          <w:b w:val="0"/>
          <w:bCs w:val="0"/>
          <w:snapToGrid w:val="0"/>
          <w:color w:val="000000"/>
          <w:kern w:val="0"/>
          <w:sz w:val="32"/>
          <w:szCs w:val="40"/>
          <w:lang w:eastAsia="zh-CN"/>
        </w:rPr>
        <w:t>，</w:t>
      </w:r>
      <w:r>
        <w:rPr>
          <w:rFonts w:hint="default" w:ascii="Times New Roman" w:hAnsi="Times New Roman" w:eastAsia="仿宋" w:cs="Times New Roman"/>
          <w:b w:val="0"/>
          <w:bCs w:val="0"/>
          <w:snapToGrid w:val="0"/>
          <w:color w:val="000000"/>
          <w:kern w:val="0"/>
          <w:sz w:val="32"/>
          <w:szCs w:val="40"/>
          <w:lang w:val="en-US" w:eastAsia="zh-CN"/>
        </w:rPr>
        <w:t>是全疆唯一</w:t>
      </w:r>
      <w:r>
        <w:rPr>
          <w:rFonts w:hint="default" w:ascii="Times New Roman" w:hAnsi="Times New Roman" w:eastAsia="仿宋" w:cs="Times New Roman"/>
          <w:b w:val="0"/>
          <w:bCs w:val="0"/>
          <w:snapToGrid w:val="0"/>
          <w:color w:val="000000"/>
          <w:kern w:val="0"/>
          <w:sz w:val="32"/>
          <w:szCs w:val="40"/>
          <w:lang w:eastAsia="en-US"/>
        </w:rPr>
        <w:t>以“神经脑科”为特色的专科集群发展主线，立足学科优势和专科特色，推进医教研融合协同发展，已形成新疆神经脑科中心品牌。</w:t>
      </w:r>
    </w:p>
    <w:p w14:paraId="36968A10">
      <w:pPr>
        <w:pStyle w:val="18"/>
        <w:spacing w:line="560" w:lineRule="exact"/>
        <w:ind w:firstLine="64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目前医院拥有</w:t>
      </w:r>
      <w:r>
        <w:rPr>
          <w:rFonts w:hint="default" w:ascii="Times New Roman" w:hAnsi="Times New Roman" w:eastAsia="仿宋" w:cs="Times New Roman"/>
          <w:kern w:val="2"/>
          <w:sz w:val="32"/>
          <w:szCs w:val="32"/>
          <w:lang w:val="en-US" w:eastAsia="zh-CN" w:bidi="ar-SA"/>
        </w:rPr>
        <w:t>1</w:t>
      </w:r>
      <w:r>
        <w:rPr>
          <w:rFonts w:hint="default" w:ascii="Times New Roman" w:hAnsi="Times New Roman" w:eastAsia="仿宋" w:cs="Times New Roman"/>
          <w:sz w:val="32"/>
          <w:szCs w:val="32"/>
        </w:rPr>
        <w:t>个“国家级博士后科研工作站”，</w:t>
      </w:r>
      <w:r>
        <w:rPr>
          <w:rFonts w:hint="default" w:ascii="Times New Roman" w:hAnsi="Times New Roman" w:eastAsia="仿宋" w:cs="Times New Roman"/>
          <w:kern w:val="2"/>
          <w:sz w:val="32"/>
          <w:szCs w:val="32"/>
          <w:lang w:val="en-US" w:eastAsia="zh-CN" w:bidi="ar-SA"/>
        </w:rPr>
        <w:t>3</w:t>
      </w:r>
      <w:r>
        <w:rPr>
          <w:rFonts w:hint="default" w:ascii="Times New Roman" w:hAnsi="Times New Roman" w:eastAsia="仿宋" w:cs="Times New Roman"/>
          <w:sz w:val="32"/>
          <w:szCs w:val="32"/>
        </w:rPr>
        <w:t>个国家级临床医学中心，分别为国家神经系统疾病临床医学研究中心(新疆分中心)、国家精神心理疾病临床医学研究中心（新疆分中心）、国家老年疾病临床医学研究中心（新疆分中心）。</w:t>
      </w:r>
      <w:r>
        <w:rPr>
          <w:rFonts w:hint="default" w:ascii="Times New Roman" w:hAnsi="Times New Roman" w:eastAsia="仿宋" w:cs="Times New Roman"/>
          <w:kern w:val="2"/>
          <w:sz w:val="32"/>
          <w:szCs w:val="32"/>
          <w:lang w:val="en-US" w:eastAsia="zh-CN" w:bidi="ar-SA"/>
        </w:rPr>
        <w:t>3</w:t>
      </w:r>
      <w:r>
        <w:rPr>
          <w:rFonts w:hint="default" w:ascii="Times New Roman" w:hAnsi="Times New Roman" w:eastAsia="仿宋" w:cs="Times New Roman"/>
          <w:sz w:val="32"/>
          <w:szCs w:val="32"/>
        </w:rPr>
        <w:t>个自治区级中心，包括临床医学研究中心为新疆神经系统疾病临床医学研究中心、新疆耳聋防治及听力重建中心和新疆关节及周围神经疾病诊疗中心。成立新疆医科大学神经脑科临床诊疗中心、心脏康复中心、康复中心、睡眠中心。医院现有国家临床重点专科</w:t>
      </w:r>
      <w:r>
        <w:rPr>
          <w:rFonts w:hint="default" w:ascii="Times New Roman" w:hAnsi="Times New Roman" w:eastAsia="仿宋" w:cs="Times New Roman"/>
          <w:kern w:val="2"/>
          <w:sz w:val="32"/>
          <w:szCs w:val="32"/>
          <w:lang w:val="en-US" w:eastAsia="zh-CN" w:bidi="ar-SA"/>
        </w:rPr>
        <w:t>1</w:t>
      </w:r>
      <w:r>
        <w:rPr>
          <w:rFonts w:hint="default" w:ascii="Times New Roman" w:hAnsi="Times New Roman" w:eastAsia="仿宋" w:cs="Times New Roman"/>
          <w:sz w:val="32"/>
          <w:szCs w:val="32"/>
        </w:rPr>
        <w:t>个，自治区级临床重点专科</w:t>
      </w:r>
      <w:r>
        <w:rPr>
          <w:rFonts w:hint="default" w:ascii="Times New Roman" w:hAnsi="Times New Roman" w:eastAsia="仿宋" w:cs="Times New Roman"/>
          <w:kern w:val="2"/>
          <w:sz w:val="32"/>
          <w:szCs w:val="32"/>
          <w:lang w:val="en-US" w:eastAsia="zh-CN" w:bidi="ar-SA"/>
        </w:rPr>
        <w:t>13</w:t>
      </w:r>
      <w:r>
        <w:rPr>
          <w:rFonts w:hint="default" w:ascii="Times New Roman" w:hAnsi="Times New Roman" w:eastAsia="仿宋" w:cs="Times New Roman"/>
          <w:sz w:val="32"/>
          <w:szCs w:val="32"/>
        </w:rPr>
        <w:t>个，自治区级重点实验室</w:t>
      </w:r>
      <w:r>
        <w:rPr>
          <w:rFonts w:hint="default" w:ascii="Times New Roman" w:hAnsi="Times New Roman" w:eastAsia="仿宋" w:cs="Times New Roman"/>
          <w:kern w:val="2"/>
          <w:sz w:val="32"/>
          <w:szCs w:val="32"/>
          <w:lang w:val="en-US" w:eastAsia="zh-CN" w:bidi="ar-SA"/>
        </w:rPr>
        <w:t>1</w:t>
      </w:r>
      <w:r>
        <w:rPr>
          <w:rFonts w:hint="default" w:ascii="Times New Roman" w:hAnsi="Times New Roman" w:eastAsia="仿宋" w:cs="Times New Roman"/>
          <w:sz w:val="32"/>
          <w:szCs w:val="32"/>
        </w:rPr>
        <w:t>个，国家级住院医师规范化培训基地</w:t>
      </w:r>
      <w:r>
        <w:rPr>
          <w:rFonts w:hint="default" w:ascii="Times New Roman" w:hAnsi="Times New Roman" w:eastAsia="仿宋" w:cs="Times New Roman"/>
          <w:kern w:val="2"/>
          <w:sz w:val="32"/>
          <w:szCs w:val="32"/>
          <w:lang w:val="en-US" w:eastAsia="zh-CN" w:bidi="ar-SA"/>
        </w:rPr>
        <w:t>14</w:t>
      </w:r>
      <w:r>
        <w:rPr>
          <w:rFonts w:hint="default" w:ascii="Times New Roman" w:hAnsi="Times New Roman" w:eastAsia="仿宋" w:cs="Times New Roman"/>
          <w:sz w:val="32"/>
          <w:szCs w:val="32"/>
        </w:rPr>
        <w:t>个，博士专业培养点</w:t>
      </w:r>
      <w:bookmarkStart w:id="5" w:name="OLE_LINK12"/>
      <w:r>
        <w:rPr>
          <w:rFonts w:hint="default" w:ascii="Times New Roman" w:hAnsi="Times New Roman" w:eastAsia="仿宋" w:cs="Times New Roman"/>
          <w:kern w:val="2"/>
          <w:sz w:val="32"/>
          <w:szCs w:val="32"/>
          <w:lang w:val="en-US" w:eastAsia="zh-CN" w:bidi="ar-SA"/>
        </w:rPr>
        <w:t>14</w:t>
      </w:r>
      <w:bookmarkEnd w:id="5"/>
      <w:r>
        <w:rPr>
          <w:rFonts w:hint="default" w:ascii="Times New Roman" w:hAnsi="Times New Roman" w:eastAsia="仿宋" w:cs="Times New Roman"/>
          <w:sz w:val="32"/>
          <w:szCs w:val="32"/>
        </w:rPr>
        <w:t>个，硕士专业培养点</w:t>
      </w:r>
      <w:r>
        <w:rPr>
          <w:rFonts w:hint="default" w:ascii="Times New Roman" w:hAnsi="Times New Roman" w:eastAsia="仿宋" w:cs="Times New Roman"/>
          <w:kern w:val="2"/>
          <w:sz w:val="32"/>
          <w:szCs w:val="32"/>
          <w:lang w:val="en-US" w:eastAsia="zh-CN" w:bidi="ar-SA"/>
        </w:rPr>
        <w:t>25</w:t>
      </w:r>
      <w:r>
        <w:rPr>
          <w:rFonts w:hint="default" w:ascii="Times New Roman" w:hAnsi="Times New Roman" w:eastAsia="仿宋" w:cs="Times New Roman"/>
          <w:sz w:val="32"/>
          <w:szCs w:val="32"/>
        </w:rPr>
        <w:t>个。医院荣获自治区科技进步一等奖</w:t>
      </w:r>
      <w:r>
        <w:rPr>
          <w:rFonts w:hint="default" w:ascii="Times New Roman" w:hAnsi="Times New Roman" w:eastAsia="仿宋" w:cs="Times New Roman"/>
          <w:kern w:val="2"/>
          <w:sz w:val="32"/>
          <w:szCs w:val="32"/>
          <w:lang w:val="en-US" w:eastAsia="zh-CN" w:bidi="ar-SA"/>
        </w:rPr>
        <w:t>2</w:t>
      </w:r>
      <w:r>
        <w:rPr>
          <w:rFonts w:hint="default" w:ascii="Times New Roman" w:hAnsi="Times New Roman" w:eastAsia="仿宋" w:cs="Times New Roman"/>
          <w:sz w:val="32"/>
          <w:szCs w:val="32"/>
        </w:rPr>
        <w:t>项，自治区科技进步二等奖</w:t>
      </w:r>
      <w:r>
        <w:rPr>
          <w:rFonts w:hint="default" w:ascii="Times New Roman" w:hAnsi="Times New Roman" w:eastAsia="仿宋" w:cs="Times New Roman"/>
          <w:kern w:val="2"/>
          <w:sz w:val="32"/>
          <w:szCs w:val="32"/>
          <w:lang w:val="en-US" w:eastAsia="zh-CN" w:bidi="ar-SA"/>
        </w:rPr>
        <w:t>6</w:t>
      </w:r>
      <w:r>
        <w:rPr>
          <w:rFonts w:hint="default" w:ascii="Times New Roman" w:hAnsi="Times New Roman" w:eastAsia="仿宋" w:cs="Times New Roman"/>
          <w:sz w:val="32"/>
          <w:szCs w:val="32"/>
        </w:rPr>
        <w:t>项</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三等奖</w:t>
      </w:r>
      <w:r>
        <w:rPr>
          <w:rFonts w:hint="default" w:ascii="Times New Roman" w:hAnsi="Times New Roman" w:eastAsia="仿宋" w:cs="Times New Roman"/>
          <w:kern w:val="2"/>
          <w:sz w:val="32"/>
          <w:szCs w:val="32"/>
          <w:lang w:val="en-US" w:eastAsia="zh-CN" w:bidi="ar-SA"/>
        </w:rPr>
        <w:t>5</w:t>
      </w:r>
      <w:r>
        <w:rPr>
          <w:rFonts w:hint="default" w:ascii="Times New Roman" w:hAnsi="Times New Roman" w:eastAsia="仿宋" w:cs="Times New Roman"/>
          <w:sz w:val="32"/>
          <w:szCs w:val="32"/>
          <w:lang w:val="en-US" w:eastAsia="zh-CN"/>
        </w:rPr>
        <w:t>项。</w:t>
      </w:r>
    </w:p>
    <w:p w14:paraId="6683A847">
      <w:pPr>
        <w:pStyle w:val="18"/>
        <w:spacing w:line="560" w:lineRule="exact"/>
        <w:ind w:firstLine="640"/>
        <w:rPr>
          <w:rFonts w:hint="default" w:ascii="Times New Roman" w:hAnsi="Times New Roman" w:eastAsia="仿宋" w:cs="Times New Roman"/>
          <w:sz w:val="32"/>
          <w:szCs w:val="32"/>
        </w:rPr>
      </w:pPr>
      <w:r>
        <w:rPr>
          <w:rFonts w:hint="default" w:ascii="Times New Roman" w:hAnsi="Times New Roman" w:eastAsia="仿宋" w:cs="Times New Roman"/>
          <w:b w:val="0"/>
          <w:bCs w:val="0"/>
          <w:sz w:val="32"/>
          <w:szCs w:val="40"/>
        </w:rPr>
        <w:t>国务院特贴专家</w:t>
      </w:r>
      <w:r>
        <w:rPr>
          <w:rFonts w:hint="default" w:ascii="Times New Roman" w:hAnsi="Times New Roman" w:eastAsia="仿宋" w:cs="Times New Roman"/>
          <w:kern w:val="2"/>
          <w:sz w:val="32"/>
          <w:szCs w:val="32"/>
          <w:lang w:val="en-US" w:eastAsia="zh-CN" w:bidi="ar-SA"/>
        </w:rPr>
        <w:t>3</w:t>
      </w:r>
      <w:r>
        <w:rPr>
          <w:rFonts w:hint="default" w:ascii="Times New Roman" w:hAnsi="Times New Roman" w:eastAsia="仿宋" w:cs="Times New Roman"/>
          <w:b w:val="0"/>
          <w:bCs w:val="0"/>
          <w:sz w:val="32"/>
          <w:szCs w:val="40"/>
        </w:rPr>
        <w:t>人，全国名中医</w:t>
      </w:r>
      <w:r>
        <w:rPr>
          <w:rFonts w:hint="default" w:ascii="Times New Roman" w:hAnsi="Times New Roman" w:eastAsia="仿宋" w:cs="Times New Roman"/>
          <w:kern w:val="2"/>
          <w:sz w:val="32"/>
          <w:szCs w:val="32"/>
          <w:lang w:val="en-US" w:eastAsia="zh-CN" w:bidi="ar-SA"/>
        </w:rPr>
        <w:t>1</w:t>
      </w:r>
      <w:r>
        <w:rPr>
          <w:rFonts w:hint="default" w:ascii="Times New Roman" w:hAnsi="Times New Roman" w:eastAsia="仿宋" w:cs="Times New Roman"/>
          <w:b w:val="0"/>
          <w:bCs w:val="0"/>
          <w:sz w:val="32"/>
          <w:szCs w:val="40"/>
        </w:rPr>
        <w:t>人、白求恩式好医生</w:t>
      </w:r>
      <w:r>
        <w:rPr>
          <w:rFonts w:hint="default" w:ascii="Times New Roman" w:hAnsi="Times New Roman" w:eastAsia="仿宋" w:cs="Times New Roman"/>
          <w:kern w:val="2"/>
          <w:sz w:val="32"/>
          <w:szCs w:val="32"/>
          <w:lang w:val="en-US" w:eastAsia="zh-CN" w:bidi="ar-SA"/>
        </w:rPr>
        <w:t>1</w:t>
      </w:r>
      <w:r>
        <w:rPr>
          <w:rFonts w:hint="default" w:ascii="Times New Roman" w:hAnsi="Times New Roman" w:eastAsia="仿宋" w:cs="Times New Roman"/>
          <w:b w:val="0"/>
          <w:bCs w:val="0"/>
          <w:sz w:val="32"/>
          <w:szCs w:val="40"/>
        </w:rPr>
        <w:t>人，</w:t>
      </w:r>
      <w:r>
        <w:rPr>
          <w:rFonts w:hint="default" w:ascii="Times New Roman" w:hAnsi="Times New Roman" w:eastAsia="仿宋" w:cs="Times New Roman"/>
          <w:sz w:val="32"/>
          <w:szCs w:val="32"/>
        </w:rPr>
        <w:t>全国五一劳动奖章</w:t>
      </w:r>
      <w:r>
        <w:rPr>
          <w:rFonts w:hint="default" w:ascii="Times New Roman" w:hAnsi="Times New Roman" w:eastAsia="仿宋" w:cs="Times New Roman"/>
          <w:kern w:val="2"/>
          <w:sz w:val="32"/>
          <w:szCs w:val="32"/>
          <w:lang w:val="en-US" w:eastAsia="zh-CN" w:bidi="ar-SA"/>
        </w:rPr>
        <w:t>1</w:t>
      </w:r>
      <w:r>
        <w:rPr>
          <w:rFonts w:hint="default" w:ascii="Times New Roman" w:hAnsi="Times New Roman" w:eastAsia="仿宋" w:cs="Times New Roman"/>
          <w:sz w:val="32"/>
          <w:szCs w:val="32"/>
        </w:rPr>
        <w:t>人，长江学者</w:t>
      </w:r>
      <w:r>
        <w:rPr>
          <w:rFonts w:hint="default" w:ascii="Times New Roman" w:hAnsi="Times New Roman" w:eastAsia="仿宋" w:cs="Times New Roman"/>
          <w:kern w:val="2"/>
          <w:sz w:val="32"/>
          <w:szCs w:val="32"/>
          <w:lang w:val="en-US" w:eastAsia="zh-CN" w:bidi="ar-SA"/>
        </w:rPr>
        <w:t>1</w:t>
      </w:r>
      <w:r>
        <w:rPr>
          <w:rFonts w:hint="default" w:ascii="Times New Roman" w:hAnsi="Times New Roman" w:eastAsia="仿宋" w:cs="Times New Roman"/>
          <w:sz w:val="32"/>
          <w:szCs w:val="32"/>
        </w:rPr>
        <w:t>人，</w:t>
      </w:r>
      <w:r>
        <w:rPr>
          <w:rFonts w:hint="default" w:ascii="Times New Roman" w:hAnsi="Times New Roman" w:eastAsia="仿宋" w:cs="Times New Roman"/>
          <w:b w:val="0"/>
          <w:bCs w:val="0"/>
          <w:sz w:val="32"/>
          <w:szCs w:val="40"/>
        </w:rPr>
        <w:t>国家卫健委改善医疗服务突出贡献工作者</w:t>
      </w:r>
      <w:r>
        <w:rPr>
          <w:rFonts w:hint="default" w:ascii="Times New Roman" w:hAnsi="Times New Roman" w:eastAsia="仿宋" w:cs="Times New Roman"/>
          <w:sz w:val="32"/>
          <w:szCs w:val="32"/>
        </w:rPr>
        <w:t>1</w:t>
      </w:r>
      <w:r>
        <w:rPr>
          <w:rFonts w:hint="default" w:ascii="Times New Roman" w:hAnsi="Times New Roman" w:eastAsia="仿宋" w:cs="Times New Roman"/>
          <w:b w:val="0"/>
          <w:bCs w:val="0"/>
          <w:sz w:val="32"/>
          <w:szCs w:val="40"/>
        </w:rPr>
        <w:t>人、自治区突出贡献优秀专家</w:t>
      </w:r>
      <w:r>
        <w:rPr>
          <w:rFonts w:hint="default" w:ascii="Times New Roman" w:hAnsi="Times New Roman" w:eastAsia="仿宋" w:cs="Times New Roman"/>
          <w:sz w:val="32"/>
          <w:szCs w:val="32"/>
        </w:rPr>
        <w:t>2</w:t>
      </w:r>
      <w:r>
        <w:rPr>
          <w:rFonts w:hint="default" w:ascii="Times New Roman" w:hAnsi="Times New Roman" w:eastAsia="仿宋" w:cs="Times New Roman"/>
          <w:b w:val="0"/>
          <w:bCs w:val="0"/>
          <w:sz w:val="32"/>
          <w:szCs w:val="40"/>
        </w:rPr>
        <w:t>人，新疆百位优秀科技工作者</w:t>
      </w:r>
      <w:r>
        <w:rPr>
          <w:rFonts w:hint="default" w:ascii="Times New Roman" w:hAnsi="Times New Roman" w:eastAsia="仿宋" w:cs="Times New Roman"/>
          <w:sz w:val="32"/>
          <w:szCs w:val="32"/>
        </w:rPr>
        <w:t>1</w:t>
      </w:r>
      <w:r>
        <w:rPr>
          <w:rFonts w:hint="default" w:ascii="Times New Roman" w:hAnsi="Times New Roman" w:eastAsia="仿宋" w:cs="Times New Roman"/>
          <w:b w:val="0"/>
          <w:bCs w:val="0"/>
          <w:sz w:val="32"/>
          <w:szCs w:val="40"/>
        </w:rPr>
        <w:t>人、</w:t>
      </w:r>
      <w:r>
        <w:rPr>
          <w:rFonts w:hint="default" w:ascii="Times New Roman" w:hAnsi="Times New Roman" w:eastAsia="仿宋" w:cs="Times New Roman"/>
          <w:sz w:val="32"/>
          <w:szCs w:val="32"/>
        </w:rPr>
        <w:t>天池英才特聘专家9人，自治区领军人才2人，青年拔尖人才1人，自治区卫生健康委员会高层次人才9人，新医名医4人，教学能手3人。</w:t>
      </w:r>
    </w:p>
    <w:p w14:paraId="16C0E8FE">
      <w:pPr>
        <w:pStyle w:val="18"/>
        <w:spacing w:line="560" w:lineRule="exact"/>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同时医院是国家神经系统疾病临床医学研究中心-神经系统疾病专科联盟、国家心脑血管疾病联盟、中国帕金森防治联盟、西部帕金森防治联盟、中国e帕联盟-帕金森病慢病管理平台成员单位、帕金森病专科全国标准化中心和国家老年疾病临床医学研究中心老年综合评估与管理指导单位。与疆内</w:t>
      </w:r>
      <w:r>
        <w:rPr>
          <w:rFonts w:hint="default" w:ascii="Times New Roman" w:hAnsi="Times New Roman" w:eastAsia="仿宋" w:cs="Times New Roman"/>
          <w:sz w:val="32"/>
          <w:szCs w:val="32"/>
          <w:lang w:val="en-US" w:eastAsia="zh-CN"/>
        </w:rPr>
        <w:t>百</w:t>
      </w:r>
      <w:r>
        <w:rPr>
          <w:rFonts w:hint="default" w:ascii="Times New Roman" w:hAnsi="Times New Roman" w:eastAsia="仿宋" w:cs="Times New Roman"/>
          <w:sz w:val="32"/>
          <w:szCs w:val="32"/>
        </w:rPr>
        <w:t>余家医院签订医联体合作协议，建立紧密型新疆神经脑科临床诊疗中心卒中中心、帕金森病专病等联盟。</w:t>
      </w:r>
    </w:p>
    <w:p w14:paraId="5FC1A6AB">
      <w:pPr>
        <w:ind w:firstLine="640" w:firstLineChars="200"/>
        <w:outlineLvl w:val="1"/>
        <w:rPr>
          <w:rFonts w:hint="default" w:ascii="Times New Roman" w:hAnsi="Times New Roman" w:eastAsia="黑体" w:cs="Times New Roman"/>
          <w:bCs/>
          <w:kern w:val="0"/>
          <w:sz w:val="32"/>
          <w:szCs w:val="32"/>
        </w:rPr>
      </w:pPr>
      <w:bookmarkStart w:id="6" w:name="_Toc31238"/>
      <w:bookmarkStart w:id="7" w:name="_Toc2151"/>
      <w:r>
        <w:rPr>
          <w:rFonts w:hint="default" w:ascii="Times New Roman" w:hAnsi="Times New Roman" w:eastAsia="黑体" w:cs="Times New Roman"/>
          <w:bCs/>
          <w:kern w:val="0"/>
          <w:sz w:val="32"/>
          <w:szCs w:val="32"/>
        </w:rPr>
        <w:t>二、机构设置及</w:t>
      </w:r>
      <w:bookmarkEnd w:id="6"/>
      <w:r>
        <w:rPr>
          <w:rFonts w:hint="default" w:ascii="Times New Roman" w:hAnsi="Times New Roman" w:eastAsia="黑体" w:cs="Times New Roman"/>
          <w:bCs/>
          <w:kern w:val="0"/>
          <w:sz w:val="32"/>
          <w:szCs w:val="32"/>
        </w:rPr>
        <w:t>人员情况</w:t>
      </w:r>
      <w:bookmarkEnd w:id="7"/>
    </w:p>
    <w:p w14:paraId="53068CFC">
      <w:pPr>
        <w:pStyle w:val="18"/>
        <w:spacing w:line="560" w:lineRule="exact"/>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新疆医科大学第二附属医院</w:t>
      </w:r>
      <w:bookmarkStart w:id="8" w:name="OLE_LINK13"/>
      <w:r>
        <w:rPr>
          <w:rFonts w:hint="default" w:ascii="Times New Roman" w:hAnsi="Times New Roman" w:eastAsia="仿宋" w:cs="Times New Roman"/>
          <w:sz w:val="32"/>
          <w:szCs w:val="32"/>
        </w:rPr>
        <w:t>2023</w:t>
      </w:r>
      <w:bookmarkEnd w:id="8"/>
      <w:r>
        <w:rPr>
          <w:rFonts w:hint="default" w:ascii="Times New Roman" w:hAnsi="Times New Roman" w:eastAsia="仿宋" w:cs="Times New Roman"/>
          <w:sz w:val="32"/>
          <w:szCs w:val="32"/>
        </w:rPr>
        <w:t>年度，实有人数</w:t>
      </w:r>
      <w:r>
        <w:rPr>
          <w:rFonts w:hint="default" w:ascii="Times New Roman" w:hAnsi="Times New Roman" w:eastAsia="仿宋" w:cs="Times New Roman"/>
          <w:sz w:val="32"/>
          <w:szCs w:val="32"/>
          <w:lang w:val="zh-CN"/>
        </w:rPr>
        <w:t>923</w:t>
      </w:r>
      <w:r>
        <w:rPr>
          <w:rFonts w:hint="default" w:ascii="Times New Roman" w:hAnsi="Times New Roman" w:eastAsia="仿宋" w:cs="Times New Roman"/>
          <w:sz w:val="32"/>
          <w:szCs w:val="32"/>
        </w:rPr>
        <w:t>人，其中：在职人员</w:t>
      </w:r>
      <w:r>
        <w:rPr>
          <w:rFonts w:hint="default" w:ascii="Times New Roman" w:hAnsi="Times New Roman" w:eastAsia="仿宋" w:cs="Times New Roman"/>
          <w:sz w:val="32"/>
          <w:szCs w:val="32"/>
          <w:lang w:val="zh-CN"/>
        </w:rPr>
        <w:t>408</w:t>
      </w:r>
      <w:r>
        <w:rPr>
          <w:rFonts w:hint="default" w:ascii="Times New Roman" w:hAnsi="Times New Roman" w:eastAsia="仿宋" w:cs="Times New Roman"/>
          <w:sz w:val="32"/>
          <w:szCs w:val="32"/>
        </w:rPr>
        <w:t>人，离休人员</w:t>
      </w:r>
      <w:r>
        <w:rPr>
          <w:rFonts w:hint="default" w:ascii="Times New Roman" w:hAnsi="Times New Roman" w:eastAsia="仿宋" w:cs="Times New Roman"/>
          <w:sz w:val="32"/>
          <w:szCs w:val="32"/>
          <w:lang w:val="zh-CN"/>
        </w:rPr>
        <w:t>2</w:t>
      </w:r>
      <w:r>
        <w:rPr>
          <w:rFonts w:hint="default" w:ascii="Times New Roman" w:hAnsi="Times New Roman" w:eastAsia="仿宋" w:cs="Times New Roman"/>
          <w:sz w:val="32"/>
          <w:szCs w:val="32"/>
        </w:rPr>
        <w:t>人，退休人员</w:t>
      </w:r>
      <w:r>
        <w:rPr>
          <w:rFonts w:hint="default" w:ascii="Times New Roman" w:hAnsi="Times New Roman" w:eastAsia="仿宋" w:cs="Times New Roman"/>
          <w:sz w:val="32"/>
          <w:szCs w:val="32"/>
          <w:lang w:val="zh-CN"/>
        </w:rPr>
        <w:t>513</w:t>
      </w:r>
      <w:r>
        <w:rPr>
          <w:rFonts w:hint="default" w:ascii="Times New Roman" w:hAnsi="Times New Roman" w:eastAsia="仿宋" w:cs="Times New Roman"/>
          <w:sz w:val="32"/>
          <w:szCs w:val="32"/>
        </w:rPr>
        <w:t>人。</w:t>
      </w:r>
    </w:p>
    <w:p w14:paraId="0B7E3B08">
      <w:pPr>
        <w:pStyle w:val="18"/>
        <w:spacing w:line="560" w:lineRule="exact"/>
        <w:ind w:firstLine="640"/>
        <w:rPr>
          <w:rFonts w:hint="default" w:ascii="Times New Roman" w:hAnsi="Times New Roman" w:eastAsia="仿宋" w:cs="Times New Roman"/>
          <w:sz w:val="32"/>
          <w:szCs w:val="32"/>
          <w:lang w:val="zh-CN"/>
        </w:rPr>
        <w:sectPr>
          <w:footerReference r:id="rId3" w:type="default"/>
          <w:pgSz w:w="11906" w:h="16838"/>
          <w:pgMar w:top="1440" w:right="1800" w:bottom="1440" w:left="1800" w:header="851" w:footer="992" w:gutter="0"/>
          <w:cols w:space="720" w:num="1"/>
          <w:docGrid w:type="lines" w:linePitch="312" w:charSpace="0"/>
        </w:sectPr>
      </w:pPr>
      <w:r>
        <w:rPr>
          <w:rFonts w:hint="default" w:ascii="Times New Roman" w:hAnsi="Times New Roman" w:eastAsia="仿宋" w:cs="Times New Roman"/>
          <w:sz w:val="32"/>
          <w:szCs w:val="32"/>
        </w:rPr>
        <w:t>新疆医科大学第二附属医院</w:t>
      </w:r>
      <w:r>
        <w:rPr>
          <w:rFonts w:hint="default" w:ascii="Times New Roman" w:hAnsi="Times New Roman" w:eastAsia="仿宋" w:cs="Times New Roman"/>
          <w:sz w:val="32"/>
          <w:szCs w:val="32"/>
          <w:lang w:val="zh-CN"/>
        </w:rPr>
        <w:t>无下属预算单位，</w:t>
      </w:r>
      <w:bookmarkStart w:id="9" w:name="_Toc29374"/>
      <w:bookmarkStart w:id="10" w:name="_Toc3092"/>
      <w:r>
        <w:rPr>
          <w:rFonts w:hint="default" w:ascii="Times New Roman" w:hAnsi="Times New Roman" w:eastAsia="仿宋" w:cs="Times New Roman"/>
          <w:sz w:val="32"/>
          <w:szCs w:val="32"/>
          <w:lang w:val="zh-CN"/>
        </w:rPr>
        <w:t>下设118个科室，分别是：党委（医院）办公室、纪检监察室、组织人事科、审计科、财务管理科、医务部、护理部、干部保健科、公共卫生科、医疗保险办公室、信息与设备管理科、保卫科、后勤管理科、离退休管理办公室、感染管理科、门诊部、心血管内一科、心血管内二科、心血管内三科、CCU、肾病科、血液科、呼吸与危重症医学科、RICU、消化科、内分泌科、干部一科、干部二科、中医科、风湿免疫科、普外一科、普外二科、泌尿外科、肛肠外科、骨一科、骨二科、骨三科、疼痛科、心胸外科、肿瘤内科、甲状腺乳腺外科、临床心理科、妇科、产科、生殖医学科、小儿科、新生儿科、耳鼻喉科、眼科、口腔科、皮肤性病科、感染疾病科、急诊内科、急诊外科、康复医学一科、康复医学二科、重症医学一科（ICU）、重症医学二科（ICU）、手术麻醉科、预防保健科、全科医学科、临床营养科、医学整形科、神经内一科、神经内二科、神经内三科、神经内四科、神经内科ICU、神经外一科、神经外二科、神经外三科、神经外四科、神经外科ICU、伽马刀治疗中心、神经调控中心、检验科、医学影像中心、核医学科、病理科、内镜诊治中心、超声诊断中心、经颅多普勒和血管彩超室、神经电生理中心、功能检查科、输血科、介入诊疗中心、体检与健康管理科、药学部、消毒供应室、南湖南社区卫生服务中心、南湖北社区卫生服务中心、新疆耳聋防治及听力重建中心、新疆关节及周围神经疾病诊疗中心、新疆医科大学心脏康复中心、新疆医科大学康复中心、新疆医科大学睡眠中心、新疆医科大学医养结合中心、新疆医科大学神经脑科临床诊疗中心、新疆医科大学神经科学创新与转化研究实验室、综合办公室、教学科研管理办公室、学生工作办公室、内科学教研室、外科学教研室、妇产科学教研室、儿科学教研室、五官科学教研室、中医学教研室、药学教研室、实验诊断学教研室、护理学教研室、医学影像学教研室、传染病学教研室、急诊医学教研室、皮肤性病学教研室、康复医学教研室、全科医学教研室和循证医学教研室。</w:t>
      </w:r>
    </w:p>
    <w:p w14:paraId="2528D5BA">
      <w:pPr>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 部门决算情况说明</w:t>
      </w:r>
      <w:bookmarkEnd w:id="9"/>
      <w:bookmarkEnd w:id="10"/>
    </w:p>
    <w:p w14:paraId="3BD764CE">
      <w:pPr>
        <w:ind w:firstLine="640" w:firstLineChars="200"/>
        <w:outlineLvl w:val="1"/>
        <w:rPr>
          <w:rFonts w:hint="default" w:ascii="Times New Roman" w:hAnsi="Times New Roman" w:eastAsia="黑体" w:cs="Times New Roman"/>
          <w:bCs/>
          <w:kern w:val="0"/>
          <w:sz w:val="32"/>
          <w:szCs w:val="32"/>
        </w:rPr>
      </w:pPr>
      <w:bookmarkStart w:id="11" w:name="_Toc12566"/>
      <w:bookmarkStart w:id="12" w:name="_Toc25314"/>
      <w:r>
        <w:rPr>
          <w:rFonts w:hint="default" w:ascii="Times New Roman" w:hAnsi="Times New Roman" w:eastAsia="黑体" w:cs="Times New Roman"/>
          <w:bCs/>
          <w:kern w:val="0"/>
          <w:sz w:val="32"/>
          <w:szCs w:val="32"/>
        </w:rPr>
        <w:t>一、</w:t>
      </w:r>
      <w:bookmarkStart w:id="13" w:name="OLE_LINK9"/>
      <w:r>
        <w:rPr>
          <w:rFonts w:hint="default" w:ascii="Times New Roman" w:hAnsi="Times New Roman" w:eastAsia="黑体" w:cs="Times New Roman"/>
          <w:bCs/>
          <w:kern w:val="0"/>
          <w:sz w:val="32"/>
          <w:szCs w:val="32"/>
        </w:rPr>
        <w:t>收入支出决算总体情况说明</w:t>
      </w:r>
      <w:bookmarkEnd w:id="11"/>
      <w:bookmarkEnd w:id="12"/>
    </w:p>
    <w:bookmarkEnd w:id="13"/>
    <w:p w14:paraId="1DF2BD86">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2023年度收入总计89,027.95万元，其中：本年收入合计88,095.85万元，使用非财政拨款结余0.00万元，年初结转和结余932.10万元。</w:t>
      </w:r>
    </w:p>
    <w:p w14:paraId="03ABD29B">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2023年度支出总计89,027.95万元，其中：本年支出合计86,020.69万元，</w:t>
      </w:r>
      <w:bookmarkStart w:id="14" w:name="OLE_LINK6"/>
      <w:r>
        <w:rPr>
          <w:rFonts w:hint="default" w:ascii="Times New Roman" w:hAnsi="Times New Roman" w:eastAsia="仿宋" w:cs="Times New Roman"/>
          <w:sz w:val="32"/>
          <w:szCs w:val="32"/>
        </w:rPr>
        <w:t>结余分配2,130.78万元，年末结转和结余876.48万元。</w:t>
      </w:r>
      <w:bookmarkEnd w:id="14"/>
    </w:p>
    <w:p w14:paraId="5D098321">
      <w:pPr>
        <w:ind w:firstLine="640" w:firstLineChars="200"/>
        <w:jc w:val="left"/>
        <w:rPr>
          <w:rFonts w:hint="default" w:ascii="Times New Roman" w:hAnsi="Times New Roman" w:eastAsia="仿宋" w:cs="Times New Roman"/>
          <w:sz w:val="32"/>
          <w:szCs w:val="32"/>
          <w:lang w:val="en-US" w:eastAsia="zh-CN"/>
        </w:rPr>
      </w:pPr>
      <w:bookmarkStart w:id="15" w:name="OLE_LINK10"/>
      <w:r>
        <w:rPr>
          <w:rFonts w:hint="default" w:ascii="Times New Roman" w:hAnsi="Times New Roman" w:eastAsia="仿宋" w:cs="Times New Roman"/>
          <w:sz w:val="32"/>
          <w:szCs w:val="32"/>
        </w:rPr>
        <w:t>收入支出总体与上年相比，</w:t>
      </w:r>
      <w:r>
        <w:rPr>
          <w:rFonts w:hint="default" w:ascii="Times New Roman" w:hAnsi="Times New Roman" w:eastAsia="仿宋" w:cs="Times New Roman"/>
          <w:sz w:val="32"/>
          <w:szCs w:val="32"/>
          <w:lang w:val="zh-CN"/>
        </w:rPr>
        <w:t>增加22,127.67万元</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zh-CN"/>
        </w:rPr>
        <w:t>增长33.08%</w:t>
      </w:r>
      <w:r>
        <w:rPr>
          <w:rFonts w:hint="default" w:ascii="Times New Roman" w:hAnsi="Times New Roman" w:eastAsia="仿宋" w:cs="Times New Roman"/>
          <w:sz w:val="32"/>
          <w:szCs w:val="32"/>
        </w:rPr>
        <w:t>，</w:t>
      </w:r>
      <w:bookmarkEnd w:id="15"/>
      <w:r>
        <w:rPr>
          <w:rFonts w:hint="default" w:ascii="Times New Roman" w:hAnsi="Times New Roman" w:eastAsia="仿宋" w:cs="Times New Roman"/>
          <w:sz w:val="32"/>
          <w:szCs w:val="32"/>
        </w:rPr>
        <w:t>主要原因是：</w:t>
      </w:r>
      <w:r>
        <w:rPr>
          <w:rFonts w:hint="default" w:ascii="Times New Roman" w:hAnsi="Times New Roman" w:eastAsia="仿宋" w:cs="Times New Roman"/>
          <w:sz w:val="32"/>
          <w:szCs w:val="32"/>
          <w:lang w:val="en-US" w:eastAsia="zh-CN"/>
        </w:rPr>
        <w:t>一是</w:t>
      </w:r>
      <w:r>
        <w:rPr>
          <w:rFonts w:hint="default" w:ascii="Times New Roman" w:hAnsi="Times New Roman" w:eastAsia="仿宋" w:cs="Times New Roman"/>
          <w:sz w:val="32"/>
          <w:szCs w:val="32"/>
        </w:rPr>
        <w:t>2023年医院以学科发展为抓手，落实“全院一张床”，不断加强精细化管理水平，就诊患者增加，医疗收入大幅增长，支出也相应增加。</w:t>
      </w:r>
      <w:r>
        <w:rPr>
          <w:rFonts w:hint="default" w:ascii="Times New Roman" w:hAnsi="Times New Roman" w:eastAsia="仿宋" w:cs="Times New Roman"/>
          <w:sz w:val="32"/>
          <w:szCs w:val="32"/>
          <w:lang w:val="en-US" w:eastAsia="zh-CN"/>
        </w:rPr>
        <w:t>二是2023年财政拨款收入较2022年同期增加3604.31万元，主要为拨付了相关疫情专项资金。三是2022年受到疫情影响，医疗收入大幅下降。</w:t>
      </w:r>
    </w:p>
    <w:p w14:paraId="4D1D1B16">
      <w:pPr>
        <w:ind w:firstLine="640" w:firstLineChars="200"/>
        <w:jc w:val="left"/>
        <w:outlineLvl w:val="1"/>
        <w:rPr>
          <w:rFonts w:hint="default" w:ascii="Times New Roman" w:hAnsi="Times New Roman" w:eastAsia="黑体" w:cs="Times New Roman"/>
          <w:bCs/>
          <w:kern w:val="0"/>
          <w:sz w:val="32"/>
          <w:szCs w:val="32"/>
        </w:rPr>
      </w:pPr>
      <w:bookmarkStart w:id="16" w:name="_Toc12142"/>
      <w:bookmarkStart w:id="17" w:name="_Toc1979"/>
      <w:r>
        <w:rPr>
          <w:rFonts w:hint="default" w:ascii="Times New Roman" w:hAnsi="Times New Roman" w:eastAsia="黑体" w:cs="Times New Roman"/>
          <w:bCs/>
          <w:kern w:val="0"/>
          <w:sz w:val="32"/>
          <w:szCs w:val="32"/>
        </w:rPr>
        <w:t>二、收入决算情况说明</w:t>
      </w:r>
      <w:bookmarkEnd w:id="16"/>
      <w:bookmarkEnd w:id="17"/>
    </w:p>
    <w:p w14:paraId="39B557E1">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本年收入88,095.85万元，其中：财政拨款收入</w:t>
      </w:r>
      <w:r>
        <w:rPr>
          <w:rFonts w:hint="default" w:ascii="Times New Roman" w:hAnsi="Times New Roman" w:eastAsia="仿宋" w:cs="Times New Roman"/>
          <w:sz w:val="32"/>
          <w:szCs w:val="32"/>
          <w:lang w:val="zh-CN"/>
        </w:rPr>
        <w:t>9,532.56</w:t>
      </w:r>
      <w:r>
        <w:rPr>
          <w:rFonts w:hint="default" w:ascii="Times New Roman" w:hAnsi="Times New Roman" w:eastAsia="仿宋" w:cs="Times New Roman"/>
          <w:sz w:val="32"/>
          <w:szCs w:val="32"/>
        </w:rPr>
        <w:t>万元，占</w:t>
      </w:r>
      <w:r>
        <w:rPr>
          <w:rFonts w:hint="default" w:ascii="Times New Roman" w:hAnsi="Times New Roman" w:eastAsia="仿宋" w:cs="Times New Roman"/>
          <w:sz w:val="32"/>
          <w:szCs w:val="32"/>
          <w:lang w:val="zh-CN"/>
        </w:rPr>
        <w:t>10.82</w:t>
      </w:r>
      <w:r>
        <w:rPr>
          <w:rFonts w:hint="default" w:ascii="Times New Roman" w:hAnsi="Times New Roman" w:eastAsia="仿宋" w:cs="Times New Roman"/>
          <w:sz w:val="32"/>
          <w:szCs w:val="32"/>
        </w:rPr>
        <w:t>%；上级补助收入</w:t>
      </w:r>
      <w:r>
        <w:rPr>
          <w:rFonts w:hint="default" w:ascii="Times New Roman" w:hAnsi="Times New Roman" w:eastAsia="仿宋" w:cs="Times New Roman"/>
          <w:sz w:val="32"/>
          <w:szCs w:val="32"/>
          <w:lang w:val="zh-CN"/>
        </w:rPr>
        <w:t>0.00</w:t>
      </w:r>
      <w:r>
        <w:rPr>
          <w:rFonts w:hint="default" w:ascii="Times New Roman" w:hAnsi="Times New Roman" w:eastAsia="仿宋" w:cs="Times New Roman"/>
          <w:sz w:val="32"/>
          <w:szCs w:val="32"/>
        </w:rPr>
        <w:t>万元，占</w:t>
      </w:r>
      <w:r>
        <w:rPr>
          <w:rFonts w:hint="default" w:ascii="Times New Roman" w:hAnsi="Times New Roman" w:eastAsia="仿宋" w:cs="Times New Roman"/>
          <w:sz w:val="32"/>
          <w:szCs w:val="32"/>
          <w:lang w:val="zh-CN"/>
        </w:rPr>
        <w:t>0.00</w:t>
      </w:r>
      <w:r>
        <w:rPr>
          <w:rFonts w:hint="default" w:ascii="Times New Roman" w:hAnsi="Times New Roman" w:eastAsia="仿宋" w:cs="Times New Roman"/>
          <w:sz w:val="32"/>
          <w:szCs w:val="32"/>
        </w:rPr>
        <w:t>%；事业收入</w:t>
      </w:r>
      <w:r>
        <w:rPr>
          <w:rFonts w:hint="default" w:ascii="Times New Roman" w:hAnsi="Times New Roman" w:eastAsia="仿宋" w:cs="Times New Roman"/>
          <w:sz w:val="32"/>
          <w:szCs w:val="32"/>
          <w:lang w:val="zh-CN"/>
        </w:rPr>
        <w:t>76,791.67</w:t>
      </w:r>
      <w:r>
        <w:rPr>
          <w:rFonts w:hint="default" w:ascii="Times New Roman" w:hAnsi="Times New Roman" w:eastAsia="仿宋" w:cs="Times New Roman"/>
          <w:sz w:val="32"/>
          <w:szCs w:val="32"/>
        </w:rPr>
        <w:t>万元，占</w:t>
      </w:r>
      <w:r>
        <w:rPr>
          <w:rFonts w:hint="default" w:ascii="Times New Roman" w:hAnsi="Times New Roman" w:eastAsia="仿宋" w:cs="Times New Roman"/>
          <w:sz w:val="32"/>
          <w:szCs w:val="32"/>
          <w:lang w:val="zh-CN"/>
        </w:rPr>
        <w:t>87.17</w:t>
      </w:r>
      <w:r>
        <w:rPr>
          <w:rFonts w:hint="default" w:ascii="Times New Roman" w:hAnsi="Times New Roman" w:eastAsia="仿宋" w:cs="Times New Roman"/>
          <w:sz w:val="32"/>
          <w:szCs w:val="32"/>
        </w:rPr>
        <w:t>%；经营收入</w:t>
      </w:r>
      <w:r>
        <w:rPr>
          <w:rFonts w:hint="default" w:ascii="Times New Roman" w:hAnsi="Times New Roman" w:eastAsia="仿宋" w:cs="Times New Roman"/>
          <w:sz w:val="32"/>
          <w:szCs w:val="32"/>
          <w:lang w:val="zh-CN"/>
        </w:rPr>
        <w:t>0.00</w:t>
      </w:r>
      <w:r>
        <w:rPr>
          <w:rFonts w:hint="default" w:ascii="Times New Roman" w:hAnsi="Times New Roman" w:eastAsia="仿宋" w:cs="Times New Roman"/>
          <w:sz w:val="32"/>
          <w:szCs w:val="32"/>
        </w:rPr>
        <w:t>万元，占</w:t>
      </w:r>
      <w:r>
        <w:rPr>
          <w:rFonts w:hint="default" w:ascii="Times New Roman" w:hAnsi="Times New Roman" w:eastAsia="仿宋" w:cs="Times New Roman"/>
          <w:sz w:val="32"/>
          <w:szCs w:val="32"/>
          <w:lang w:val="zh-CN"/>
        </w:rPr>
        <w:t>0.00</w:t>
      </w:r>
      <w:r>
        <w:rPr>
          <w:rFonts w:hint="default" w:ascii="Times New Roman" w:hAnsi="Times New Roman" w:eastAsia="仿宋" w:cs="Times New Roman"/>
          <w:sz w:val="32"/>
          <w:szCs w:val="32"/>
        </w:rPr>
        <w:t>%；附属单位上缴收入</w:t>
      </w:r>
      <w:r>
        <w:rPr>
          <w:rFonts w:hint="default" w:ascii="Times New Roman" w:hAnsi="Times New Roman" w:eastAsia="仿宋" w:cs="Times New Roman"/>
          <w:sz w:val="32"/>
          <w:szCs w:val="32"/>
          <w:lang w:val="zh-CN"/>
        </w:rPr>
        <w:t>0.00</w:t>
      </w:r>
      <w:r>
        <w:rPr>
          <w:rFonts w:hint="default" w:ascii="Times New Roman" w:hAnsi="Times New Roman" w:eastAsia="仿宋" w:cs="Times New Roman"/>
          <w:sz w:val="32"/>
          <w:szCs w:val="32"/>
        </w:rPr>
        <w:t>万元，占</w:t>
      </w:r>
      <w:r>
        <w:rPr>
          <w:rFonts w:hint="default" w:ascii="Times New Roman" w:hAnsi="Times New Roman" w:eastAsia="仿宋" w:cs="Times New Roman"/>
          <w:sz w:val="32"/>
          <w:szCs w:val="32"/>
          <w:lang w:val="zh-CN"/>
        </w:rPr>
        <w:t>0.00</w:t>
      </w:r>
      <w:r>
        <w:rPr>
          <w:rFonts w:hint="default" w:ascii="Times New Roman" w:hAnsi="Times New Roman" w:eastAsia="仿宋" w:cs="Times New Roman"/>
          <w:sz w:val="32"/>
          <w:szCs w:val="32"/>
        </w:rPr>
        <w:t>%；其他收入</w:t>
      </w:r>
      <w:r>
        <w:rPr>
          <w:rFonts w:hint="default" w:ascii="Times New Roman" w:hAnsi="Times New Roman" w:eastAsia="仿宋" w:cs="Times New Roman"/>
          <w:sz w:val="32"/>
          <w:szCs w:val="32"/>
          <w:lang w:val="zh-CN"/>
        </w:rPr>
        <w:t>1,771.62</w:t>
      </w:r>
      <w:r>
        <w:rPr>
          <w:rFonts w:hint="default" w:ascii="Times New Roman" w:hAnsi="Times New Roman" w:eastAsia="仿宋" w:cs="Times New Roman"/>
          <w:sz w:val="32"/>
          <w:szCs w:val="32"/>
        </w:rPr>
        <w:t>万元，占</w:t>
      </w:r>
      <w:r>
        <w:rPr>
          <w:rFonts w:hint="default" w:ascii="Times New Roman" w:hAnsi="Times New Roman" w:eastAsia="仿宋" w:cs="Times New Roman"/>
          <w:sz w:val="32"/>
          <w:szCs w:val="32"/>
          <w:lang w:val="zh-CN"/>
        </w:rPr>
        <w:t>2.01</w:t>
      </w:r>
      <w:r>
        <w:rPr>
          <w:rFonts w:hint="default" w:ascii="Times New Roman" w:hAnsi="Times New Roman" w:eastAsia="仿宋" w:cs="Times New Roman"/>
          <w:sz w:val="32"/>
          <w:szCs w:val="32"/>
        </w:rPr>
        <w:t>%。</w:t>
      </w:r>
    </w:p>
    <w:p w14:paraId="640CECC7">
      <w:pPr>
        <w:ind w:firstLine="640" w:firstLineChars="200"/>
        <w:jc w:val="left"/>
        <w:outlineLvl w:val="1"/>
        <w:rPr>
          <w:rFonts w:hint="default" w:ascii="Times New Roman" w:hAnsi="Times New Roman" w:eastAsia="黑体" w:cs="Times New Roman"/>
          <w:bCs/>
          <w:kern w:val="0"/>
          <w:sz w:val="32"/>
          <w:szCs w:val="32"/>
        </w:rPr>
      </w:pPr>
      <w:bookmarkStart w:id="18" w:name="_Toc13201"/>
      <w:bookmarkStart w:id="19" w:name="_Toc27961"/>
      <w:r>
        <w:rPr>
          <w:rFonts w:hint="default" w:ascii="Times New Roman" w:hAnsi="Times New Roman" w:eastAsia="黑体" w:cs="Times New Roman"/>
          <w:bCs/>
          <w:kern w:val="0"/>
          <w:sz w:val="32"/>
          <w:szCs w:val="32"/>
        </w:rPr>
        <w:t>三、支出决算情况说明</w:t>
      </w:r>
      <w:bookmarkEnd w:id="18"/>
      <w:bookmarkEnd w:id="19"/>
    </w:p>
    <w:p w14:paraId="0373E01C">
      <w:pPr>
        <w:ind w:firstLine="640" w:firstLineChars="200"/>
        <w:jc w:val="left"/>
        <w:rPr>
          <w:rFonts w:hint="default" w:ascii="Times New Roman" w:hAnsi="Times New Roman" w:eastAsia="仿宋" w:cs="Times New Roman"/>
          <w:sz w:val="30"/>
          <w:szCs w:val="30"/>
          <w:lang w:val="zh-CN"/>
        </w:rPr>
      </w:pPr>
      <w:r>
        <w:rPr>
          <w:rFonts w:hint="default" w:ascii="Times New Roman" w:hAnsi="Times New Roman" w:eastAsia="仿宋" w:cs="Times New Roman"/>
          <w:sz w:val="32"/>
          <w:szCs w:val="32"/>
          <w:lang w:val="zh-CN"/>
        </w:rPr>
        <w:t>本年支出</w:t>
      </w:r>
      <w:bookmarkStart w:id="20" w:name="OLE_LINK14"/>
      <w:r>
        <w:rPr>
          <w:rFonts w:hint="default" w:ascii="Times New Roman" w:hAnsi="Times New Roman" w:eastAsia="仿宋" w:cs="Times New Roman"/>
          <w:sz w:val="32"/>
          <w:szCs w:val="32"/>
          <w:lang w:val="zh-CN"/>
        </w:rPr>
        <w:t>86,020.69</w:t>
      </w:r>
      <w:bookmarkEnd w:id="20"/>
      <w:r>
        <w:rPr>
          <w:rFonts w:hint="default" w:ascii="Times New Roman" w:hAnsi="Times New Roman" w:eastAsia="仿宋" w:cs="Times New Roman"/>
          <w:sz w:val="32"/>
          <w:szCs w:val="32"/>
          <w:lang w:val="zh-CN"/>
        </w:rPr>
        <w:t>万元，其中：基本支出8,606.97万元，占10.01%；项目支出77,413.72万元，占89.99%；上缴上级支出0.00万元，占0.00%；经营支出0.00万元，占0.00%；对附属单位补助支出0.00万元，占0.00%。</w:t>
      </w:r>
    </w:p>
    <w:p w14:paraId="3CFB481F">
      <w:pPr>
        <w:ind w:firstLine="640" w:firstLineChars="200"/>
        <w:jc w:val="left"/>
        <w:outlineLvl w:val="1"/>
        <w:rPr>
          <w:rFonts w:hint="default" w:ascii="Times New Roman" w:hAnsi="Times New Roman" w:eastAsia="黑体" w:cs="Times New Roman"/>
          <w:bCs/>
          <w:kern w:val="0"/>
          <w:sz w:val="32"/>
          <w:szCs w:val="32"/>
        </w:rPr>
      </w:pPr>
      <w:bookmarkStart w:id="21" w:name="_Toc26564"/>
      <w:bookmarkStart w:id="22" w:name="_Toc4393"/>
      <w:r>
        <w:rPr>
          <w:rFonts w:hint="default" w:ascii="Times New Roman" w:hAnsi="Times New Roman" w:eastAsia="黑体" w:cs="Times New Roman"/>
          <w:bCs/>
          <w:kern w:val="0"/>
          <w:sz w:val="32"/>
          <w:szCs w:val="32"/>
        </w:rPr>
        <w:t>四、财政拨款收入支出决算总体情况说明</w:t>
      </w:r>
      <w:bookmarkEnd w:id="21"/>
      <w:bookmarkEnd w:id="22"/>
    </w:p>
    <w:p w14:paraId="3BE48828">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 w:cs="Times New Roman"/>
          <w:sz w:val="32"/>
          <w:szCs w:val="32"/>
        </w:rPr>
        <w:t>023年度财政拨款收入总计</w:t>
      </w:r>
      <w:r>
        <w:rPr>
          <w:rFonts w:hint="default" w:ascii="Times New Roman" w:hAnsi="Times New Roman" w:eastAsia="仿宋" w:cs="Times New Roman"/>
          <w:sz w:val="32"/>
          <w:szCs w:val="32"/>
          <w:lang w:val="zh-CN"/>
        </w:rPr>
        <w:t>9,532.56</w:t>
      </w:r>
      <w:r>
        <w:rPr>
          <w:rFonts w:hint="default" w:ascii="Times New Roman" w:hAnsi="Times New Roman" w:eastAsia="仿宋" w:cs="Times New Roman"/>
          <w:sz w:val="32"/>
          <w:szCs w:val="32"/>
        </w:rPr>
        <w:t>万元，其中：年初财政拨款结转和结余</w:t>
      </w:r>
      <w:r>
        <w:rPr>
          <w:rFonts w:hint="default" w:ascii="Times New Roman" w:hAnsi="Times New Roman" w:eastAsia="仿宋" w:cs="Times New Roman"/>
          <w:sz w:val="32"/>
          <w:szCs w:val="32"/>
          <w:lang w:val="zh-CN"/>
        </w:rPr>
        <w:t>0.00</w:t>
      </w:r>
      <w:r>
        <w:rPr>
          <w:rFonts w:hint="default" w:ascii="Times New Roman" w:hAnsi="Times New Roman" w:eastAsia="仿宋" w:cs="Times New Roman"/>
          <w:sz w:val="32"/>
          <w:szCs w:val="32"/>
        </w:rPr>
        <w:t>万元，本年财政拨款收入</w:t>
      </w:r>
      <w:r>
        <w:rPr>
          <w:rFonts w:hint="default" w:ascii="Times New Roman" w:hAnsi="Times New Roman" w:eastAsia="仿宋" w:cs="Times New Roman"/>
          <w:sz w:val="32"/>
          <w:szCs w:val="32"/>
          <w:lang w:val="zh-CN"/>
        </w:rPr>
        <w:t>9,532.56</w:t>
      </w:r>
      <w:r>
        <w:rPr>
          <w:rFonts w:hint="default" w:ascii="Times New Roman" w:hAnsi="Times New Roman" w:eastAsia="仿宋" w:cs="Times New Roman"/>
          <w:sz w:val="32"/>
          <w:szCs w:val="32"/>
        </w:rPr>
        <w:t>万元。财政拨款支出总计</w:t>
      </w:r>
      <w:r>
        <w:rPr>
          <w:rFonts w:hint="default" w:ascii="Times New Roman" w:hAnsi="Times New Roman" w:eastAsia="仿宋" w:cs="Times New Roman"/>
          <w:sz w:val="32"/>
          <w:szCs w:val="32"/>
          <w:lang w:val="zh-CN"/>
        </w:rPr>
        <w:t>9,532.56</w:t>
      </w:r>
      <w:r>
        <w:rPr>
          <w:rFonts w:hint="default" w:ascii="Times New Roman" w:hAnsi="Times New Roman" w:eastAsia="仿宋" w:cs="Times New Roman"/>
          <w:sz w:val="32"/>
          <w:szCs w:val="32"/>
        </w:rPr>
        <w:t>万元，其中：年末财政拨款结转和结余</w:t>
      </w:r>
      <w:r>
        <w:rPr>
          <w:rFonts w:hint="default" w:ascii="Times New Roman" w:hAnsi="Times New Roman" w:eastAsia="仿宋" w:cs="Times New Roman"/>
          <w:sz w:val="32"/>
          <w:szCs w:val="32"/>
          <w:lang w:val="zh-CN"/>
        </w:rPr>
        <w:t>0.00</w:t>
      </w:r>
      <w:r>
        <w:rPr>
          <w:rFonts w:hint="default" w:ascii="Times New Roman" w:hAnsi="Times New Roman" w:eastAsia="仿宋" w:cs="Times New Roman"/>
          <w:sz w:val="32"/>
          <w:szCs w:val="32"/>
        </w:rPr>
        <w:t>万元，本年财政拨款支出</w:t>
      </w:r>
      <w:r>
        <w:rPr>
          <w:rFonts w:hint="default" w:ascii="Times New Roman" w:hAnsi="Times New Roman" w:eastAsia="仿宋" w:cs="Times New Roman"/>
          <w:sz w:val="32"/>
          <w:szCs w:val="32"/>
          <w:lang w:val="zh-CN"/>
        </w:rPr>
        <w:t>9,532.56</w:t>
      </w:r>
      <w:r>
        <w:rPr>
          <w:rFonts w:hint="default" w:ascii="Times New Roman" w:hAnsi="Times New Roman" w:eastAsia="仿宋" w:cs="Times New Roman"/>
          <w:sz w:val="32"/>
          <w:szCs w:val="32"/>
        </w:rPr>
        <w:t>万元。</w:t>
      </w:r>
    </w:p>
    <w:p w14:paraId="79A406C3">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财政拨款收入支出总体与上年相比,</w:t>
      </w:r>
      <w:r>
        <w:rPr>
          <w:rFonts w:hint="default" w:ascii="Times New Roman" w:hAnsi="Times New Roman" w:eastAsia="仿宋" w:cs="Times New Roman"/>
          <w:sz w:val="32"/>
          <w:szCs w:val="32"/>
          <w:lang w:val="zh-CN"/>
        </w:rPr>
        <w:t>增加3,604.31万元</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zh-CN"/>
        </w:rPr>
        <w:t>增长60.80%，</w:t>
      </w:r>
      <w:r>
        <w:rPr>
          <w:rFonts w:hint="default" w:ascii="Times New Roman" w:hAnsi="Times New Roman" w:eastAsia="仿宋" w:cs="Times New Roman"/>
          <w:sz w:val="32"/>
          <w:szCs w:val="32"/>
        </w:rPr>
        <w:t>主要原因是：</w:t>
      </w:r>
      <w:bookmarkStart w:id="23" w:name="OLE_LINK1"/>
      <w:r>
        <w:rPr>
          <w:rFonts w:hint="default" w:ascii="Times New Roman" w:hAnsi="Times New Roman" w:eastAsia="仿宋" w:cs="Times New Roman"/>
          <w:color w:val="000000"/>
          <w:kern w:val="0"/>
          <w:sz w:val="32"/>
          <w:szCs w:val="32"/>
        </w:rPr>
        <w:t>2023年度拨付疫情防控专项资金</w:t>
      </w:r>
      <w:r>
        <w:rPr>
          <w:rFonts w:hint="default" w:ascii="Times New Roman" w:hAnsi="Times New Roman" w:eastAsia="仿宋" w:cs="Times New Roman"/>
          <w:sz w:val="32"/>
          <w:szCs w:val="32"/>
          <w:lang w:val="zh-CN"/>
        </w:rPr>
        <w:t>3,</w:t>
      </w:r>
      <w:r>
        <w:rPr>
          <w:rFonts w:hint="default" w:ascii="Times New Roman" w:hAnsi="Times New Roman" w:eastAsia="仿宋" w:cs="Times New Roman"/>
          <w:sz w:val="32"/>
          <w:szCs w:val="32"/>
          <w:lang w:val="en-US" w:eastAsia="zh-CN"/>
        </w:rPr>
        <w:t>469</w:t>
      </w:r>
      <w:r>
        <w:rPr>
          <w:rFonts w:hint="default" w:ascii="Times New Roman" w:hAnsi="Times New Roman" w:eastAsia="仿宋" w:cs="Times New Roman"/>
          <w:sz w:val="32"/>
          <w:szCs w:val="32"/>
          <w:lang w:val="zh-CN"/>
        </w:rPr>
        <w:t>.</w:t>
      </w:r>
      <w:r>
        <w:rPr>
          <w:rFonts w:hint="default" w:ascii="Times New Roman" w:hAnsi="Times New Roman" w:eastAsia="仿宋" w:cs="Times New Roman"/>
          <w:sz w:val="32"/>
          <w:szCs w:val="32"/>
          <w:lang w:val="en-US" w:eastAsia="zh-CN"/>
        </w:rPr>
        <w:t>94</w:t>
      </w:r>
      <w:r>
        <w:rPr>
          <w:rFonts w:hint="default" w:ascii="Times New Roman" w:hAnsi="Times New Roman" w:eastAsia="仿宋" w:cs="Times New Roman"/>
          <w:color w:val="000000"/>
          <w:kern w:val="0"/>
          <w:sz w:val="32"/>
          <w:szCs w:val="32"/>
        </w:rPr>
        <w:t>万元</w:t>
      </w:r>
      <w:bookmarkEnd w:id="23"/>
      <w:r>
        <w:rPr>
          <w:rFonts w:hint="default" w:ascii="Times New Roman" w:hAnsi="Times New Roman" w:eastAsia="仿宋" w:cs="Times New Roman"/>
          <w:sz w:val="32"/>
          <w:szCs w:val="32"/>
        </w:rPr>
        <w:t>。与年初预算相比，年初预算数</w:t>
      </w:r>
      <w:r>
        <w:rPr>
          <w:rFonts w:hint="default" w:ascii="Times New Roman" w:hAnsi="Times New Roman" w:eastAsia="仿宋" w:cs="Times New Roman"/>
          <w:sz w:val="32"/>
          <w:szCs w:val="32"/>
          <w:lang w:val="zh-CN"/>
        </w:rPr>
        <w:t>5,747.20</w:t>
      </w:r>
      <w:r>
        <w:rPr>
          <w:rFonts w:hint="default" w:ascii="Times New Roman" w:hAnsi="Times New Roman" w:eastAsia="仿宋" w:cs="Times New Roman"/>
          <w:sz w:val="32"/>
          <w:szCs w:val="32"/>
        </w:rPr>
        <w:t>万元，决算数</w:t>
      </w:r>
      <w:r>
        <w:rPr>
          <w:rFonts w:hint="default" w:ascii="Times New Roman" w:hAnsi="Times New Roman" w:eastAsia="仿宋" w:cs="Times New Roman"/>
          <w:sz w:val="32"/>
          <w:szCs w:val="32"/>
          <w:lang w:val="zh-CN"/>
        </w:rPr>
        <w:t>9,532.56</w:t>
      </w:r>
      <w:r>
        <w:rPr>
          <w:rFonts w:hint="default" w:ascii="Times New Roman" w:hAnsi="Times New Roman" w:eastAsia="仿宋" w:cs="Times New Roman"/>
          <w:sz w:val="32"/>
          <w:szCs w:val="32"/>
        </w:rPr>
        <w:t>万元，预决算差异率65.86%，主要原因是：2023年拨付的项目预算，</w:t>
      </w:r>
      <w:r>
        <w:rPr>
          <w:rFonts w:hint="default" w:ascii="Times New Roman" w:hAnsi="Times New Roman" w:eastAsia="仿宋" w:cs="Times New Roman"/>
          <w:sz w:val="32"/>
          <w:szCs w:val="32"/>
          <w:lang w:val="en-US" w:eastAsia="zh-CN"/>
        </w:rPr>
        <w:t>根据拨款文件</w:t>
      </w:r>
      <w:r>
        <w:rPr>
          <w:rFonts w:hint="default" w:ascii="Times New Roman" w:hAnsi="Times New Roman" w:eastAsia="仿宋" w:cs="Times New Roman"/>
          <w:sz w:val="32"/>
          <w:szCs w:val="32"/>
        </w:rPr>
        <w:t>在年中进行了预算申报和调剂。</w:t>
      </w:r>
    </w:p>
    <w:p w14:paraId="5F3173A2">
      <w:pPr>
        <w:ind w:firstLine="640" w:firstLineChars="200"/>
        <w:jc w:val="left"/>
        <w:outlineLvl w:val="1"/>
        <w:rPr>
          <w:rFonts w:hint="default" w:ascii="Times New Roman" w:hAnsi="Times New Roman" w:eastAsia="黑体" w:cs="Times New Roman"/>
          <w:bCs/>
          <w:kern w:val="0"/>
          <w:sz w:val="32"/>
          <w:szCs w:val="32"/>
        </w:rPr>
      </w:pPr>
      <w:bookmarkStart w:id="24" w:name="_Toc20360"/>
      <w:bookmarkStart w:id="25" w:name="_Toc13833"/>
      <w:r>
        <w:rPr>
          <w:rFonts w:hint="default" w:ascii="Times New Roman" w:hAnsi="Times New Roman" w:eastAsia="黑体" w:cs="Times New Roman"/>
          <w:bCs/>
          <w:kern w:val="0"/>
          <w:sz w:val="32"/>
          <w:szCs w:val="32"/>
        </w:rPr>
        <w:t>五、一般公共预算财政拨款支出决算情况说明</w:t>
      </w:r>
      <w:bookmarkEnd w:id="24"/>
      <w:bookmarkEnd w:id="25"/>
    </w:p>
    <w:p w14:paraId="2DC862D1">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（一）一般公共预算财政拨款支出决算总体情况</w:t>
      </w:r>
    </w:p>
    <w:p w14:paraId="0FD0D548">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2023年度一般公共预算财政拨款支出9,532.56万元，占本年支出合计的</w:t>
      </w:r>
      <w:r>
        <w:rPr>
          <w:rFonts w:hint="default" w:ascii="Times New Roman" w:hAnsi="Times New Roman" w:eastAsia="仿宋" w:cs="Times New Roman"/>
          <w:sz w:val="32"/>
          <w:szCs w:val="32"/>
          <w:lang w:val="zh-CN"/>
        </w:rPr>
        <w:t>11.08%</w:t>
      </w:r>
      <w:r>
        <w:rPr>
          <w:rFonts w:hint="default" w:ascii="Times New Roman" w:hAnsi="Times New Roman" w:eastAsia="仿宋" w:cs="Times New Roman"/>
          <w:sz w:val="32"/>
          <w:szCs w:val="32"/>
        </w:rPr>
        <w:t>。与上年相比，</w:t>
      </w:r>
      <w:r>
        <w:rPr>
          <w:rFonts w:hint="default" w:ascii="Times New Roman" w:hAnsi="Times New Roman" w:eastAsia="仿宋" w:cs="Times New Roman"/>
          <w:sz w:val="32"/>
          <w:szCs w:val="32"/>
          <w:lang w:val="zh-CN"/>
        </w:rPr>
        <w:t>增加3,604.31万元</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zh-CN"/>
        </w:rPr>
        <w:t>增长60.80%，</w:t>
      </w:r>
      <w:r>
        <w:rPr>
          <w:rFonts w:hint="default" w:ascii="Times New Roman" w:hAnsi="Times New Roman" w:eastAsia="仿宋" w:cs="Times New Roman"/>
          <w:sz w:val="32"/>
          <w:szCs w:val="32"/>
        </w:rPr>
        <w:t>主要原因是：</w:t>
      </w:r>
      <w:r>
        <w:rPr>
          <w:rFonts w:hint="default" w:ascii="Times New Roman" w:hAnsi="Times New Roman" w:eastAsia="仿宋" w:cs="Times New Roman"/>
          <w:color w:val="000000"/>
          <w:kern w:val="0"/>
          <w:sz w:val="32"/>
          <w:szCs w:val="32"/>
        </w:rPr>
        <w:t>2023年度拨付疫情防控专项资金</w:t>
      </w:r>
      <w:r>
        <w:rPr>
          <w:rFonts w:hint="default" w:ascii="Times New Roman" w:hAnsi="Times New Roman" w:eastAsia="仿宋" w:cs="Times New Roman"/>
          <w:sz w:val="32"/>
          <w:szCs w:val="32"/>
          <w:lang w:val="zh-CN"/>
        </w:rPr>
        <w:t>3,</w:t>
      </w:r>
      <w:r>
        <w:rPr>
          <w:rFonts w:hint="default" w:ascii="Times New Roman" w:hAnsi="Times New Roman" w:eastAsia="仿宋" w:cs="Times New Roman"/>
          <w:sz w:val="32"/>
          <w:szCs w:val="32"/>
          <w:lang w:val="en-US" w:eastAsia="zh-CN"/>
        </w:rPr>
        <w:t>469</w:t>
      </w:r>
      <w:r>
        <w:rPr>
          <w:rFonts w:hint="default" w:ascii="Times New Roman" w:hAnsi="Times New Roman" w:eastAsia="仿宋" w:cs="Times New Roman"/>
          <w:sz w:val="32"/>
          <w:szCs w:val="32"/>
          <w:lang w:val="zh-CN"/>
        </w:rPr>
        <w:t>.</w:t>
      </w:r>
      <w:r>
        <w:rPr>
          <w:rFonts w:hint="default" w:ascii="Times New Roman" w:hAnsi="Times New Roman" w:eastAsia="仿宋" w:cs="Times New Roman"/>
          <w:sz w:val="32"/>
          <w:szCs w:val="32"/>
          <w:lang w:val="en-US" w:eastAsia="zh-CN"/>
        </w:rPr>
        <w:t>94</w:t>
      </w:r>
      <w:r>
        <w:rPr>
          <w:rFonts w:hint="default" w:ascii="Times New Roman" w:hAnsi="Times New Roman" w:eastAsia="仿宋" w:cs="Times New Roman"/>
          <w:color w:val="000000"/>
          <w:kern w:val="0"/>
          <w:sz w:val="32"/>
          <w:szCs w:val="32"/>
        </w:rPr>
        <w:t>万元</w:t>
      </w:r>
      <w:r>
        <w:rPr>
          <w:rFonts w:hint="default" w:ascii="Times New Roman" w:hAnsi="Times New Roman" w:eastAsia="仿宋" w:cs="Times New Roman"/>
          <w:sz w:val="32"/>
          <w:szCs w:val="32"/>
        </w:rPr>
        <w:t>。与年初预算相比，年初预算数</w:t>
      </w:r>
      <w:r>
        <w:rPr>
          <w:rFonts w:hint="default" w:ascii="Times New Roman" w:hAnsi="Times New Roman" w:eastAsia="仿宋" w:cs="Times New Roman"/>
          <w:sz w:val="32"/>
          <w:szCs w:val="32"/>
          <w:lang w:val="zh-CN"/>
        </w:rPr>
        <w:t>5,747.20</w:t>
      </w:r>
      <w:r>
        <w:rPr>
          <w:rFonts w:hint="default" w:ascii="Times New Roman" w:hAnsi="Times New Roman" w:eastAsia="仿宋" w:cs="Times New Roman"/>
          <w:sz w:val="32"/>
          <w:szCs w:val="32"/>
        </w:rPr>
        <w:t>万元，决算数</w:t>
      </w:r>
      <w:r>
        <w:rPr>
          <w:rFonts w:hint="default" w:ascii="Times New Roman" w:hAnsi="Times New Roman" w:eastAsia="仿宋" w:cs="Times New Roman"/>
          <w:sz w:val="32"/>
          <w:szCs w:val="32"/>
          <w:lang w:val="zh-CN"/>
        </w:rPr>
        <w:t>9,532.56</w:t>
      </w:r>
      <w:r>
        <w:rPr>
          <w:rFonts w:hint="default" w:ascii="Times New Roman" w:hAnsi="Times New Roman" w:eastAsia="仿宋" w:cs="Times New Roman"/>
          <w:sz w:val="32"/>
          <w:szCs w:val="32"/>
        </w:rPr>
        <w:t>万元，预决算差异率</w:t>
      </w:r>
      <w:r>
        <w:rPr>
          <w:rFonts w:hint="default" w:ascii="Times New Roman" w:hAnsi="Times New Roman" w:eastAsia="仿宋" w:cs="Times New Roman"/>
          <w:sz w:val="32"/>
          <w:szCs w:val="32"/>
          <w:lang w:val="zh-CN"/>
        </w:rPr>
        <w:t>65.86%</w:t>
      </w:r>
      <w:r>
        <w:rPr>
          <w:rFonts w:hint="default" w:ascii="Times New Roman" w:hAnsi="Times New Roman" w:eastAsia="仿宋" w:cs="Times New Roman"/>
          <w:sz w:val="32"/>
          <w:szCs w:val="32"/>
        </w:rPr>
        <w:t>，主要原因是：2023年拨付的项目预算，</w:t>
      </w:r>
      <w:bookmarkStart w:id="26" w:name="OLE_LINK4"/>
      <w:r>
        <w:rPr>
          <w:rFonts w:hint="default" w:ascii="Times New Roman" w:hAnsi="Times New Roman" w:eastAsia="仿宋" w:cs="Times New Roman"/>
          <w:sz w:val="32"/>
          <w:szCs w:val="32"/>
          <w:lang w:val="en-US" w:eastAsia="zh-CN"/>
        </w:rPr>
        <w:t>根据拨款文件</w:t>
      </w:r>
      <w:bookmarkEnd w:id="26"/>
      <w:r>
        <w:rPr>
          <w:rFonts w:hint="default" w:ascii="Times New Roman" w:hAnsi="Times New Roman" w:eastAsia="仿宋" w:cs="Times New Roman"/>
          <w:sz w:val="32"/>
          <w:szCs w:val="32"/>
        </w:rPr>
        <w:t>在年中进行了预算申报和调剂。</w:t>
      </w:r>
    </w:p>
    <w:p w14:paraId="22EDA01C">
      <w:pPr>
        <w:numPr>
          <w:ilvl w:val="0"/>
          <w:numId w:val="2"/>
        </w:num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一般公共预算财政拨款支出决算结构情况</w:t>
      </w:r>
    </w:p>
    <w:p w14:paraId="7837B690">
      <w:pPr>
        <w:pStyle w:val="10"/>
        <w:widowControl/>
        <w:spacing w:before="0" w:beforeAutospacing="0" w:after="0" w:afterAutospacing="0"/>
        <w:ind w:firstLine="640" w:firstLineChars="200"/>
        <w:rPr>
          <w:rFonts w:hint="default" w:ascii="Times New Roman" w:hAnsi="Times New Roman" w:eastAsia="仿宋" w:cs="Times New Roman"/>
          <w:kern w:val="2"/>
          <w:sz w:val="32"/>
          <w:szCs w:val="32"/>
        </w:rPr>
      </w:pPr>
      <w:r>
        <w:rPr>
          <w:rFonts w:hint="default" w:ascii="Times New Roman" w:hAnsi="Times New Roman" w:eastAsia="仿宋" w:cs="Times New Roman"/>
          <w:kern w:val="2"/>
          <w:sz w:val="32"/>
          <w:szCs w:val="32"/>
        </w:rPr>
        <w:t>1.</w:t>
      </w:r>
      <w:r>
        <w:rPr>
          <w:rFonts w:hint="default" w:ascii="Times New Roman" w:hAnsi="Times New Roman" w:eastAsia="仿宋" w:cs="Times New Roman"/>
          <w:kern w:val="2"/>
          <w:sz w:val="32"/>
          <w:szCs w:val="32"/>
          <w:lang w:val="zh-CN"/>
        </w:rPr>
        <w:t>科学技术支出（类）80.00万元，占0.84</w:t>
      </w:r>
      <w:r>
        <w:rPr>
          <w:rFonts w:hint="default" w:ascii="Times New Roman" w:hAnsi="Times New Roman" w:eastAsia="仿宋" w:cs="Times New Roman"/>
          <w:kern w:val="2"/>
          <w:sz w:val="32"/>
          <w:szCs w:val="32"/>
        </w:rPr>
        <w:t>%；</w:t>
      </w:r>
    </w:p>
    <w:p w14:paraId="6E63527A">
      <w:pPr>
        <w:pStyle w:val="10"/>
        <w:widowControl/>
        <w:spacing w:before="0" w:beforeAutospacing="0" w:after="0" w:afterAutospacing="0"/>
        <w:ind w:firstLine="640" w:firstLineChars="200"/>
        <w:rPr>
          <w:rFonts w:hint="default" w:ascii="Times New Roman" w:hAnsi="Times New Roman" w:eastAsia="仿宋" w:cs="Times New Roman"/>
          <w:kern w:val="2"/>
          <w:sz w:val="32"/>
          <w:szCs w:val="32"/>
          <w:lang w:val="zh-CN"/>
        </w:rPr>
      </w:pPr>
      <w:r>
        <w:rPr>
          <w:rFonts w:hint="default" w:ascii="Times New Roman" w:hAnsi="Times New Roman" w:eastAsia="仿宋" w:cs="Times New Roman"/>
          <w:kern w:val="2"/>
          <w:sz w:val="32"/>
          <w:szCs w:val="32"/>
        </w:rPr>
        <w:t>2</w:t>
      </w:r>
      <w:r>
        <w:rPr>
          <w:rFonts w:hint="default" w:ascii="Times New Roman" w:hAnsi="Times New Roman" w:eastAsia="仿宋" w:cs="Times New Roman"/>
          <w:kern w:val="2"/>
          <w:sz w:val="32"/>
          <w:szCs w:val="32"/>
          <w:lang w:val="zh-CN"/>
        </w:rPr>
        <w:t>.社会保障和就业支出（类）904.00万元，占9.48%；</w:t>
      </w:r>
    </w:p>
    <w:p w14:paraId="29871511">
      <w:pPr>
        <w:pStyle w:val="10"/>
        <w:widowControl/>
        <w:spacing w:before="0" w:beforeAutospacing="0" w:after="0" w:afterAutospacing="0"/>
        <w:ind w:firstLine="640" w:firstLineChars="200"/>
        <w:rPr>
          <w:rFonts w:hint="default" w:ascii="Times New Roman" w:hAnsi="Times New Roman" w:eastAsia="仿宋" w:cs="Times New Roman"/>
          <w:kern w:val="2"/>
          <w:sz w:val="32"/>
          <w:szCs w:val="32"/>
          <w:lang w:val="zh-CN"/>
        </w:rPr>
      </w:pPr>
      <w:r>
        <w:rPr>
          <w:rFonts w:hint="default" w:ascii="Times New Roman" w:hAnsi="Times New Roman" w:eastAsia="仿宋" w:cs="Times New Roman"/>
          <w:kern w:val="2"/>
          <w:sz w:val="32"/>
          <w:szCs w:val="32"/>
        </w:rPr>
        <w:t>3</w:t>
      </w:r>
      <w:r>
        <w:rPr>
          <w:rFonts w:hint="default" w:ascii="Times New Roman" w:hAnsi="Times New Roman" w:eastAsia="仿宋" w:cs="Times New Roman"/>
          <w:kern w:val="2"/>
          <w:sz w:val="32"/>
          <w:szCs w:val="32"/>
          <w:lang w:val="zh-CN"/>
        </w:rPr>
        <w:t>.卫生健康支出（类）8,548.56万元，占89.68%；</w:t>
      </w:r>
    </w:p>
    <w:p w14:paraId="184C951B">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（三）一般公共预算财政拨款支出决算具体情况</w:t>
      </w:r>
    </w:p>
    <w:p w14:paraId="798E0E19">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1.卫生健康支出（类）卫生健康管理事务（款）其他卫生健康管理事务支出（项）:支出决算数为718.55万元，比上年决算增加718.55万元，增长100%，主要原因是：2023年新增其他卫生健康管理事务拨款718.55万元</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用于住院医师规范化培训和万民医师下乡的相关支出。</w:t>
      </w:r>
    </w:p>
    <w:p w14:paraId="2376672B">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2.卫生健康支出（类）行政事业单位医疗（款）事业单位医疗（项）:支出决算数为300.00万元，比上年决算增加0.00万元，增长0.00%，主要原因是：2023年与2022年拨款金额一致</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主要用于职工医疗保险费。</w:t>
      </w:r>
    </w:p>
    <w:p w14:paraId="42712558">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3.卫生健康支出（类）公立医院（款）综合医院（项）:支出决算数为3,971.94万元，比上年决算增加11.07万元，增长0.28%，主要原因是：2022年度</w:t>
      </w:r>
      <w:r>
        <w:rPr>
          <w:rFonts w:hint="default" w:ascii="Times New Roman" w:hAnsi="Times New Roman" w:eastAsia="仿宋" w:cs="Times New Roman"/>
          <w:sz w:val="32"/>
          <w:szCs w:val="32"/>
          <w:lang w:val="en-US" w:eastAsia="zh-CN"/>
        </w:rPr>
        <w:t>调增艰苦津贴，基本补助收入拨付增加185.32万元；2023年基本补助收入中包含了“访惠聚”工作经费27.73万元，结对认亲交通费1.6万元；项目补助收入2023年增加165.89万元，主要增加了人才项目拨款。</w:t>
      </w:r>
    </w:p>
    <w:p w14:paraId="6E9435E2">
      <w:pPr>
        <w:ind w:firstLine="640" w:firstLineChars="200"/>
        <w:rPr>
          <w:rFonts w:hint="default" w:ascii="Times New Roman" w:hAnsi="Times New Roman" w:eastAsia="仿宋" w:cs="Times New Roman"/>
          <w:sz w:val="32"/>
          <w:szCs w:val="32"/>
          <w:lang w:val="zh-CN"/>
        </w:rPr>
      </w:pPr>
      <w:bookmarkStart w:id="27" w:name="OLE_LINK15"/>
      <w:r>
        <w:rPr>
          <w:rFonts w:hint="default" w:ascii="Times New Roman" w:hAnsi="Times New Roman" w:eastAsia="仿宋" w:cs="Times New Roman"/>
          <w:sz w:val="32"/>
          <w:szCs w:val="32"/>
        </w:rPr>
        <w:t>4.</w:t>
      </w:r>
      <w:bookmarkEnd w:id="27"/>
      <w:r>
        <w:rPr>
          <w:rFonts w:hint="default" w:ascii="Times New Roman" w:hAnsi="Times New Roman" w:eastAsia="仿宋" w:cs="Times New Roman"/>
          <w:sz w:val="32"/>
          <w:szCs w:val="32"/>
        </w:rPr>
        <w:t>卫生健康支出（类）公共卫生（款）突发公共卫生事件应急处理（项）:支出决算数为3,343.17万元，比上年决算增加3,343.17万元，增长100%，主要原因是：2023年</w:t>
      </w:r>
      <w:r>
        <w:rPr>
          <w:rFonts w:hint="default" w:ascii="Times New Roman" w:hAnsi="Times New Roman" w:eastAsia="仿宋" w:cs="Times New Roman"/>
          <w:sz w:val="32"/>
          <w:szCs w:val="32"/>
          <w:lang w:val="en-US" w:eastAsia="zh-CN"/>
        </w:rPr>
        <w:t>拨付了疫情防控相关经费</w:t>
      </w:r>
      <w:r>
        <w:rPr>
          <w:rFonts w:hint="default" w:ascii="Times New Roman" w:hAnsi="Times New Roman" w:eastAsia="仿宋" w:cs="Times New Roman"/>
          <w:sz w:val="32"/>
          <w:szCs w:val="32"/>
        </w:rPr>
        <w:t>3,343.17万元</w:t>
      </w:r>
      <w:r>
        <w:rPr>
          <w:rFonts w:hint="default" w:ascii="Times New Roman" w:hAnsi="Times New Roman" w:eastAsia="仿宋" w:cs="Times New Roman"/>
          <w:sz w:val="32"/>
          <w:szCs w:val="32"/>
          <w:lang w:val="zh-CN"/>
        </w:rPr>
        <w:t>。</w:t>
      </w:r>
    </w:p>
    <w:p w14:paraId="0B8F2DE0">
      <w:pPr>
        <w:ind w:firstLine="640" w:firstLineChars="200"/>
        <w:outlineLvl w:val="1"/>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5.卫生健康支出（类）公共卫生（款）其他公共卫生支出（项）:支出决算数为58.60万元，比上年决算减少607.80万元，下降91.21%，主要原因是：</w:t>
      </w:r>
      <w:r>
        <w:rPr>
          <w:rFonts w:hint="default" w:ascii="Times New Roman" w:hAnsi="Times New Roman" w:eastAsia="仿宋" w:cs="Times New Roman"/>
          <w:sz w:val="32"/>
          <w:szCs w:val="32"/>
          <w:lang w:val="en-US" w:eastAsia="zh-CN"/>
        </w:rPr>
        <w:t>2022年该科目的拨款为666.4万元，用于卫生人才培养；2023年该科目的拨款为提前下达2023年自治区公共卫生服务（地方公卫）补助资金56万元和上年度结转的卫生人才培养2.6万元，</w:t>
      </w:r>
      <w:r>
        <w:rPr>
          <w:rFonts w:hint="default" w:ascii="Times New Roman" w:hAnsi="Times New Roman" w:eastAsia="仿宋" w:cs="Times New Roman"/>
          <w:sz w:val="32"/>
          <w:szCs w:val="32"/>
        </w:rPr>
        <w:t>该</w:t>
      </w:r>
      <w:bookmarkStart w:id="28" w:name="OLE_LINK3"/>
      <w:r>
        <w:rPr>
          <w:rFonts w:hint="default" w:ascii="Times New Roman" w:hAnsi="Times New Roman" w:eastAsia="仿宋" w:cs="Times New Roman"/>
          <w:sz w:val="32"/>
          <w:szCs w:val="32"/>
        </w:rPr>
        <w:t>支出功能分类上下年度实际内容不同，可比性不强。</w:t>
      </w:r>
    </w:p>
    <w:bookmarkEnd w:id="28"/>
    <w:p w14:paraId="71BBEC46">
      <w:pPr>
        <w:ind w:firstLine="640" w:firstLineChars="200"/>
        <w:outlineLvl w:val="1"/>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rPr>
        <w:t>6.卫生健康支出（类）中医药（款）中医（民族医）药专项（项）:支出决算数为20.73万元，比上年决算增加20.73万元，增长100%，主要原因是：2023年新增2022年及2023年中医药事业传承与发展项目，其中2022年支出15万元，2023年支出5.73万元</w:t>
      </w:r>
      <w:r>
        <w:rPr>
          <w:rFonts w:hint="default" w:ascii="Times New Roman" w:hAnsi="Times New Roman" w:eastAsia="仿宋" w:cs="Times New Roman"/>
          <w:sz w:val="32"/>
          <w:szCs w:val="32"/>
          <w:lang w:val="zh-CN"/>
        </w:rPr>
        <w:t>。</w:t>
      </w:r>
      <w:bookmarkStart w:id="29" w:name="OLE_LINK2"/>
    </w:p>
    <w:bookmarkEnd w:id="29"/>
    <w:p w14:paraId="04562BC0">
      <w:pPr>
        <w:ind w:firstLine="640" w:firstLineChars="200"/>
        <w:rPr>
          <w:rFonts w:hint="default" w:ascii="Times New Roman" w:hAnsi="Times New Roman" w:eastAsia="仿宋" w:cs="Times New Roman"/>
          <w:kern w:val="0"/>
          <w:sz w:val="32"/>
          <w:szCs w:val="32"/>
          <w:lang w:val="en-US" w:eastAsia="zh-CN"/>
        </w:rPr>
      </w:pPr>
      <w:r>
        <w:rPr>
          <w:rFonts w:hint="default" w:ascii="Times New Roman" w:hAnsi="Times New Roman" w:eastAsia="仿宋" w:cs="Times New Roman"/>
          <w:sz w:val="32"/>
          <w:szCs w:val="32"/>
        </w:rPr>
        <w:t>7.社会保障和就业支出（类）行政事业单位养老支出（款）事业单位离退休（项）:支出决算数为4.00万元，比上年决算减少1.18万元，下降22.78%，主要原因是：</w:t>
      </w:r>
      <w:r>
        <w:rPr>
          <w:rFonts w:hint="default" w:ascii="Times New Roman" w:hAnsi="Times New Roman" w:eastAsia="仿宋" w:cs="Times New Roman"/>
          <w:kern w:val="0"/>
          <w:sz w:val="32"/>
          <w:szCs w:val="32"/>
          <w:lang w:val="en-US" w:eastAsia="zh-CN"/>
        </w:rPr>
        <w:t>2022年调整了艰苦津贴，增补拨付离休人员艰苦津贴1.18万元。</w:t>
      </w:r>
    </w:p>
    <w:p w14:paraId="50FD7527">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8.卫生健康支出（类）公共卫生（款）应急救治机构（项）:支出决算数为126.77万元，比上年决算增加126.77万元，增长100%，主要原因是：2023年</w:t>
      </w:r>
      <w:r>
        <w:rPr>
          <w:rFonts w:hint="default" w:ascii="Times New Roman" w:hAnsi="Times New Roman" w:eastAsia="仿宋" w:cs="Times New Roman"/>
          <w:sz w:val="32"/>
          <w:szCs w:val="32"/>
          <w:lang w:val="en-US" w:eastAsia="zh-CN"/>
        </w:rPr>
        <w:t>拨付</w:t>
      </w:r>
      <w:r>
        <w:rPr>
          <w:rFonts w:hint="default" w:ascii="Times New Roman" w:hAnsi="Times New Roman" w:eastAsia="仿宋" w:cs="Times New Roman"/>
          <w:sz w:val="32"/>
          <w:szCs w:val="32"/>
        </w:rPr>
        <w:t>新型冠状病毒感染疫情应急救治能力提升项目中央基建投资预算</w:t>
      </w:r>
      <w:r>
        <w:rPr>
          <w:rFonts w:hint="default" w:ascii="Times New Roman" w:hAnsi="Times New Roman" w:eastAsia="仿宋" w:cs="Times New Roman"/>
          <w:sz w:val="32"/>
          <w:szCs w:val="32"/>
          <w:lang w:val="en-US" w:eastAsia="zh-CN"/>
        </w:rPr>
        <w:t>126.77万元。</w:t>
      </w:r>
    </w:p>
    <w:p w14:paraId="1FD107B6">
      <w:pPr>
        <w:ind w:firstLine="640" w:firstLineChars="200"/>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rPr>
        <w:t>9.科学技术支出（类）科技重大项目（款）科技重大专项（项）:支出决算数为80.00万元，比上年决算增加80.00万元，增长100%，主要原因是：2023年新增科学技术拨款80万元，用于医院重点实验室及临床研究中心的建设</w:t>
      </w:r>
      <w:r>
        <w:rPr>
          <w:rFonts w:hint="default" w:ascii="Times New Roman" w:hAnsi="Times New Roman" w:eastAsia="仿宋" w:cs="Times New Roman"/>
          <w:sz w:val="32"/>
          <w:szCs w:val="32"/>
          <w:lang w:val="zh-CN"/>
        </w:rPr>
        <w:t>。</w:t>
      </w:r>
    </w:p>
    <w:p w14:paraId="2EF4283E">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10.社会保障和就业支出（类）行政事业单位养老支出（款）机关事业单位职业年金缴费支出（项）:支出决算数为300.00万元，比上年决算增加0.00万元，增长0.00%，主要原因是：2023年与2022年拨款金额一致</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用于职工的养老金的支出。</w:t>
      </w:r>
    </w:p>
    <w:p w14:paraId="2AFF03A1">
      <w:pPr>
        <w:ind w:firstLine="640" w:firstLineChars="200"/>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rPr>
        <w:t>11.卫生健康支出（类）公共卫生（款）重大公共卫生服务（项）:支出决算数为8.80万元，比上年决算增加8.80万元，增长100%，主要原因是：2023年</w:t>
      </w:r>
      <w:r>
        <w:rPr>
          <w:rFonts w:hint="default" w:ascii="Times New Roman" w:hAnsi="Times New Roman" w:eastAsia="仿宋" w:cs="Times New Roman"/>
          <w:sz w:val="32"/>
          <w:szCs w:val="32"/>
          <w:lang w:val="en-US" w:eastAsia="zh-CN"/>
        </w:rPr>
        <w:t>拨付了2022年和2023年两年的</w:t>
      </w:r>
      <w:r>
        <w:rPr>
          <w:rFonts w:hint="default" w:ascii="Times New Roman" w:hAnsi="Times New Roman" w:eastAsia="仿宋" w:cs="Times New Roman"/>
          <w:sz w:val="32"/>
          <w:szCs w:val="32"/>
        </w:rPr>
        <w:t>重大传染病防控补助资金</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共计</w:t>
      </w:r>
      <w:r>
        <w:rPr>
          <w:rFonts w:hint="default" w:ascii="Times New Roman" w:hAnsi="Times New Roman" w:eastAsia="仿宋" w:cs="Times New Roman"/>
          <w:sz w:val="32"/>
          <w:szCs w:val="32"/>
        </w:rPr>
        <w:t>8.8万元</w:t>
      </w:r>
      <w:r>
        <w:rPr>
          <w:rFonts w:hint="default" w:ascii="Times New Roman" w:hAnsi="Times New Roman" w:eastAsia="仿宋" w:cs="Times New Roman"/>
          <w:sz w:val="32"/>
          <w:szCs w:val="32"/>
          <w:lang w:val="zh-CN"/>
        </w:rPr>
        <w:t>。</w:t>
      </w:r>
    </w:p>
    <w:p w14:paraId="47DAE682">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12.社会保障和就业支出（类）行政事业单位养老支出（款）机关事业单位基本养老保险缴费支出（项）:支出决算数为600.00万元，比上年决算增加0.00万元，增长0.00%，主要原因是：2023年与2022年拨款金额一致</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用于养老金的支出。</w:t>
      </w:r>
    </w:p>
    <w:p w14:paraId="71ECEE29">
      <w:pPr>
        <w:ind w:firstLine="640" w:firstLineChars="200"/>
        <w:outlineLvl w:val="1"/>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13.卫生健康支出（类）公立医院（款）其他公立医院支出（项）:支出决算数为0.00万元，比上年决算减少95.80万元，下降100%，主要原因是：</w:t>
      </w:r>
      <w:r>
        <w:rPr>
          <w:rFonts w:hint="default" w:ascii="Times New Roman" w:hAnsi="Times New Roman" w:eastAsia="仿宋" w:cs="Times New Roman"/>
          <w:sz w:val="32"/>
          <w:szCs w:val="32"/>
          <w:lang w:val="en-US" w:eastAsia="zh-CN"/>
        </w:rPr>
        <w:t>2022年拨付的为2022年中央医疗服务与保障能力提升（公立医院综合改革）补助资金（第二批）92万元，2022年自治区医疗服务与保障能力提升（卫生健康人才培养）补助资金（第二批）3.8万元。</w:t>
      </w:r>
      <w:r>
        <w:rPr>
          <w:rFonts w:hint="default" w:ascii="Times New Roman" w:hAnsi="Times New Roman" w:eastAsia="仿宋" w:cs="Times New Roman"/>
          <w:sz w:val="32"/>
          <w:szCs w:val="32"/>
        </w:rPr>
        <w:t>支出功能分类上下年度实际内容不同，可比性不强。</w:t>
      </w:r>
    </w:p>
    <w:p w14:paraId="749AE578">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六、一般公共预算财政拨款基本支出决算情况说明</w:t>
      </w:r>
    </w:p>
    <w:p w14:paraId="7361A1E7">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2023年度一般公共预算财政拨款基本支出4,317.32万元，其中：人员经费4,317.32万元，包括：基本工资、机关事业单位基本养老保险缴费、职业年金缴费、职工基本医疗保险缴费、离休费、生活补助。</w:t>
      </w:r>
    </w:p>
    <w:p w14:paraId="01A41ADC">
      <w:pPr>
        <w:ind w:firstLine="640" w:firstLineChars="200"/>
        <w:jc w:val="left"/>
        <w:rPr>
          <w:rFonts w:hint="default" w:ascii="Times New Roman" w:hAnsi="Times New Roman" w:eastAsia="仿宋" w:cs="Times New Roman"/>
          <w:sz w:val="32"/>
          <w:szCs w:val="32"/>
          <w:highlight w:val="red"/>
        </w:rPr>
      </w:pPr>
      <w:r>
        <w:rPr>
          <w:rFonts w:hint="default" w:ascii="Times New Roman" w:hAnsi="Times New Roman" w:eastAsia="仿宋" w:cs="Times New Roman"/>
          <w:sz w:val="32"/>
          <w:szCs w:val="32"/>
        </w:rPr>
        <w:t>公用经费0.00万元，包括：无公用经费。</w:t>
      </w:r>
    </w:p>
    <w:p w14:paraId="43A20942">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七、财政拨款“三公”经费支出决算情况说明</w:t>
      </w:r>
    </w:p>
    <w:p w14:paraId="5A89A24C">
      <w:pPr>
        <w:ind w:firstLine="640" w:firstLineChars="200"/>
        <w:jc w:val="left"/>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lang w:val="zh-CN"/>
        </w:rPr>
        <w:t>2023年度</w:t>
      </w:r>
      <w:r>
        <w:rPr>
          <w:rFonts w:hint="default" w:ascii="Times New Roman" w:hAnsi="Times New Roman" w:eastAsia="仿宋" w:cs="Times New Roman"/>
          <w:sz w:val="32"/>
          <w:szCs w:val="32"/>
        </w:rPr>
        <w:t>财政拨款</w:t>
      </w:r>
      <w:r>
        <w:rPr>
          <w:rFonts w:hint="default" w:ascii="Times New Roman" w:hAnsi="Times New Roman" w:eastAsia="仿宋" w:cs="Times New Roman"/>
          <w:sz w:val="32"/>
          <w:szCs w:val="32"/>
          <w:lang w:val="zh-CN"/>
        </w:rPr>
        <w:t>“三公”经费支出0.00万元，</w:t>
      </w:r>
      <w:r>
        <w:rPr>
          <w:rFonts w:hint="default" w:ascii="Times New Roman" w:hAnsi="Times New Roman" w:eastAsia="仿宋" w:cs="Times New Roman"/>
          <w:sz w:val="32"/>
          <w:szCs w:val="32"/>
        </w:rPr>
        <w:t>比上年</w:t>
      </w:r>
      <w:r>
        <w:rPr>
          <w:rFonts w:hint="default" w:ascii="Times New Roman" w:hAnsi="Times New Roman" w:eastAsia="仿宋" w:cs="Times New Roman"/>
          <w:sz w:val="32"/>
          <w:szCs w:val="32"/>
          <w:lang w:val="zh-CN"/>
        </w:rPr>
        <w:t>增加0.00万元，增长0.00%，主要原因是：</w:t>
      </w:r>
      <w:r>
        <w:rPr>
          <w:rFonts w:hint="default" w:ascii="Times New Roman" w:hAnsi="Times New Roman" w:eastAsia="仿宋" w:cs="Times New Roman"/>
          <w:sz w:val="32"/>
          <w:szCs w:val="32"/>
        </w:rPr>
        <w:t>我单位无财政拨款“三公”经费支出。</w:t>
      </w:r>
      <w:r>
        <w:rPr>
          <w:rFonts w:hint="default" w:ascii="Times New Roman" w:hAnsi="Times New Roman" w:eastAsia="仿宋" w:cs="Times New Roman"/>
          <w:sz w:val="32"/>
          <w:szCs w:val="32"/>
          <w:lang w:val="zh-CN"/>
        </w:rPr>
        <w:t>其中：因公出国（境）费支出0.00万元，占0.00%，比上年增加0.00万元，增长0.00%，主要原因是：</w:t>
      </w:r>
      <w:r>
        <w:rPr>
          <w:rFonts w:hint="default" w:ascii="Times New Roman" w:hAnsi="Times New Roman" w:eastAsia="仿宋" w:cs="Times New Roman"/>
          <w:sz w:val="32"/>
          <w:szCs w:val="32"/>
        </w:rPr>
        <w:t>我单位无因公出国（境）费；</w:t>
      </w:r>
      <w:r>
        <w:rPr>
          <w:rFonts w:hint="default" w:ascii="Times New Roman" w:hAnsi="Times New Roman" w:eastAsia="仿宋" w:cs="Times New Roman"/>
          <w:sz w:val="32"/>
          <w:szCs w:val="32"/>
          <w:lang w:val="zh-CN"/>
        </w:rPr>
        <w:t>公务用车购置及运行维护费支出0.00万元，占0.00%，比上年增加0.00万元，增长0.00%，主要原因是：</w:t>
      </w:r>
      <w:r>
        <w:rPr>
          <w:rFonts w:hint="default" w:ascii="Times New Roman" w:hAnsi="Times New Roman" w:eastAsia="仿宋" w:cs="Times New Roman"/>
          <w:sz w:val="32"/>
          <w:szCs w:val="32"/>
        </w:rPr>
        <w:t>我单位无公务用车购置及运行维护费；</w:t>
      </w:r>
      <w:r>
        <w:rPr>
          <w:rFonts w:hint="default" w:ascii="Times New Roman" w:hAnsi="Times New Roman" w:eastAsia="仿宋" w:cs="Times New Roman"/>
          <w:sz w:val="32"/>
          <w:szCs w:val="32"/>
          <w:lang w:val="zh-CN"/>
        </w:rPr>
        <w:t>公务接待费支出0.00万元，占0.00%，比上年增加0.00万元，增长0.00%，主要原因是：我单位无公务接待费</w:t>
      </w:r>
      <w:r>
        <w:rPr>
          <w:rFonts w:hint="default" w:ascii="Times New Roman" w:hAnsi="Times New Roman" w:eastAsia="仿宋" w:cs="Times New Roman"/>
          <w:sz w:val="32"/>
          <w:szCs w:val="32"/>
        </w:rPr>
        <w:t>。</w:t>
      </w:r>
    </w:p>
    <w:p w14:paraId="50941A14">
      <w:pPr>
        <w:ind w:firstLine="640" w:firstLineChars="200"/>
        <w:jc w:val="left"/>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lang w:val="zh-CN"/>
        </w:rPr>
        <w:t>具体情况如下：</w:t>
      </w:r>
    </w:p>
    <w:p w14:paraId="3BB8D514">
      <w:pPr>
        <w:ind w:firstLine="640" w:firstLineChars="200"/>
        <w:jc w:val="left"/>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lang w:val="zh-CN"/>
        </w:rPr>
        <w:t>因公出国（境）费支出0.00万元，</w:t>
      </w:r>
      <w:r>
        <w:rPr>
          <w:rFonts w:hint="eastAsia" w:eastAsia="仿宋" w:cs="Times New Roman"/>
          <w:sz w:val="32"/>
          <w:szCs w:val="32"/>
          <w:lang w:val="en-US" w:eastAsia="zh-CN"/>
        </w:rPr>
        <w:t>开支内容包括我</w:t>
      </w:r>
      <w:r>
        <w:rPr>
          <w:rFonts w:hint="default" w:ascii="Times New Roman" w:hAnsi="Times New Roman" w:eastAsia="仿宋" w:cs="Times New Roman"/>
          <w:sz w:val="32"/>
          <w:szCs w:val="32"/>
          <w:lang w:val="zh-CN"/>
        </w:rPr>
        <w:t>单位</w:t>
      </w:r>
      <w:r>
        <w:rPr>
          <w:rFonts w:hint="eastAsia" w:eastAsia="仿宋" w:cs="Times New Roman"/>
          <w:sz w:val="32"/>
          <w:szCs w:val="32"/>
          <w:lang w:val="en-US" w:eastAsia="zh-CN"/>
        </w:rPr>
        <w:t>本年度无</w:t>
      </w:r>
      <w:r>
        <w:rPr>
          <w:rFonts w:hint="default" w:ascii="Times New Roman" w:hAnsi="Times New Roman" w:eastAsia="仿宋_GB2312" w:cs="Times New Roman"/>
          <w:sz w:val="32"/>
          <w:szCs w:val="32"/>
          <w:lang w:val="zh-CN"/>
        </w:rPr>
        <w:t>因公出国（境）费收支安排。</w:t>
      </w:r>
      <w:r>
        <w:rPr>
          <w:rFonts w:hint="default" w:ascii="Times New Roman" w:hAnsi="Times New Roman" w:eastAsia="仿宋" w:cs="Times New Roman"/>
          <w:sz w:val="32"/>
          <w:szCs w:val="32"/>
          <w:lang w:val="zh-CN"/>
        </w:rPr>
        <w:t>全年安排的因公出国（境）团组0个，因公出国（境）0人次。</w:t>
      </w:r>
    </w:p>
    <w:p w14:paraId="6A69CA6B">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 w:cs="Times New Roman"/>
          <w:sz w:val="32"/>
          <w:szCs w:val="32"/>
          <w:lang w:val="zh-CN"/>
        </w:rPr>
        <w:t>公务用车购置及运行维护费0.00万元，其中：公务用车购置费0.00万元，公务用车运行维护费0.00万元</w:t>
      </w:r>
      <w:r>
        <w:rPr>
          <w:rFonts w:hint="eastAsia" w:eastAsia="仿宋" w:cs="Times New Roman"/>
          <w:sz w:val="32"/>
          <w:szCs w:val="32"/>
          <w:lang w:val="zh-CN"/>
        </w:rPr>
        <w:t>，</w:t>
      </w:r>
      <w:r>
        <w:rPr>
          <w:rFonts w:hint="eastAsia" w:ascii="仿宋_GB2312" w:eastAsia="仿宋_GB2312"/>
          <w:sz w:val="32"/>
          <w:szCs w:val="32"/>
          <w:lang w:val="zh-CN"/>
        </w:rPr>
        <w:t>公务用车运行维护费</w:t>
      </w:r>
      <w:r>
        <w:rPr>
          <w:rFonts w:hint="default" w:ascii="Times New Roman" w:hAnsi="Times New Roman" w:eastAsia="仿宋_GB2312" w:cs="Times New Roman"/>
          <w:sz w:val="32"/>
          <w:szCs w:val="32"/>
          <w:lang w:val="zh-CN"/>
        </w:rPr>
        <w:t>开支内容包括我单位本年度无公务用车运行维护费收支安排。</w:t>
      </w:r>
      <w:r>
        <w:rPr>
          <w:rFonts w:hint="default" w:ascii="Times New Roman" w:hAnsi="Times New Roman" w:eastAsia="仿宋" w:cs="Times New Roman"/>
          <w:sz w:val="32"/>
          <w:szCs w:val="32"/>
          <w:lang w:val="zh-CN"/>
        </w:rPr>
        <w:t>公务用车购置数0辆，公务用车保有量0辆。</w:t>
      </w:r>
      <w:r>
        <w:rPr>
          <w:rFonts w:hint="default" w:ascii="Times New Roman" w:hAnsi="Times New Roman" w:eastAsia="仿宋_GB2312" w:cs="Times New Roman"/>
          <w:sz w:val="32"/>
          <w:szCs w:val="32"/>
          <w:lang w:val="zh-CN"/>
        </w:rPr>
        <w:t>国有资产占用情况</w:t>
      </w:r>
      <w:r>
        <w:rPr>
          <w:rFonts w:hint="default" w:ascii="Times New Roman" w:hAnsi="Times New Roman" w:eastAsia="仿宋_GB2312" w:cs="Times New Roman"/>
          <w:sz w:val="32"/>
          <w:szCs w:val="32"/>
        </w:rPr>
        <w:t>中固定资产车辆</w:t>
      </w:r>
      <w:r>
        <w:rPr>
          <w:rFonts w:hint="eastAsia"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lang w:val="zh-CN"/>
        </w:rPr>
        <w:t>辆，</w:t>
      </w:r>
      <w:r>
        <w:rPr>
          <w:rFonts w:hint="default" w:ascii="Times New Roman" w:hAnsi="Times New Roman" w:eastAsia="仿宋_GB2312" w:cs="Times New Roman"/>
          <w:sz w:val="32"/>
          <w:szCs w:val="32"/>
        </w:rPr>
        <w:t>与</w:t>
      </w:r>
      <w:r>
        <w:rPr>
          <w:rFonts w:hint="default" w:ascii="Times New Roman" w:hAnsi="Times New Roman" w:eastAsia="仿宋_GB2312" w:cs="Times New Roman"/>
          <w:sz w:val="32"/>
          <w:szCs w:val="32"/>
          <w:lang w:val="zh-CN"/>
        </w:rPr>
        <w:t>公务用车</w:t>
      </w:r>
      <w:r>
        <w:rPr>
          <w:rFonts w:hint="default" w:ascii="Times New Roman" w:hAnsi="Times New Roman" w:eastAsia="仿宋_GB2312" w:cs="Times New Roman"/>
          <w:sz w:val="32"/>
          <w:szCs w:val="32"/>
        </w:rPr>
        <w:t>保有量差异</w:t>
      </w:r>
      <w:r>
        <w:rPr>
          <w:rFonts w:hint="default" w:ascii="Times New Roman" w:hAnsi="Times New Roman" w:eastAsia="仿宋_GB2312" w:cs="Times New Roman"/>
          <w:sz w:val="32"/>
          <w:szCs w:val="32"/>
          <w:lang w:val="zh-CN"/>
        </w:rPr>
        <w:t>原因是：</w:t>
      </w:r>
      <w:r>
        <w:rPr>
          <w:rFonts w:hint="default" w:ascii="Times New Roman" w:hAnsi="Times New Roman" w:eastAsia="仿宋_GB2312" w:cs="Times New Roman"/>
          <w:sz w:val="32"/>
          <w:szCs w:val="32"/>
        </w:rPr>
        <w:t>我单位</w:t>
      </w:r>
      <w:r>
        <w:rPr>
          <w:rFonts w:hint="eastAsia" w:eastAsia="仿宋_GB2312" w:cs="Times New Roman"/>
          <w:sz w:val="32"/>
          <w:szCs w:val="32"/>
          <w:lang w:val="en-US" w:eastAsia="zh-CN"/>
        </w:rPr>
        <w:t>属于</w:t>
      </w:r>
      <w:r>
        <w:rPr>
          <w:rFonts w:hint="default" w:ascii="Times New Roman" w:hAnsi="Times New Roman" w:eastAsia="仿宋_GB2312" w:cs="Times New Roman"/>
          <w:sz w:val="32"/>
          <w:szCs w:val="32"/>
        </w:rPr>
        <w:t>差额拨款事业单位，一般公共预算财政安排的基本支出</w:t>
      </w:r>
      <w:r>
        <w:rPr>
          <w:rFonts w:hint="eastAsia" w:eastAsia="仿宋_GB2312" w:cs="Times New Roman"/>
          <w:sz w:val="32"/>
          <w:szCs w:val="32"/>
          <w:lang w:val="en-US" w:eastAsia="zh-CN"/>
        </w:rPr>
        <w:t>开支内容</w:t>
      </w:r>
      <w:r>
        <w:rPr>
          <w:rFonts w:hint="default" w:ascii="Times New Roman" w:hAnsi="Times New Roman" w:eastAsia="仿宋_GB2312" w:cs="Times New Roman"/>
          <w:sz w:val="32"/>
          <w:szCs w:val="32"/>
        </w:rPr>
        <w:t>仅</w:t>
      </w:r>
      <w:r>
        <w:rPr>
          <w:rFonts w:hint="eastAsia" w:eastAsia="仿宋_GB2312" w:cs="Times New Roman"/>
          <w:sz w:val="32"/>
          <w:szCs w:val="32"/>
          <w:lang w:val="en-US" w:eastAsia="zh-CN"/>
        </w:rPr>
        <w:t>为</w:t>
      </w:r>
      <w:r>
        <w:rPr>
          <w:rFonts w:hint="default" w:ascii="Times New Roman" w:hAnsi="Times New Roman" w:eastAsia="仿宋_GB2312" w:cs="Times New Roman"/>
          <w:sz w:val="32"/>
          <w:szCs w:val="32"/>
        </w:rPr>
        <w:t>人员经费，公务用车购置及运行维护</w:t>
      </w:r>
      <w:r>
        <w:rPr>
          <w:rFonts w:hint="eastAsia" w:eastAsia="仿宋_GB2312" w:cs="Times New Roman"/>
          <w:sz w:val="32"/>
          <w:szCs w:val="32"/>
          <w:lang w:val="en-US" w:eastAsia="zh-CN"/>
        </w:rPr>
        <w:t>由医院自筹资金保障</w:t>
      </w:r>
      <w:r>
        <w:rPr>
          <w:rFonts w:hint="default" w:ascii="Times New Roman" w:hAnsi="Times New Roman" w:eastAsia="仿宋_GB2312" w:cs="Times New Roman"/>
          <w:sz w:val="32"/>
          <w:szCs w:val="32"/>
          <w:lang w:val="zh-CN"/>
        </w:rPr>
        <w:t>。</w:t>
      </w:r>
    </w:p>
    <w:p w14:paraId="016C34D5">
      <w:pPr>
        <w:ind w:firstLine="640" w:firstLineChars="200"/>
        <w:jc w:val="left"/>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lang w:val="zh-CN"/>
        </w:rPr>
        <w:t>公务接待费0.00万元，</w:t>
      </w:r>
      <w:r>
        <w:rPr>
          <w:rFonts w:hint="default" w:ascii="Times New Roman" w:hAnsi="Times New Roman" w:eastAsia="仿宋_GB2312" w:cs="Times New Roman"/>
          <w:sz w:val="32"/>
          <w:szCs w:val="32"/>
          <w:lang w:val="zh-CN"/>
        </w:rPr>
        <w:t>开支内容包括我单位本年度无公务接待费收支安排。</w:t>
      </w:r>
      <w:r>
        <w:rPr>
          <w:rFonts w:hint="default" w:ascii="Times New Roman" w:hAnsi="Times New Roman" w:eastAsia="仿宋" w:cs="Times New Roman"/>
          <w:sz w:val="32"/>
          <w:szCs w:val="32"/>
          <w:lang w:val="zh-CN"/>
        </w:rPr>
        <w:t>单位全年安排的国内公务接待0批次，0人次。</w:t>
      </w:r>
    </w:p>
    <w:p w14:paraId="4C6CF27F">
      <w:pPr>
        <w:ind w:firstLine="640" w:firstLineChars="200"/>
        <w:jc w:val="left"/>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lang w:val="zh-CN"/>
        </w:rPr>
        <w:t>与</w:t>
      </w:r>
      <w:r>
        <w:rPr>
          <w:rFonts w:hint="default" w:ascii="Times New Roman" w:hAnsi="Times New Roman" w:eastAsia="仿宋" w:cs="Times New Roman"/>
          <w:sz w:val="32"/>
          <w:szCs w:val="32"/>
        </w:rPr>
        <w:t>全年</w:t>
      </w:r>
      <w:r>
        <w:rPr>
          <w:rFonts w:hint="default" w:ascii="Times New Roman" w:hAnsi="Times New Roman" w:eastAsia="仿宋" w:cs="Times New Roman"/>
          <w:sz w:val="32"/>
          <w:szCs w:val="32"/>
          <w:lang w:val="zh-CN"/>
        </w:rPr>
        <w:t>预算相比</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lang w:val="zh-CN"/>
        </w:rPr>
        <w:t>财政拨款“三公”经费支出</w:t>
      </w:r>
      <w:r>
        <w:rPr>
          <w:rFonts w:hint="default" w:ascii="Times New Roman" w:hAnsi="Times New Roman" w:eastAsia="仿宋" w:cs="Times New Roman"/>
          <w:sz w:val="32"/>
          <w:szCs w:val="32"/>
        </w:rPr>
        <w:t>全年</w:t>
      </w:r>
      <w:r>
        <w:rPr>
          <w:rFonts w:hint="default" w:ascii="Times New Roman" w:hAnsi="Times New Roman" w:eastAsia="仿宋" w:cs="Times New Roman"/>
          <w:sz w:val="32"/>
          <w:szCs w:val="32"/>
          <w:lang w:val="zh-CN"/>
        </w:rPr>
        <w:t>预算数</w:t>
      </w:r>
      <w:bookmarkStart w:id="64" w:name="_GoBack"/>
      <w:bookmarkEnd w:id="64"/>
      <w:r>
        <w:rPr>
          <w:rFonts w:hint="default" w:ascii="Times New Roman" w:hAnsi="Times New Roman" w:eastAsia="仿宋" w:cs="Times New Roman"/>
          <w:sz w:val="32"/>
          <w:szCs w:val="32"/>
          <w:lang w:val="zh-CN"/>
        </w:rPr>
        <w:t>0.00万元，决算数0.00万元，预决算差异率0.00%，主要原因是：</w:t>
      </w:r>
      <w:r>
        <w:rPr>
          <w:rFonts w:hint="default" w:ascii="Times New Roman" w:hAnsi="Times New Roman" w:eastAsia="仿宋" w:cs="Times New Roman"/>
          <w:sz w:val="32"/>
          <w:szCs w:val="32"/>
        </w:rPr>
        <w:t>我单位无</w:t>
      </w:r>
      <w:r>
        <w:rPr>
          <w:rFonts w:hint="default" w:ascii="Times New Roman" w:hAnsi="Times New Roman" w:eastAsia="仿宋" w:cs="Times New Roman"/>
          <w:sz w:val="32"/>
          <w:szCs w:val="32"/>
          <w:lang w:val="zh-CN"/>
        </w:rPr>
        <w:t>财政拨款</w:t>
      </w:r>
      <w:r>
        <w:rPr>
          <w:rFonts w:hint="default" w:ascii="Times New Roman" w:hAnsi="Times New Roman" w:eastAsia="仿宋" w:cs="Times New Roman"/>
          <w:sz w:val="32"/>
          <w:szCs w:val="32"/>
        </w:rPr>
        <w:t>“三公”经费支出。</w:t>
      </w:r>
      <w:r>
        <w:rPr>
          <w:rFonts w:hint="default" w:ascii="Times New Roman" w:hAnsi="Times New Roman" w:eastAsia="仿宋" w:cs="Times New Roman"/>
          <w:sz w:val="32"/>
          <w:szCs w:val="32"/>
          <w:lang w:val="zh-CN"/>
        </w:rPr>
        <w:t>其中：因公出国（境）费</w:t>
      </w:r>
      <w:r>
        <w:rPr>
          <w:rFonts w:hint="default" w:ascii="Times New Roman" w:hAnsi="Times New Roman" w:eastAsia="仿宋" w:cs="Times New Roman"/>
          <w:sz w:val="32"/>
          <w:szCs w:val="32"/>
        </w:rPr>
        <w:t>全年预算数</w:t>
      </w:r>
      <w:r>
        <w:rPr>
          <w:rFonts w:hint="default" w:ascii="Times New Roman" w:hAnsi="Times New Roman" w:eastAsia="仿宋" w:cs="Times New Roman"/>
          <w:sz w:val="32"/>
          <w:szCs w:val="32"/>
          <w:lang w:val="zh-CN"/>
        </w:rPr>
        <w:t>0.00万元，决算数0.00万元，预决算差异率0.00%，主要原因是：</w:t>
      </w:r>
      <w:r>
        <w:rPr>
          <w:rFonts w:hint="default" w:ascii="Times New Roman" w:hAnsi="Times New Roman" w:eastAsia="仿宋" w:cs="Times New Roman"/>
          <w:sz w:val="32"/>
          <w:szCs w:val="32"/>
        </w:rPr>
        <w:t>我单位无因公出国（境）费；</w:t>
      </w:r>
      <w:r>
        <w:rPr>
          <w:rFonts w:hint="default" w:ascii="Times New Roman" w:hAnsi="Times New Roman" w:eastAsia="仿宋" w:cs="Times New Roman"/>
          <w:sz w:val="32"/>
          <w:szCs w:val="32"/>
          <w:lang w:val="zh-CN"/>
        </w:rPr>
        <w:t>公务用车购置费</w:t>
      </w:r>
      <w:r>
        <w:rPr>
          <w:rFonts w:hint="default" w:ascii="Times New Roman" w:hAnsi="Times New Roman" w:eastAsia="仿宋" w:cs="Times New Roman"/>
          <w:sz w:val="32"/>
          <w:szCs w:val="32"/>
        </w:rPr>
        <w:t>全年</w:t>
      </w:r>
      <w:r>
        <w:rPr>
          <w:rFonts w:hint="default" w:ascii="Times New Roman" w:hAnsi="Times New Roman" w:eastAsia="仿宋" w:cs="Times New Roman"/>
          <w:sz w:val="32"/>
          <w:szCs w:val="32"/>
          <w:lang w:val="zh-CN"/>
        </w:rPr>
        <w:t>预算数0.00万元，决算数0.00万元，预决算差异率0.00%，主要原因是：</w:t>
      </w:r>
      <w:r>
        <w:rPr>
          <w:rFonts w:hint="default" w:ascii="Times New Roman" w:hAnsi="Times New Roman" w:eastAsia="仿宋" w:cs="Times New Roman"/>
          <w:sz w:val="32"/>
          <w:szCs w:val="32"/>
        </w:rPr>
        <w:t>我单位无公务用车购置费；</w:t>
      </w:r>
      <w:r>
        <w:rPr>
          <w:rFonts w:hint="default" w:ascii="Times New Roman" w:hAnsi="Times New Roman" w:eastAsia="仿宋" w:cs="Times New Roman"/>
          <w:sz w:val="32"/>
          <w:szCs w:val="32"/>
          <w:lang w:val="zh-CN"/>
        </w:rPr>
        <w:t>公务用车运行费</w:t>
      </w:r>
      <w:r>
        <w:rPr>
          <w:rFonts w:hint="default" w:ascii="Times New Roman" w:hAnsi="Times New Roman" w:eastAsia="仿宋" w:cs="Times New Roman"/>
          <w:sz w:val="32"/>
          <w:szCs w:val="32"/>
        </w:rPr>
        <w:t>全年</w:t>
      </w:r>
      <w:r>
        <w:rPr>
          <w:rFonts w:hint="default" w:ascii="Times New Roman" w:hAnsi="Times New Roman" w:eastAsia="仿宋" w:cs="Times New Roman"/>
          <w:sz w:val="32"/>
          <w:szCs w:val="32"/>
          <w:lang w:val="zh-CN"/>
        </w:rPr>
        <w:t>预算数0.00万元，决算数0.00万元，预决算差异率0.00%，主要原因是：</w:t>
      </w:r>
      <w:r>
        <w:rPr>
          <w:rFonts w:hint="default" w:ascii="Times New Roman" w:hAnsi="Times New Roman" w:eastAsia="仿宋" w:cs="Times New Roman"/>
          <w:sz w:val="32"/>
          <w:szCs w:val="32"/>
        </w:rPr>
        <w:t>我单位无公务用车运行维护费；</w:t>
      </w:r>
      <w:r>
        <w:rPr>
          <w:rFonts w:hint="default" w:ascii="Times New Roman" w:hAnsi="Times New Roman" w:eastAsia="仿宋" w:cs="Times New Roman"/>
          <w:sz w:val="32"/>
          <w:szCs w:val="32"/>
          <w:lang w:val="zh-CN"/>
        </w:rPr>
        <w:t>公务接待费</w:t>
      </w:r>
      <w:r>
        <w:rPr>
          <w:rFonts w:hint="default" w:ascii="Times New Roman" w:hAnsi="Times New Roman" w:eastAsia="仿宋" w:cs="Times New Roman"/>
          <w:sz w:val="32"/>
          <w:szCs w:val="32"/>
        </w:rPr>
        <w:t>全年</w:t>
      </w:r>
      <w:r>
        <w:rPr>
          <w:rFonts w:hint="default" w:ascii="Times New Roman" w:hAnsi="Times New Roman" w:eastAsia="仿宋" w:cs="Times New Roman"/>
          <w:sz w:val="32"/>
          <w:szCs w:val="32"/>
          <w:lang w:val="zh-CN"/>
        </w:rPr>
        <w:t>预算数0.00万元，决算数0.00万元，预决算差异率0.00%，主要原因是：</w:t>
      </w:r>
      <w:r>
        <w:rPr>
          <w:rFonts w:hint="default" w:ascii="Times New Roman" w:hAnsi="Times New Roman" w:eastAsia="仿宋" w:cs="Times New Roman"/>
          <w:sz w:val="32"/>
          <w:szCs w:val="32"/>
        </w:rPr>
        <w:t>我单位无公务接待费。</w:t>
      </w:r>
    </w:p>
    <w:p w14:paraId="014B4B03">
      <w:pPr>
        <w:ind w:firstLine="640" w:firstLineChars="200"/>
        <w:jc w:val="left"/>
        <w:outlineLvl w:val="1"/>
        <w:rPr>
          <w:rFonts w:hint="default" w:ascii="Times New Roman" w:hAnsi="Times New Roman" w:eastAsia="黑体" w:cs="Times New Roman"/>
          <w:bCs/>
          <w:kern w:val="0"/>
          <w:sz w:val="32"/>
          <w:szCs w:val="32"/>
        </w:rPr>
      </w:pPr>
      <w:bookmarkStart w:id="30" w:name="_Toc5810"/>
      <w:bookmarkStart w:id="31" w:name="_Toc7927"/>
      <w:r>
        <w:rPr>
          <w:rFonts w:hint="default" w:ascii="Times New Roman" w:hAnsi="Times New Roman" w:eastAsia="黑体" w:cs="Times New Roman"/>
          <w:bCs/>
          <w:kern w:val="0"/>
          <w:sz w:val="32"/>
          <w:szCs w:val="32"/>
        </w:rPr>
        <w:t>八、政府性基金预算财政拨款收入支出决算情况说明</w:t>
      </w:r>
      <w:bookmarkEnd w:id="30"/>
      <w:bookmarkEnd w:id="31"/>
    </w:p>
    <w:p w14:paraId="347C3321">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我单位本年度无政府性基金预算财政拨款收入、支出及结转和结余，政府性基金预算财政拨款收入支出决算表为空表。</w:t>
      </w:r>
    </w:p>
    <w:p w14:paraId="08E0C689">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九、国有资本经营预算财政拨款收入支出决算情况说明</w:t>
      </w:r>
    </w:p>
    <w:p w14:paraId="64400DB0">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我单位本年度无国有资本经营预算财政拨款收入、支出及结转和结余，国有资本经营预算财政拨款收入支出决算表为空表。</w:t>
      </w:r>
    </w:p>
    <w:p w14:paraId="51C3E3DC">
      <w:pPr>
        <w:ind w:firstLine="640" w:firstLineChars="200"/>
        <w:jc w:val="left"/>
        <w:outlineLvl w:val="1"/>
        <w:rPr>
          <w:rFonts w:hint="default" w:ascii="Times New Roman" w:hAnsi="Times New Roman" w:eastAsia="黑体" w:cs="Times New Roman"/>
          <w:bCs/>
          <w:kern w:val="0"/>
          <w:sz w:val="32"/>
          <w:szCs w:val="32"/>
        </w:rPr>
      </w:pPr>
      <w:bookmarkStart w:id="32" w:name="_Toc7314"/>
      <w:bookmarkStart w:id="33" w:name="_Toc1235"/>
      <w:r>
        <w:rPr>
          <w:rFonts w:hint="default" w:ascii="Times New Roman" w:hAnsi="Times New Roman" w:eastAsia="黑体" w:cs="Times New Roman"/>
          <w:bCs/>
          <w:kern w:val="0"/>
          <w:sz w:val="32"/>
          <w:szCs w:val="32"/>
        </w:rPr>
        <w:t>十、其他重要事项的情况说明</w:t>
      </w:r>
      <w:bookmarkEnd w:id="32"/>
      <w:bookmarkEnd w:id="33"/>
    </w:p>
    <w:p w14:paraId="0E62B2EA">
      <w:pPr>
        <w:ind w:firstLine="640" w:firstLineChars="200"/>
        <w:jc w:val="left"/>
        <w:outlineLvl w:val="2"/>
        <w:rPr>
          <w:rFonts w:hint="default" w:ascii="Times New Roman" w:hAnsi="Times New Roman" w:eastAsia="黑体" w:cs="Times New Roman"/>
          <w:sz w:val="32"/>
          <w:szCs w:val="32"/>
        </w:rPr>
      </w:pPr>
      <w:bookmarkStart w:id="34" w:name="_Toc14519"/>
      <w:bookmarkStart w:id="35" w:name="_Toc13105"/>
      <w:r>
        <w:rPr>
          <w:rFonts w:hint="default" w:ascii="Times New Roman" w:hAnsi="Times New Roman" w:eastAsia="黑体" w:cs="Times New Roman"/>
          <w:sz w:val="32"/>
          <w:szCs w:val="32"/>
        </w:rPr>
        <w:t>（一）机关运行经费支出情况</w:t>
      </w:r>
      <w:bookmarkEnd w:id="34"/>
      <w:bookmarkEnd w:id="35"/>
    </w:p>
    <w:p w14:paraId="0FE05D81">
      <w:pPr>
        <w:ind w:firstLine="640" w:firstLineChars="200"/>
        <w:rPr>
          <w:rFonts w:hint="default" w:ascii="Times New Roman" w:hAnsi="Times New Roman" w:eastAsia="仿宋" w:cs="Times New Roman"/>
          <w:sz w:val="32"/>
          <w:szCs w:val="32"/>
        </w:rPr>
      </w:pPr>
      <w:bookmarkStart w:id="36" w:name="OLE_LINK16"/>
      <w:bookmarkStart w:id="37" w:name="_Toc227"/>
      <w:bookmarkStart w:id="38" w:name="_Toc26704"/>
      <w:r>
        <w:rPr>
          <w:rFonts w:hint="default" w:ascii="Times New Roman" w:hAnsi="Times New Roman" w:eastAsia="仿宋" w:cs="Times New Roman"/>
          <w:sz w:val="32"/>
          <w:szCs w:val="32"/>
          <w:lang w:val="zh-CN"/>
        </w:rPr>
        <w:t>2023</w:t>
      </w:r>
      <w:bookmarkEnd w:id="36"/>
      <w:r>
        <w:rPr>
          <w:rFonts w:hint="default" w:ascii="Times New Roman" w:hAnsi="Times New Roman" w:eastAsia="仿宋" w:cs="Times New Roman"/>
          <w:sz w:val="32"/>
          <w:szCs w:val="32"/>
          <w:lang w:val="zh-CN"/>
        </w:rPr>
        <w:t>年度</w:t>
      </w:r>
      <w:r>
        <w:rPr>
          <w:rFonts w:hint="default" w:ascii="Times New Roman" w:hAnsi="Times New Roman" w:eastAsia="仿宋" w:cs="Times New Roman"/>
          <w:sz w:val="32"/>
          <w:szCs w:val="32"/>
        </w:rPr>
        <w:t>新疆医科大学第二附属医院</w:t>
      </w:r>
      <w:r>
        <w:rPr>
          <w:rFonts w:hint="default" w:ascii="Times New Roman" w:hAnsi="Times New Roman" w:eastAsia="仿宋" w:cs="Times New Roman"/>
          <w:sz w:val="32"/>
          <w:szCs w:val="32"/>
          <w:lang w:val="zh-CN"/>
        </w:rPr>
        <w:t>（事业单位）公用经费支出0.00万元，比上年增加0.00万元，增长0.00%，主要原因是：</w:t>
      </w:r>
      <w:r>
        <w:rPr>
          <w:rFonts w:hint="default" w:ascii="Times New Roman" w:hAnsi="Times New Roman" w:eastAsia="仿宋" w:cs="Times New Roman"/>
          <w:sz w:val="32"/>
          <w:szCs w:val="32"/>
        </w:rPr>
        <w:t>本年度无此项经费。</w:t>
      </w:r>
    </w:p>
    <w:p w14:paraId="07534A7B">
      <w:pPr>
        <w:ind w:firstLine="640" w:firstLineChars="200"/>
        <w:rPr>
          <w:rFonts w:hint="default" w:ascii="Times New Roman" w:hAnsi="Times New Roman" w:eastAsia="黑体" w:cs="Times New Roman"/>
          <w:sz w:val="32"/>
          <w:szCs w:val="30"/>
          <w:lang w:val="zh-CN"/>
        </w:rPr>
      </w:pPr>
      <w:r>
        <w:rPr>
          <w:rFonts w:hint="default" w:ascii="Times New Roman" w:hAnsi="Times New Roman" w:eastAsia="黑体" w:cs="Times New Roman"/>
          <w:sz w:val="32"/>
          <w:szCs w:val="30"/>
          <w:lang w:val="zh-CN"/>
        </w:rPr>
        <w:t>（二）政府采购情况</w:t>
      </w:r>
      <w:bookmarkEnd w:id="37"/>
      <w:bookmarkEnd w:id="38"/>
    </w:p>
    <w:p w14:paraId="60ADCE48">
      <w:pPr>
        <w:ind w:firstLine="640" w:firstLineChars="200"/>
        <w:jc w:val="left"/>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lang w:val="zh-CN"/>
        </w:rPr>
        <w:t>2023年度政府采购支出总额5,745.04万元，其中：政府采购货物支出4,917.59万元、政府采购工程支出152.42万元、政府采购服务支出675.02万元。</w:t>
      </w:r>
    </w:p>
    <w:p w14:paraId="384DD54F">
      <w:pPr>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zh-CN"/>
        </w:rPr>
        <w:t>授予中小企业合同金额5,509.54万元，占政府采购支出总额的95.90%，其中：授予小微企业合同金额4,655.25万元，占政府采购支出总额的81.03%</w:t>
      </w:r>
      <w:r>
        <w:rPr>
          <w:rFonts w:hint="default" w:ascii="Times New Roman" w:hAnsi="Times New Roman" w:eastAsia="仿宋" w:cs="Times New Roman"/>
          <w:sz w:val="32"/>
          <w:szCs w:val="32"/>
        </w:rPr>
        <w:t>。</w:t>
      </w:r>
    </w:p>
    <w:p w14:paraId="03D0AA91">
      <w:pPr>
        <w:ind w:firstLine="640" w:firstLineChars="200"/>
        <w:jc w:val="left"/>
        <w:rPr>
          <w:rFonts w:hint="default" w:ascii="Times New Roman" w:hAnsi="Times New Roman" w:eastAsia="黑体" w:cs="Times New Roman"/>
          <w:sz w:val="32"/>
          <w:szCs w:val="30"/>
          <w:lang w:val="zh-CN"/>
        </w:rPr>
      </w:pPr>
      <w:bookmarkStart w:id="39" w:name="_Toc4591"/>
      <w:bookmarkStart w:id="40" w:name="_Toc8391"/>
      <w:r>
        <w:rPr>
          <w:rFonts w:hint="default" w:ascii="Times New Roman" w:hAnsi="Times New Roman" w:eastAsia="黑体" w:cs="Times New Roman"/>
          <w:sz w:val="32"/>
          <w:szCs w:val="30"/>
          <w:lang w:val="zh-CN"/>
        </w:rPr>
        <w:t>（三）国有资产占用情况说明</w:t>
      </w:r>
      <w:bookmarkEnd w:id="39"/>
      <w:bookmarkEnd w:id="40"/>
    </w:p>
    <w:p w14:paraId="2CE53137">
      <w:pPr>
        <w:ind w:firstLine="640" w:firstLineChars="200"/>
        <w:jc w:val="left"/>
        <w:rPr>
          <w:rFonts w:hint="default" w:ascii="Times New Roman" w:hAnsi="Times New Roman" w:eastAsia="仿宋" w:cs="Times New Roman"/>
          <w:sz w:val="32"/>
          <w:szCs w:val="32"/>
          <w:lang w:val="zh-CN"/>
        </w:rPr>
      </w:pPr>
      <w:r>
        <w:rPr>
          <w:rFonts w:hint="default" w:ascii="Times New Roman" w:hAnsi="Times New Roman" w:eastAsia="仿宋" w:cs="Times New Roman"/>
          <w:sz w:val="32"/>
          <w:szCs w:val="32"/>
        </w:rPr>
        <w:t>截至2023</w:t>
      </w:r>
      <w:r>
        <w:rPr>
          <w:rFonts w:hint="default" w:ascii="Times New Roman" w:hAnsi="Times New Roman" w:eastAsia="仿宋" w:cs="Times New Roman"/>
          <w:sz w:val="32"/>
          <w:szCs w:val="32"/>
          <w:lang w:val="zh-CN"/>
        </w:rPr>
        <w:t>年</w:t>
      </w:r>
      <w:r>
        <w:rPr>
          <w:rFonts w:hint="default" w:ascii="Times New Roman" w:hAnsi="Times New Roman" w:eastAsia="仿宋" w:cs="Times New Roman"/>
          <w:sz w:val="32"/>
          <w:szCs w:val="32"/>
        </w:rPr>
        <w:t>12月31日</w:t>
      </w:r>
      <w:r>
        <w:rPr>
          <w:rFonts w:hint="default" w:ascii="Times New Roman" w:hAnsi="Times New Roman" w:eastAsia="仿宋" w:cs="Times New Roman"/>
          <w:sz w:val="32"/>
          <w:szCs w:val="32"/>
          <w:lang w:val="zh-CN"/>
        </w:rPr>
        <w:t>，</w:t>
      </w:r>
      <w:r>
        <w:rPr>
          <w:rFonts w:hint="default" w:ascii="Times New Roman" w:hAnsi="Times New Roman" w:eastAsia="仿宋" w:cs="Times New Roman"/>
          <w:sz w:val="32"/>
          <w:szCs w:val="32"/>
        </w:rPr>
        <w:t>固定资产原值</w:t>
      </w:r>
      <w:r>
        <w:rPr>
          <w:rFonts w:hint="default" w:ascii="Times New Roman" w:hAnsi="Times New Roman" w:eastAsia="仿宋" w:cs="Times New Roman"/>
          <w:sz w:val="32"/>
          <w:szCs w:val="32"/>
          <w:lang w:val="zh-CN"/>
        </w:rPr>
        <w:t>121,049.83</w:t>
      </w:r>
      <w:r>
        <w:rPr>
          <w:rFonts w:hint="default" w:ascii="Times New Roman" w:hAnsi="Times New Roman" w:eastAsia="仿宋" w:cs="Times New Roman"/>
          <w:sz w:val="32"/>
          <w:szCs w:val="32"/>
        </w:rPr>
        <w:t>万元，房</w:t>
      </w:r>
      <w:r>
        <w:rPr>
          <w:rFonts w:hint="default" w:ascii="Times New Roman" w:hAnsi="Times New Roman" w:eastAsia="仿宋" w:cs="Times New Roman"/>
          <w:sz w:val="32"/>
          <w:szCs w:val="32"/>
          <w:lang w:val="zh-CN"/>
        </w:rPr>
        <w:t>屋188600.32平方米，价值77,849.95万元。车辆25辆，价值847.97万元，其中：副部（省）级及以上领导用车0辆、主要</w:t>
      </w:r>
      <w:r>
        <w:rPr>
          <w:rFonts w:hint="default" w:ascii="Times New Roman" w:hAnsi="Times New Roman" w:eastAsia="仿宋" w:cs="Times New Roman"/>
          <w:sz w:val="32"/>
          <w:szCs w:val="32"/>
        </w:rPr>
        <w:t>负责人</w:t>
      </w:r>
      <w:r>
        <w:rPr>
          <w:rFonts w:hint="default" w:ascii="Times New Roman" w:hAnsi="Times New Roman" w:eastAsia="仿宋" w:cs="Times New Roman"/>
          <w:sz w:val="32"/>
          <w:szCs w:val="32"/>
          <w:lang w:val="zh-CN"/>
        </w:rPr>
        <w:t>用车0辆、机要通信用车0辆、应急保障用车0辆、执法执勤用车0辆、特种专业技术用车</w:t>
      </w:r>
      <w:r>
        <w:rPr>
          <w:rFonts w:hint="default" w:ascii="Times New Roman" w:hAnsi="Times New Roman" w:eastAsia="仿宋" w:cs="Times New Roman"/>
          <w:sz w:val="32"/>
          <w:szCs w:val="32"/>
          <w:highlight w:val="none"/>
          <w:lang w:val="zh-CN"/>
        </w:rPr>
        <w:t>1</w:t>
      </w:r>
      <w:r>
        <w:rPr>
          <w:rFonts w:hint="default" w:ascii="Times New Roman" w:hAnsi="Times New Roman" w:eastAsia="仿宋" w:cs="Times New Roman"/>
          <w:sz w:val="32"/>
          <w:szCs w:val="32"/>
          <w:highlight w:val="none"/>
          <w:lang w:val="en-US" w:eastAsia="zh-CN"/>
        </w:rPr>
        <w:t>2</w:t>
      </w:r>
      <w:r>
        <w:rPr>
          <w:rFonts w:hint="default" w:ascii="Times New Roman" w:hAnsi="Times New Roman" w:eastAsia="仿宋" w:cs="Times New Roman"/>
          <w:sz w:val="32"/>
          <w:szCs w:val="32"/>
          <w:highlight w:val="none"/>
          <w:lang w:val="zh-CN"/>
        </w:rPr>
        <w:t>辆、</w:t>
      </w:r>
      <w:r>
        <w:rPr>
          <w:rFonts w:hint="default" w:ascii="Times New Roman" w:hAnsi="Times New Roman" w:eastAsia="仿宋" w:cs="Times New Roman"/>
          <w:sz w:val="32"/>
          <w:szCs w:val="32"/>
          <w:lang w:val="zh-CN"/>
        </w:rPr>
        <w:t>离退休干部</w:t>
      </w:r>
      <w:r>
        <w:rPr>
          <w:rFonts w:hint="default" w:ascii="Times New Roman" w:hAnsi="Times New Roman" w:eastAsia="仿宋" w:cs="Times New Roman"/>
          <w:sz w:val="32"/>
          <w:szCs w:val="32"/>
        </w:rPr>
        <w:t>服务</w:t>
      </w:r>
      <w:r>
        <w:rPr>
          <w:rFonts w:hint="default" w:ascii="Times New Roman" w:hAnsi="Times New Roman" w:eastAsia="仿宋" w:cs="Times New Roman"/>
          <w:sz w:val="32"/>
          <w:szCs w:val="32"/>
          <w:lang w:val="zh-CN"/>
        </w:rPr>
        <w:t>用车0辆、其他用车1</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lang w:val="zh-CN"/>
        </w:rPr>
        <w:t>辆，其他用车主要是：</w:t>
      </w:r>
      <w:r>
        <w:rPr>
          <w:rFonts w:hint="default" w:ascii="Times New Roman" w:hAnsi="Times New Roman" w:eastAsia="仿宋" w:cs="Times New Roman"/>
          <w:sz w:val="32"/>
          <w:szCs w:val="32"/>
        </w:rPr>
        <w:t>轿车、客车、越野车；</w:t>
      </w:r>
      <w:r>
        <w:rPr>
          <w:rFonts w:hint="default" w:ascii="Times New Roman" w:hAnsi="Times New Roman" w:eastAsia="仿宋" w:cs="Times New Roman"/>
          <w:sz w:val="32"/>
          <w:szCs w:val="32"/>
          <w:lang w:val="zh-CN"/>
        </w:rPr>
        <w:t>单价100万元（含）以上设备（不含车辆）65</w:t>
      </w:r>
      <w:r>
        <w:rPr>
          <w:rFonts w:hint="default" w:ascii="Times New Roman" w:hAnsi="Times New Roman" w:eastAsia="仿宋" w:cs="Times New Roman"/>
          <w:sz w:val="32"/>
          <w:szCs w:val="32"/>
        </w:rPr>
        <w:t>台（</w:t>
      </w:r>
      <w:r>
        <w:rPr>
          <w:rFonts w:hint="default" w:ascii="Times New Roman" w:hAnsi="Times New Roman" w:eastAsia="仿宋" w:cs="Times New Roman"/>
          <w:sz w:val="32"/>
          <w:szCs w:val="32"/>
          <w:lang w:val="zh-CN"/>
        </w:rPr>
        <w:t>套）。</w:t>
      </w:r>
    </w:p>
    <w:p w14:paraId="02C0856C">
      <w:pPr>
        <w:ind w:firstLine="640" w:firstLineChars="200"/>
        <w:jc w:val="left"/>
        <w:outlineLvl w:val="1"/>
        <w:rPr>
          <w:rFonts w:hint="default" w:ascii="Times New Roman" w:hAnsi="Times New Roman" w:eastAsia="黑体" w:cs="Times New Roman"/>
          <w:bCs/>
          <w:kern w:val="0"/>
          <w:sz w:val="32"/>
          <w:szCs w:val="32"/>
        </w:rPr>
      </w:pPr>
      <w:bookmarkStart w:id="41" w:name="_Toc11283"/>
      <w:bookmarkStart w:id="42" w:name="_Toc435"/>
      <w:r>
        <w:rPr>
          <w:rFonts w:hint="default" w:ascii="Times New Roman" w:hAnsi="Times New Roman" w:eastAsia="黑体" w:cs="Times New Roman"/>
          <w:bCs/>
          <w:kern w:val="0"/>
          <w:sz w:val="32"/>
          <w:szCs w:val="32"/>
        </w:rPr>
        <w:t>十一、预算绩效的情况说明</w:t>
      </w:r>
      <w:bookmarkEnd w:id="41"/>
      <w:bookmarkEnd w:id="42"/>
    </w:p>
    <w:p w14:paraId="74C55011">
      <w:pPr>
        <w:ind w:firstLine="640" w:firstLineChars="200"/>
        <w:jc w:val="left"/>
        <w:rPr>
          <w:rFonts w:hint="default" w:ascii="Times New Roman" w:hAnsi="Times New Roman" w:eastAsia="仿宋" w:cs="Times New Roman"/>
          <w:sz w:val="32"/>
          <w:szCs w:val="32"/>
        </w:rPr>
      </w:pPr>
      <w:bookmarkStart w:id="43" w:name="OLE_LINK5"/>
      <w:r>
        <w:rPr>
          <w:rFonts w:hint="default" w:ascii="Times New Roman" w:hAnsi="Times New Roman" w:eastAsia="仿宋" w:cs="Times New Roman"/>
          <w:sz w:val="32"/>
          <w:szCs w:val="32"/>
        </w:rPr>
        <w:t>根据预算绩效管理要求，</w:t>
      </w:r>
      <w:bookmarkStart w:id="44" w:name="OLE_LINK7"/>
      <w:r>
        <w:rPr>
          <w:rFonts w:hint="default" w:ascii="Times New Roman" w:hAnsi="Times New Roman" w:eastAsia="仿宋" w:cs="Times New Roman"/>
          <w:sz w:val="32"/>
          <w:szCs w:val="32"/>
        </w:rPr>
        <w:t>我单位2023年</w:t>
      </w:r>
      <w:r>
        <w:rPr>
          <w:rFonts w:hint="default" w:ascii="Times New Roman" w:hAnsi="Times New Roman" w:eastAsia="仿宋" w:cs="Times New Roman"/>
          <w:sz w:val="32"/>
          <w:szCs w:val="32"/>
          <w:lang w:val="en-US" w:eastAsia="zh-CN"/>
        </w:rPr>
        <w:t>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bookmarkEnd w:id="44"/>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我单位整体支出绩效自评表由主管部门编报并公开。</w:t>
      </w:r>
      <w:r>
        <w:rPr>
          <w:rFonts w:hint="default" w:ascii="Times New Roman" w:hAnsi="Times New Roman" w:eastAsia="仿宋" w:cs="Times New Roman"/>
          <w:sz w:val="32"/>
          <w:szCs w:val="32"/>
        </w:rPr>
        <w:t>预算绩效评价项目</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个，全年预算数69243.03万元，全年执行数68534.59万元。</w:t>
      </w:r>
      <w:bookmarkEnd w:id="43"/>
      <w:r>
        <w:rPr>
          <w:rFonts w:hint="default" w:ascii="Times New Roman" w:hAnsi="Times New Roman" w:eastAsia="仿宋" w:cs="Times New Roman"/>
          <w:sz w:val="32"/>
          <w:szCs w:val="32"/>
        </w:rPr>
        <w:t>预算绩效管理取得的成效：一是实行项目库管理和预算管理信息化，使得预算编制、执行、控制各环节更加严谨畅通，有效提升了预算资金安排与监控的精准性</w:t>
      </w:r>
      <w:r>
        <w:rPr>
          <w:rFonts w:hint="eastAsia" w:eastAsia="仿宋" w:cs="Times New Roman"/>
          <w:sz w:val="32"/>
          <w:szCs w:val="32"/>
          <w:lang w:eastAsia="zh-CN"/>
        </w:rPr>
        <w:t>；</w:t>
      </w:r>
      <w:r>
        <w:rPr>
          <w:rFonts w:hint="default" w:ascii="Times New Roman" w:hAnsi="Times New Roman" w:eastAsia="仿宋" w:cs="Times New Roman"/>
          <w:sz w:val="32"/>
          <w:szCs w:val="32"/>
        </w:rPr>
        <w:t>二是严格坚持先做事、后验收、再拨付的原则，杜绝了资金被挤占和挪用现象的发生，</w:t>
      </w:r>
      <w:r>
        <w:rPr>
          <w:rFonts w:hint="default" w:ascii="Times New Roman" w:hAnsi="Times New Roman" w:eastAsia="仿宋" w:cs="Times New Roman"/>
          <w:sz w:val="32"/>
          <w:szCs w:val="32"/>
          <w:lang w:val="en-US" w:eastAsia="zh-CN"/>
        </w:rPr>
        <w:t>发挥财务</w:t>
      </w:r>
      <w:r>
        <w:rPr>
          <w:rFonts w:hint="default" w:ascii="Times New Roman" w:hAnsi="Times New Roman" w:eastAsia="仿宋" w:cs="Times New Roman"/>
          <w:sz w:val="32"/>
          <w:szCs w:val="32"/>
        </w:rPr>
        <w:t>、纪检</w:t>
      </w:r>
      <w:r>
        <w:rPr>
          <w:rFonts w:hint="default" w:ascii="Times New Roman" w:hAnsi="Times New Roman" w:eastAsia="仿宋" w:cs="Times New Roman"/>
          <w:sz w:val="32"/>
          <w:szCs w:val="32"/>
          <w:lang w:val="en-US" w:eastAsia="zh-CN"/>
        </w:rPr>
        <w:t>和审计监督</w:t>
      </w:r>
      <w:r>
        <w:rPr>
          <w:rFonts w:hint="default" w:ascii="Times New Roman" w:hAnsi="Times New Roman" w:eastAsia="仿宋" w:cs="Times New Roman"/>
          <w:sz w:val="32"/>
          <w:szCs w:val="32"/>
        </w:rPr>
        <w:t>职能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实行关口前移，从事后监督管理转向事前审核，事中监督和事后检查稽核相结合的监督制度上来，形成多环节全过程的监督管理格局，尽量早发现问题，早解决问题。发现的问题及原因：</w:t>
      </w:r>
      <w:bookmarkStart w:id="45" w:name="OLE_LINK11"/>
      <w:r>
        <w:rPr>
          <w:rFonts w:hint="eastAsia" w:eastAsia="仿宋" w:cs="Times New Roman"/>
          <w:sz w:val="32"/>
          <w:szCs w:val="32"/>
          <w:lang w:val="en-US" w:eastAsia="zh-CN"/>
        </w:rPr>
        <w:t>一是</w:t>
      </w:r>
      <w:r>
        <w:rPr>
          <w:rFonts w:hint="default" w:ascii="Times New Roman" w:hAnsi="Times New Roman" w:eastAsia="仿宋" w:cs="Times New Roman"/>
          <w:sz w:val="32"/>
          <w:szCs w:val="32"/>
          <w:lang w:val="en-US" w:eastAsia="zh-CN"/>
        </w:rPr>
        <w:t>自治区2023年第一批疫情防控补助资金（自治区本级医疗机构重症床位设备配置经费）项目自评得分100分，经绩效评价中心审核后，扣11.63分，实际得分88.37分</w:t>
      </w:r>
      <w:bookmarkEnd w:id="45"/>
      <w:r>
        <w:rPr>
          <w:rFonts w:hint="eastAsia" w:eastAsia="仿宋" w:cs="Times New Roman"/>
          <w:sz w:val="32"/>
          <w:szCs w:val="32"/>
          <w:lang w:val="en-US" w:eastAsia="zh-CN"/>
        </w:rPr>
        <w:t>，</w:t>
      </w:r>
      <w:r>
        <w:rPr>
          <w:rFonts w:hint="default" w:ascii="Times New Roman" w:hAnsi="Times New Roman" w:eastAsia="仿宋" w:cs="Times New Roman"/>
          <w:sz w:val="32"/>
          <w:szCs w:val="32"/>
          <w:lang w:val="en-US" w:eastAsia="zh-CN"/>
        </w:rPr>
        <w:t>主要原因为对数量指标和成本效益指标考核的标准内涵理解的不够深入</w:t>
      </w:r>
      <w:r>
        <w:rPr>
          <w:rFonts w:hint="eastAsia" w:eastAsia="仿宋" w:cs="Times New Roman"/>
          <w:sz w:val="32"/>
          <w:szCs w:val="32"/>
          <w:lang w:val="en-US" w:eastAsia="zh-CN"/>
        </w:rPr>
        <w:t>；二是</w:t>
      </w:r>
      <w:r>
        <w:rPr>
          <w:rFonts w:hint="default" w:ascii="Times New Roman" w:hAnsi="Times New Roman" w:eastAsia="仿宋" w:cs="Times New Roman"/>
          <w:sz w:val="32"/>
          <w:szCs w:val="32"/>
          <w:lang w:val="en-US" w:eastAsia="zh-CN"/>
        </w:rPr>
        <w:t>政府采购项目绩效总体达到优秀，94.95分</w:t>
      </w:r>
      <w:r>
        <w:rPr>
          <w:rFonts w:hint="eastAsia" w:eastAsia="仿宋" w:cs="Times New Roman"/>
          <w:sz w:val="32"/>
          <w:szCs w:val="32"/>
          <w:lang w:val="en-US" w:eastAsia="zh-CN"/>
        </w:rPr>
        <w:t>，</w:t>
      </w:r>
      <w:r>
        <w:rPr>
          <w:rFonts w:hint="default" w:ascii="Times New Roman" w:hAnsi="Times New Roman" w:eastAsia="仿宋" w:cs="Times New Roman"/>
          <w:sz w:val="32"/>
          <w:szCs w:val="32"/>
          <w:lang w:val="en-US" w:eastAsia="zh-CN"/>
        </w:rPr>
        <w:t>其中：预算执行率为79.81%，没有达到良好。</w:t>
      </w:r>
      <w:r>
        <w:rPr>
          <w:rFonts w:hint="default" w:ascii="Times New Roman" w:hAnsi="Times New Roman" w:eastAsia="仿宋" w:cs="Times New Roman"/>
          <w:sz w:val="32"/>
          <w:szCs w:val="32"/>
        </w:rPr>
        <w:t>主要原因为政府采购项目指标具有双重性质，要满足采购需求同时要满足支出需求，在编制预算过程中按照两者较大数据申报预算，导致该项目预算执行率不高。下一步改进措施：一是进一步加强对绩效管理工作的组织领导，提高对预算绩效管理工作重要性的认识，总结经验查找问题，研究制定医院院内的绩效评价管理</w:t>
      </w:r>
      <w:r>
        <w:rPr>
          <w:rFonts w:hint="default" w:ascii="Times New Roman" w:hAnsi="Times New Roman" w:eastAsia="仿宋" w:cs="Times New Roman"/>
          <w:sz w:val="32"/>
          <w:szCs w:val="28"/>
        </w:rPr>
        <w:t>办法</w:t>
      </w:r>
      <w:r>
        <w:rPr>
          <w:rFonts w:hint="default" w:ascii="Times New Roman" w:hAnsi="Times New Roman" w:eastAsia="仿宋" w:cs="Times New Roman"/>
          <w:sz w:val="32"/>
          <w:szCs w:val="32"/>
        </w:rPr>
        <w:t>；二是</w:t>
      </w:r>
      <w:r>
        <w:rPr>
          <w:rFonts w:hint="default" w:ascii="Times New Roman" w:hAnsi="Times New Roman" w:eastAsia="仿宋" w:cs="Times New Roman"/>
          <w:sz w:val="32"/>
          <w:szCs w:val="28"/>
        </w:rPr>
        <w:t>加大对全面实施预算绩效管理和绩效管理工作的学习力度，让“花钱必问效，无效必问责”的理念深入工作每个环节</w:t>
      </w:r>
      <w:r>
        <w:rPr>
          <w:rFonts w:hint="default" w:ascii="Times New Roman" w:hAnsi="Times New Roman" w:eastAsia="仿宋" w:cs="Times New Roman"/>
          <w:sz w:val="32"/>
          <w:szCs w:val="32"/>
        </w:rPr>
        <w:t>。具体项目自评情况附绩效自评表及自评报告。</w:t>
      </w:r>
    </w:p>
    <w:p w14:paraId="2CC11372">
      <w:pPr>
        <w:ind w:firstLine="640" w:firstLineChars="200"/>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十二、其他需说明的事项</w:t>
      </w:r>
    </w:p>
    <w:p w14:paraId="32E223B9">
      <w:pPr>
        <w:ind w:firstLine="640" w:firstLineChars="200"/>
        <w:jc w:val="left"/>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本单位无其他需说明事项。</w:t>
      </w:r>
    </w:p>
    <w:p w14:paraId="21509C2B">
      <w:pPr>
        <w:jc w:val="center"/>
        <w:outlineLvl w:val="0"/>
        <w:rPr>
          <w:rFonts w:hint="default" w:ascii="Times New Roman" w:hAnsi="Times New Roman" w:eastAsia="黑体" w:cs="Times New Roman"/>
          <w:sz w:val="32"/>
          <w:szCs w:val="32"/>
        </w:rPr>
      </w:pPr>
      <w:bookmarkStart w:id="46" w:name="_Toc24143"/>
      <w:bookmarkStart w:id="47" w:name="_Toc3250"/>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第三部分 专业名词解释</w:t>
      </w:r>
      <w:bookmarkEnd w:id="46"/>
      <w:bookmarkEnd w:id="47"/>
    </w:p>
    <w:p w14:paraId="5F2C1049">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一、财政拨款收入：</w:t>
      </w:r>
      <w:r>
        <w:rPr>
          <w:rFonts w:hint="default" w:ascii="Times New Roman" w:hAnsi="Times New Roman" w:eastAsia="仿宋" w:cs="Times New Roman"/>
          <w:sz w:val="32"/>
          <w:szCs w:val="32"/>
        </w:rPr>
        <w:t>指同级财政当年拨付的资金。</w:t>
      </w:r>
    </w:p>
    <w:p w14:paraId="55C54AE3">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二、上级补助收入：</w:t>
      </w:r>
      <w:r>
        <w:rPr>
          <w:rFonts w:hint="default" w:ascii="Times New Roman" w:hAnsi="Times New Roman" w:eastAsia="仿宋" w:cs="Times New Roman"/>
          <w:sz w:val="32"/>
          <w:szCs w:val="32"/>
        </w:rPr>
        <w:t>指事业单位从主管部门和上级单位取得的非财政补助收入。</w:t>
      </w:r>
    </w:p>
    <w:p w14:paraId="791103AC">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三、事业收入：</w:t>
      </w:r>
      <w:r>
        <w:rPr>
          <w:rFonts w:hint="default" w:ascii="Times New Roman" w:hAnsi="Times New Roman" w:eastAsia="仿宋" w:cs="Times New Roman"/>
          <w:sz w:val="32"/>
          <w:szCs w:val="32"/>
        </w:rPr>
        <w:t>指事业单位开展专业业务活动及其辅助活动所取得的收入。</w:t>
      </w:r>
    </w:p>
    <w:p w14:paraId="3857999C">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四、经营收入：</w:t>
      </w:r>
      <w:r>
        <w:rPr>
          <w:rFonts w:hint="default" w:ascii="Times New Roman" w:hAnsi="Times New Roman" w:eastAsia="仿宋" w:cs="Times New Roman"/>
          <w:sz w:val="32"/>
          <w:szCs w:val="32"/>
        </w:rPr>
        <w:t>指事业单位在专业业务活动及其辅助活动之外开展非独立核算经营活动取得的收入。</w:t>
      </w:r>
    </w:p>
    <w:p w14:paraId="5AEEC086">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五、附属单位上缴收入：</w:t>
      </w:r>
      <w:r>
        <w:rPr>
          <w:rFonts w:hint="default" w:ascii="Times New Roman" w:hAnsi="Times New Roman" w:eastAsia="仿宋" w:cs="Times New Roman"/>
          <w:sz w:val="32"/>
          <w:szCs w:val="32"/>
        </w:rPr>
        <w:t>指事业单位附属的独立核算单位按有关规定上缴的收入。</w:t>
      </w:r>
    </w:p>
    <w:p w14:paraId="0FC7745A">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六、其他收入：</w:t>
      </w:r>
      <w:r>
        <w:rPr>
          <w:rFonts w:hint="default" w:ascii="Times New Roman" w:hAnsi="Times New Roman" w:eastAsia="仿宋" w:cs="Times New Roman"/>
          <w:sz w:val="32"/>
          <w:szCs w:val="32"/>
        </w:rPr>
        <w:t>指除上述“财政拨款收入”、“事业收入”、“经营收入”、“附属单位上缴收入”等之外取得的收入。</w:t>
      </w:r>
    </w:p>
    <w:p w14:paraId="2729B3B0">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七、年初结转和结余：</w:t>
      </w:r>
      <w:r>
        <w:rPr>
          <w:rFonts w:hint="default" w:ascii="Times New Roman" w:hAnsi="Times New Roman" w:eastAsia="仿宋" w:cs="Times New Roman"/>
          <w:sz w:val="32"/>
          <w:szCs w:val="32"/>
        </w:rPr>
        <w:t>指以前年度支出预算因客观条件变化未执行完毕、结转到本年度按有关规定继续使用的资金，既包括财政拨款结转和结余，也包括事业收入、经营收入、其他收入的结转和结余。</w:t>
      </w:r>
    </w:p>
    <w:p w14:paraId="3AC71F30">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八、年末结转和结余：</w:t>
      </w:r>
      <w:r>
        <w:rPr>
          <w:rFonts w:hint="default" w:ascii="Times New Roman" w:hAnsi="Times New Roman" w:eastAsia="仿宋" w:cs="Times New Roman"/>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19C8CD">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九、基本支出：</w:t>
      </w:r>
      <w:r>
        <w:rPr>
          <w:rFonts w:hint="default" w:ascii="Times New Roman" w:hAnsi="Times New Roman" w:eastAsia="仿宋" w:cs="Times New Roman"/>
          <w:sz w:val="32"/>
          <w:szCs w:val="32"/>
        </w:rPr>
        <w:t>指为保障机构正常运转、完成日常工作任务而发生的人员支出和公用支出。</w:t>
      </w:r>
    </w:p>
    <w:p w14:paraId="06FBE497">
      <w:pPr>
        <w:autoSpaceDE w:val="0"/>
        <w:autoSpaceDN w:val="0"/>
        <w:ind w:firstLine="643"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十、项目支出：</w:t>
      </w:r>
      <w:r>
        <w:rPr>
          <w:rFonts w:hint="default" w:ascii="Times New Roman" w:hAnsi="Times New Roman" w:eastAsia="仿宋" w:cs="Times New Roman"/>
          <w:sz w:val="32"/>
          <w:szCs w:val="32"/>
        </w:rPr>
        <w:t>指在基本支出之外为完成特定行政任务和事业发展目标所发生的支出。</w:t>
      </w:r>
    </w:p>
    <w:p w14:paraId="772B3F00">
      <w:pPr>
        <w:autoSpaceDE w:val="0"/>
        <w:autoSpaceDN w:val="0"/>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十一、经营支出：</w:t>
      </w:r>
      <w:r>
        <w:rPr>
          <w:rFonts w:hint="default" w:ascii="Times New Roman" w:hAnsi="Times New Roman" w:eastAsia="仿宋" w:cs="Times New Roman"/>
          <w:sz w:val="32"/>
          <w:szCs w:val="32"/>
        </w:rPr>
        <w:t>指事业单位在专业业务活动及其辅助活动之外开展非独立核算经营活动发生的支出。</w:t>
      </w:r>
    </w:p>
    <w:p w14:paraId="6563A5B1">
      <w:pPr>
        <w:autoSpaceDE w:val="0"/>
        <w:autoSpaceDN w:val="0"/>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十二、对附属单位补助支出：</w:t>
      </w:r>
      <w:r>
        <w:rPr>
          <w:rFonts w:hint="default" w:ascii="Times New Roman" w:hAnsi="Times New Roman" w:eastAsia="仿宋" w:cs="Times New Roman"/>
          <w:sz w:val="32"/>
          <w:szCs w:val="32"/>
        </w:rPr>
        <w:t>指事业单位发生的用非财政预算资金对附属单位的补助支出。</w:t>
      </w:r>
    </w:p>
    <w:p w14:paraId="65F268E6">
      <w:pPr>
        <w:autoSpaceDE w:val="0"/>
        <w:autoSpaceDN w:val="0"/>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十三、“三公”经费：</w:t>
      </w:r>
      <w:r>
        <w:rPr>
          <w:rFonts w:hint="default" w:ascii="Times New Roman" w:hAnsi="Times New Roman" w:eastAsia="仿宋" w:cs="Times New Roman"/>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C6421D">
      <w:pPr>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十四、机关运行经费：</w:t>
      </w:r>
      <w:r>
        <w:rPr>
          <w:rFonts w:hint="default" w:ascii="Times New Roman" w:hAnsi="Times New Roman" w:eastAsia="仿宋" w:cs="Times New Roman"/>
          <w:sz w:val="32"/>
          <w:szCs w:val="32"/>
        </w:rPr>
        <w:t>行政单位和参照公务员法管理的事业单位财政拨款基本支出中的公用经费支出。</w:t>
      </w:r>
    </w:p>
    <w:p w14:paraId="64FF996E">
      <w:pPr>
        <w:ind w:firstLine="640" w:firstLineChars="200"/>
        <w:jc w:val="center"/>
        <w:outlineLvl w:val="0"/>
        <w:rPr>
          <w:rFonts w:hint="default" w:ascii="Times New Roman" w:hAnsi="Times New Roman" w:eastAsia="黑体" w:cs="Times New Roman"/>
          <w:sz w:val="32"/>
          <w:szCs w:val="32"/>
        </w:rPr>
      </w:pPr>
      <w:r>
        <w:rPr>
          <w:rFonts w:hint="default" w:ascii="Times New Roman" w:hAnsi="Times New Roman" w:eastAsia="仿宋" w:cs="Times New Roman"/>
          <w:sz w:val="32"/>
          <w:szCs w:val="32"/>
        </w:rPr>
        <w:br w:type="page"/>
      </w:r>
      <w:r>
        <w:rPr>
          <w:rFonts w:hint="default" w:ascii="Times New Roman" w:hAnsi="Times New Roman" w:eastAsia="黑体" w:cs="Times New Roman"/>
          <w:sz w:val="32"/>
          <w:szCs w:val="32"/>
        </w:rPr>
        <w:t>第四部分 部门决算报表（见附表）</w:t>
      </w:r>
    </w:p>
    <w:p w14:paraId="2624926A">
      <w:pPr>
        <w:ind w:firstLine="640" w:firstLineChars="200"/>
        <w:outlineLvl w:val="1"/>
        <w:rPr>
          <w:rFonts w:hint="default" w:ascii="Times New Roman" w:hAnsi="Times New Roman" w:eastAsia="仿宋" w:cs="Times New Roman"/>
          <w:bCs/>
          <w:kern w:val="0"/>
          <w:sz w:val="32"/>
          <w:szCs w:val="32"/>
        </w:rPr>
      </w:pPr>
      <w:bookmarkStart w:id="48" w:name="_Toc6062"/>
      <w:bookmarkStart w:id="49" w:name="_Toc2183"/>
      <w:r>
        <w:rPr>
          <w:rFonts w:hint="default" w:ascii="Times New Roman" w:hAnsi="Times New Roman" w:eastAsia="仿宋" w:cs="Times New Roman"/>
          <w:bCs/>
          <w:kern w:val="0"/>
          <w:sz w:val="32"/>
          <w:szCs w:val="32"/>
        </w:rPr>
        <w:t>一、《收入支出决算总表》</w:t>
      </w:r>
      <w:bookmarkEnd w:id="48"/>
      <w:bookmarkEnd w:id="49"/>
    </w:p>
    <w:p w14:paraId="35A7D885">
      <w:pPr>
        <w:ind w:firstLine="640" w:firstLineChars="200"/>
        <w:outlineLvl w:val="1"/>
        <w:rPr>
          <w:rFonts w:hint="default" w:ascii="Times New Roman" w:hAnsi="Times New Roman" w:eastAsia="仿宋" w:cs="Times New Roman"/>
          <w:bCs/>
          <w:kern w:val="0"/>
          <w:sz w:val="32"/>
          <w:szCs w:val="32"/>
        </w:rPr>
      </w:pPr>
      <w:bookmarkStart w:id="50" w:name="_Toc30364"/>
      <w:bookmarkStart w:id="51" w:name="_Toc24532"/>
      <w:r>
        <w:rPr>
          <w:rFonts w:hint="default" w:ascii="Times New Roman" w:hAnsi="Times New Roman" w:eastAsia="仿宋" w:cs="Times New Roman"/>
          <w:bCs/>
          <w:kern w:val="0"/>
          <w:sz w:val="32"/>
          <w:szCs w:val="32"/>
        </w:rPr>
        <w:t>二、《收入决算表》</w:t>
      </w:r>
      <w:bookmarkEnd w:id="50"/>
      <w:bookmarkEnd w:id="51"/>
    </w:p>
    <w:p w14:paraId="1FFBD735">
      <w:pPr>
        <w:ind w:firstLine="640" w:firstLineChars="200"/>
        <w:outlineLvl w:val="1"/>
        <w:rPr>
          <w:rFonts w:hint="default" w:ascii="Times New Roman" w:hAnsi="Times New Roman" w:eastAsia="仿宋" w:cs="Times New Roman"/>
          <w:bCs/>
          <w:kern w:val="0"/>
          <w:sz w:val="32"/>
          <w:szCs w:val="32"/>
        </w:rPr>
      </w:pPr>
      <w:bookmarkStart w:id="52" w:name="_Toc32434"/>
      <w:bookmarkStart w:id="53" w:name="_Toc21304"/>
      <w:r>
        <w:rPr>
          <w:rFonts w:hint="default" w:ascii="Times New Roman" w:hAnsi="Times New Roman" w:eastAsia="仿宋" w:cs="Times New Roman"/>
          <w:bCs/>
          <w:kern w:val="0"/>
          <w:sz w:val="32"/>
          <w:szCs w:val="32"/>
        </w:rPr>
        <w:t>三、《支出决算表》</w:t>
      </w:r>
      <w:bookmarkEnd w:id="52"/>
      <w:bookmarkEnd w:id="53"/>
    </w:p>
    <w:p w14:paraId="0DBA783C">
      <w:pPr>
        <w:ind w:firstLine="640" w:firstLineChars="200"/>
        <w:outlineLvl w:val="1"/>
        <w:rPr>
          <w:rFonts w:hint="default" w:ascii="Times New Roman" w:hAnsi="Times New Roman" w:eastAsia="仿宋" w:cs="Times New Roman"/>
          <w:bCs/>
          <w:kern w:val="0"/>
          <w:sz w:val="32"/>
          <w:szCs w:val="32"/>
        </w:rPr>
      </w:pPr>
      <w:bookmarkStart w:id="54" w:name="_Toc28786"/>
      <w:bookmarkStart w:id="55" w:name="_Toc14238"/>
      <w:r>
        <w:rPr>
          <w:rFonts w:hint="default" w:ascii="Times New Roman" w:hAnsi="Times New Roman" w:eastAsia="仿宋" w:cs="Times New Roman"/>
          <w:bCs/>
          <w:kern w:val="0"/>
          <w:sz w:val="32"/>
          <w:szCs w:val="32"/>
        </w:rPr>
        <w:t>四、《财政拨款收入支出决算总表》</w:t>
      </w:r>
      <w:bookmarkEnd w:id="54"/>
      <w:bookmarkEnd w:id="55"/>
    </w:p>
    <w:p w14:paraId="7B5AC698">
      <w:pPr>
        <w:ind w:firstLine="640" w:firstLineChars="200"/>
        <w:outlineLvl w:val="1"/>
        <w:rPr>
          <w:rFonts w:hint="default" w:ascii="Times New Roman" w:hAnsi="Times New Roman" w:eastAsia="仿宋" w:cs="Times New Roman"/>
          <w:bCs/>
          <w:kern w:val="0"/>
          <w:sz w:val="32"/>
          <w:szCs w:val="32"/>
        </w:rPr>
      </w:pPr>
      <w:bookmarkStart w:id="56" w:name="_Toc14869"/>
      <w:bookmarkStart w:id="57" w:name="_Toc10347"/>
      <w:r>
        <w:rPr>
          <w:rFonts w:hint="default" w:ascii="Times New Roman" w:hAnsi="Times New Roman" w:eastAsia="仿宋" w:cs="Times New Roman"/>
          <w:bCs/>
          <w:kern w:val="0"/>
          <w:sz w:val="32"/>
          <w:szCs w:val="32"/>
        </w:rPr>
        <w:t>五、《一般公共预算财政拨款支出决算表》</w:t>
      </w:r>
      <w:bookmarkEnd w:id="56"/>
      <w:bookmarkEnd w:id="57"/>
    </w:p>
    <w:p w14:paraId="0285874D">
      <w:pPr>
        <w:ind w:firstLine="640" w:firstLineChars="200"/>
        <w:outlineLvl w:val="1"/>
        <w:rPr>
          <w:rFonts w:hint="default" w:ascii="Times New Roman" w:hAnsi="Times New Roman" w:eastAsia="仿宋" w:cs="Times New Roman"/>
          <w:bCs/>
          <w:kern w:val="0"/>
          <w:sz w:val="32"/>
          <w:szCs w:val="32"/>
        </w:rPr>
      </w:pPr>
      <w:bookmarkStart w:id="58" w:name="_Toc8884"/>
      <w:bookmarkStart w:id="59" w:name="_Toc5626"/>
      <w:r>
        <w:rPr>
          <w:rFonts w:hint="default" w:ascii="Times New Roman" w:hAnsi="Times New Roman" w:eastAsia="仿宋" w:cs="Times New Roman"/>
          <w:bCs/>
          <w:kern w:val="0"/>
          <w:sz w:val="32"/>
          <w:szCs w:val="32"/>
        </w:rPr>
        <w:t>六、《一般公共预算财政拨款基本支出决算表》</w:t>
      </w:r>
      <w:bookmarkEnd w:id="58"/>
      <w:bookmarkEnd w:id="59"/>
    </w:p>
    <w:p w14:paraId="17EB8E4A">
      <w:pPr>
        <w:ind w:firstLine="640" w:firstLineChars="200"/>
        <w:outlineLvl w:val="1"/>
        <w:rPr>
          <w:rFonts w:hint="default" w:ascii="Times New Roman" w:hAnsi="Times New Roman" w:eastAsia="仿宋" w:cs="Times New Roman"/>
          <w:bCs/>
          <w:kern w:val="0"/>
          <w:sz w:val="32"/>
          <w:szCs w:val="32"/>
        </w:rPr>
      </w:pPr>
      <w:r>
        <w:rPr>
          <w:rFonts w:hint="default" w:ascii="Times New Roman" w:hAnsi="Times New Roman" w:eastAsia="仿宋" w:cs="Times New Roman"/>
          <w:bCs/>
          <w:kern w:val="0"/>
          <w:sz w:val="32"/>
          <w:szCs w:val="32"/>
        </w:rPr>
        <w:t>七、</w:t>
      </w:r>
      <w:bookmarkStart w:id="60" w:name="_Toc29106"/>
      <w:bookmarkStart w:id="61" w:name="_Toc32663"/>
      <w:r>
        <w:rPr>
          <w:rFonts w:hint="default" w:ascii="Times New Roman" w:hAnsi="Times New Roman" w:eastAsia="仿宋" w:cs="Times New Roman"/>
          <w:bCs/>
          <w:kern w:val="0"/>
          <w:sz w:val="32"/>
          <w:szCs w:val="32"/>
        </w:rPr>
        <w:t>《财政拨款“三公”经费支出决算表》</w:t>
      </w:r>
      <w:bookmarkEnd w:id="60"/>
      <w:bookmarkEnd w:id="61"/>
    </w:p>
    <w:p w14:paraId="1CDF451E">
      <w:pPr>
        <w:ind w:firstLine="640" w:firstLineChars="200"/>
        <w:outlineLvl w:val="1"/>
        <w:rPr>
          <w:rFonts w:hint="default" w:ascii="Times New Roman" w:hAnsi="Times New Roman" w:eastAsia="仿宋" w:cs="Times New Roman"/>
          <w:bCs/>
          <w:kern w:val="0"/>
          <w:sz w:val="32"/>
          <w:szCs w:val="32"/>
        </w:rPr>
      </w:pPr>
      <w:bookmarkStart w:id="62" w:name="_Toc5453"/>
      <w:bookmarkStart w:id="63" w:name="_Toc7643"/>
      <w:r>
        <w:rPr>
          <w:rFonts w:hint="default" w:ascii="Times New Roman" w:hAnsi="Times New Roman" w:eastAsia="仿宋" w:cs="Times New Roman"/>
          <w:bCs/>
          <w:kern w:val="0"/>
          <w:sz w:val="32"/>
          <w:szCs w:val="32"/>
        </w:rPr>
        <w:t>八、《政府性基金预算财政拨款收入支出决算表》</w:t>
      </w:r>
      <w:bookmarkEnd w:id="62"/>
      <w:bookmarkEnd w:id="63"/>
    </w:p>
    <w:p w14:paraId="203500AB">
      <w:pPr>
        <w:ind w:firstLine="640" w:firstLineChars="200"/>
        <w:outlineLvl w:val="1"/>
        <w:rPr>
          <w:rFonts w:hint="default" w:ascii="Times New Roman" w:hAnsi="Times New Roman" w:eastAsia="仿宋" w:cs="Times New Roman"/>
          <w:bCs/>
          <w:kern w:val="0"/>
          <w:sz w:val="32"/>
          <w:szCs w:val="32"/>
        </w:rPr>
      </w:pPr>
      <w:r>
        <w:rPr>
          <w:rFonts w:hint="default" w:ascii="Times New Roman" w:hAnsi="Times New Roman" w:eastAsia="仿宋" w:cs="Times New Roman"/>
          <w:bCs/>
          <w:kern w:val="0"/>
          <w:sz w:val="32"/>
          <w:szCs w:val="32"/>
        </w:rPr>
        <w:t>九、《国有资本经营预算财政拨款收入支出决算表》</w:t>
      </w:r>
    </w:p>
    <w:p w14:paraId="5A490080">
      <w:pPr>
        <w:ind w:firstLine="640" w:firstLineChars="200"/>
        <w:rPr>
          <w:rFonts w:hint="default" w:ascii="Times New Roman" w:hAnsi="Times New Roman" w:eastAsia="仿宋" w:cs="Times New Roman"/>
          <w:sz w:val="32"/>
          <w:szCs w:val="32"/>
        </w:rPr>
      </w:pPr>
    </w:p>
    <w:bookmarkEnd w:id="0"/>
    <w:p w14:paraId="16CF5F80">
      <w:pPr>
        <w:ind w:firstLine="640" w:firstLineChars="200"/>
        <w:outlineLvl w:val="1"/>
        <w:rPr>
          <w:rFonts w:hint="default" w:ascii="Times New Roman" w:hAnsi="Times New Roman" w:eastAsia="黑体" w:cs="Times New Roman"/>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4E3336-11C5-4ECC-ACB8-48C958D1DFA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EFC440A-5835-4866-AFD9-012DE73514AB}"/>
  </w:font>
  <w:font w:name="仿宋_GB2312">
    <w:panose1 w:val="02010609030101010101"/>
    <w:charset w:val="86"/>
    <w:family w:val="modern"/>
    <w:pitch w:val="default"/>
    <w:sig w:usb0="00000001" w:usb1="080E0000" w:usb2="00000000" w:usb3="00000000" w:csb0="00040000" w:csb1="00000000"/>
    <w:embedRegular r:id="rId3" w:fontKey="{23A36A5A-93A1-44C9-82AD-725E7F10F956}"/>
  </w:font>
  <w:font w:name="仿宋">
    <w:panose1 w:val="02010609060101010101"/>
    <w:charset w:val="86"/>
    <w:family w:val="modern"/>
    <w:pitch w:val="default"/>
    <w:sig w:usb0="800002BF" w:usb1="38CF7CFA" w:usb2="00000016" w:usb3="00000000" w:csb0="00040001" w:csb1="00000000"/>
    <w:embedRegular r:id="rId4" w:fontKey="{39442979-841C-4D27-80F3-58375A104CF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8162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653BEB">
                          <w:pPr>
                            <w:pStyle w:val="6"/>
                          </w:pPr>
                          <w:r>
                            <w:fldChar w:fldCharType="begin"/>
                          </w:r>
                          <w:r>
                            <w:instrText xml:space="preserve"> PAGE  \* MERGEFORMAT </w:instrText>
                          </w:r>
                          <w:r>
                            <w:fldChar w:fldCharType="separate"/>
                          </w:r>
                          <w:r>
                            <w:t>9</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7A653BEB">
                    <w:pPr>
                      <w:pStyle w:val="6"/>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abstractNum w:abstractNumId="1">
    <w:nsid w:val="5B80796A"/>
    <w:multiLevelType w:val="multilevel"/>
    <w:tmpl w:val="5B80796A"/>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iMDZhMDFjNWRkNjUxNjc0ZmRmMmEwNWVkMDFhM2IifQ=="/>
    <w:docVar w:name="KSO_WPS_MARK_KEY" w:val="41ee2a61-2d54-4f93-83be-afdb9a40d732"/>
  </w:docVars>
  <w:rsids>
    <w:rsidRoot w:val="001E586E"/>
    <w:rsid w:val="00083EC6"/>
    <w:rsid w:val="00090E99"/>
    <w:rsid w:val="000B3C98"/>
    <w:rsid w:val="001409F2"/>
    <w:rsid w:val="00166679"/>
    <w:rsid w:val="001A7788"/>
    <w:rsid w:val="001E586E"/>
    <w:rsid w:val="001F0298"/>
    <w:rsid w:val="0020697B"/>
    <w:rsid w:val="00213C59"/>
    <w:rsid w:val="002B1051"/>
    <w:rsid w:val="003210CE"/>
    <w:rsid w:val="004832B2"/>
    <w:rsid w:val="005A5003"/>
    <w:rsid w:val="00655CDB"/>
    <w:rsid w:val="006840F9"/>
    <w:rsid w:val="007800B9"/>
    <w:rsid w:val="008A58D5"/>
    <w:rsid w:val="008D2804"/>
    <w:rsid w:val="009614C2"/>
    <w:rsid w:val="009D7284"/>
    <w:rsid w:val="009E3E92"/>
    <w:rsid w:val="00A62F57"/>
    <w:rsid w:val="00A7305E"/>
    <w:rsid w:val="00B70D59"/>
    <w:rsid w:val="00C16131"/>
    <w:rsid w:val="00D65C98"/>
    <w:rsid w:val="00DE1A65"/>
    <w:rsid w:val="00DF3FA1"/>
    <w:rsid w:val="00F229E1"/>
    <w:rsid w:val="00F52A8D"/>
    <w:rsid w:val="00FD0EC7"/>
    <w:rsid w:val="019404F8"/>
    <w:rsid w:val="01C26E13"/>
    <w:rsid w:val="02BD3108"/>
    <w:rsid w:val="02F73D26"/>
    <w:rsid w:val="034D4FEF"/>
    <w:rsid w:val="035D1785"/>
    <w:rsid w:val="039F47CE"/>
    <w:rsid w:val="03E05CE8"/>
    <w:rsid w:val="03F973EE"/>
    <w:rsid w:val="043E5B56"/>
    <w:rsid w:val="04C04386"/>
    <w:rsid w:val="04ED7265"/>
    <w:rsid w:val="04FA68C4"/>
    <w:rsid w:val="053F5AE6"/>
    <w:rsid w:val="057C0B0F"/>
    <w:rsid w:val="05EF4B48"/>
    <w:rsid w:val="05F76ECA"/>
    <w:rsid w:val="06792773"/>
    <w:rsid w:val="07093795"/>
    <w:rsid w:val="072E5D00"/>
    <w:rsid w:val="07596711"/>
    <w:rsid w:val="07804730"/>
    <w:rsid w:val="079052BE"/>
    <w:rsid w:val="08145C21"/>
    <w:rsid w:val="0826778C"/>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97B03"/>
    <w:rsid w:val="0D4903E8"/>
    <w:rsid w:val="0D7A4A46"/>
    <w:rsid w:val="0D882753"/>
    <w:rsid w:val="0E640559"/>
    <w:rsid w:val="0F1113DA"/>
    <w:rsid w:val="0F78534A"/>
    <w:rsid w:val="0F89358A"/>
    <w:rsid w:val="0F8C6D51"/>
    <w:rsid w:val="105B0B5E"/>
    <w:rsid w:val="112E58D0"/>
    <w:rsid w:val="11731CAC"/>
    <w:rsid w:val="11751F83"/>
    <w:rsid w:val="119500A0"/>
    <w:rsid w:val="11C0733B"/>
    <w:rsid w:val="11D50D17"/>
    <w:rsid w:val="11DA3827"/>
    <w:rsid w:val="120E0809"/>
    <w:rsid w:val="127F665A"/>
    <w:rsid w:val="12F7068C"/>
    <w:rsid w:val="14207DC0"/>
    <w:rsid w:val="14B932DA"/>
    <w:rsid w:val="150A66AF"/>
    <w:rsid w:val="151856A7"/>
    <w:rsid w:val="154C1139"/>
    <w:rsid w:val="158C5B77"/>
    <w:rsid w:val="15DA7495"/>
    <w:rsid w:val="160D1149"/>
    <w:rsid w:val="163563C0"/>
    <w:rsid w:val="164315EF"/>
    <w:rsid w:val="16557DFE"/>
    <w:rsid w:val="167268FB"/>
    <w:rsid w:val="16D50C50"/>
    <w:rsid w:val="16E120E1"/>
    <w:rsid w:val="17385A05"/>
    <w:rsid w:val="173B3901"/>
    <w:rsid w:val="176747F9"/>
    <w:rsid w:val="17954A6E"/>
    <w:rsid w:val="17A6167A"/>
    <w:rsid w:val="180059E9"/>
    <w:rsid w:val="182C0A9D"/>
    <w:rsid w:val="184510FD"/>
    <w:rsid w:val="190648B0"/>
    <w:rsid w:val="19071D6C"/>
    <w:rsid w:val="19D26CD4"/>
    <w:rsid w:val="19E60D19"/>
    <w:rsid w:val="1A3E3450"/>
    <w:rsid w:val="1A931739"/>
    <w:rsid w:val="1AD807E5"/>
    <w:rsid w:val="1B06104C"/>
    <w:rsid w:val="1B39345B"/>
    <w:rsid w:val="1BFB2A1F"/>
    <w:rsid w:val="1C015D4A"/>
    <w:rsid w:val="1C290ED5"/>
    <w:rsid w:val="1C317E4F"/>
    <w:rsid w:val="1C472464"/>
    <w:rsid w:val="1C9C2FEE"/>
    <w:rsid w:val="1D22799A"/>
    <w:rsid w:val="1D5C1A72"/>
    <w:rsid w:val="1DAF458D"/>
    <w:rsid w:val="1E086ACE"/>
    <w:rsid w:val="1E62130A"/>
    <w:rsid w:val="1E97358B"/>
    <w:rsid w:val="1EAA4A5F"/>
    <w:rsid w:val="1EBC7A2C"/>
    <w:rsid w:val="1EE869A7"/>
    <w:rsid w:val="1FA15E62"/>
    <w:rsid w:val="1FED69B6"/>
    <w:rsid w:val="2064678E"/>
    <w:rsid w:val="20DC1AB9"/>
    <w:rsid w:val="20DD6197"/>
    <w:rsid w:val="212631E0"/>
    <w:rsid w:val="21A53757"/>
    <w:rsid w:val="21C10A3D"/>
    <w:rsid w:val="221236C6"/>
    <w:rsid w:val="22D7662C"/>
    <w:rsid w:val="23326B7F"/>
    <w:rsid w:val="23363A04"/>
    <w:rsid w:val="2380045B"/>
    <w:rsid w:val="23BC04D2"/>
    <w:rsid w:val="23EF1892"/>
    <w:rsid w:val="2483647E"/>
    <w:rsid w:val="24A32D55"/>
    <w:rsid w:val="25292727"/>
    <w:rsid w:val="252E5CA9"/>
    <w:rsid w:val="256F7692"/>
    <w:rsid w:val="25BA2154"/>
    <w:rsid w:val="25C8773F"/>
    <w:rsid w:val="264A7253"/>
    <w:rsid w:val="265C2D16"/>
    <w:rsid w:val="26F0170C"/>
    <w:rsid w:val="27201D62"/>
    <w:rsid w:val="27286E73"/>
    <w:rsid w:val="27CF2642"/>
    <w:rsid w:val="27E777F5"/>
    <w:rsid w:val="27EA1D4C"/>
    <w:rsid w:val="27EA2E41"/>
    <w:rsid w:val="282459E2"/>
    <w:rsid w:val="282564CC"/>
    <w:rsid w:val="283A7FE5"/>
    <w:rsid w:val="285F51FF"/>
    <w:rsid w:val="28DF2665"/>
    <w:rsid w:val="28E83221"/>
    <w:rsid w:val="29072599"/>
    <w:rsid w:val="291029F3"/>
    <w:rsid w:val="29CB58F0"/>
    <w:rsid w:val="2A053397"/>
    <w:rsid w:val="2A145E96"/>
    <w:rsid w:val="2A4F168A"/>
    <w:rsid w:val="2AF5378F"/>
    <w:rsid w:val="2BB94DBF"/>
    <w:rsid w:val="2C6F314E"/>
    <w:rsid w:val="2CC206BE"/>
    <w:rsid w:val="2D1136DF"/>
    <w:rsid w:val="2D20606D"/>
    <w:rsid w:val="2D376058"/>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98084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751F3A"/>
    <w:rsid w:val="398D3668"/>
    <w:rsid w:val="39DA0497"/>
    <w:rsid w:val="3A893816"/>
    <w:rsid w:val="3A893B6D"/>
    <w:rsid w:val="3AD1763A"/>
    <w:rsid w:val="3B6716E3"/>
    <w:rsid w:val="3B6C6B2D"/>
    <w:rsid w:val="3B81506E"/>
    <w:rsid w:val="3C242659"/>
    <w:rsid w:val="3C96719C"/>
    <w:rsid w:val="3CA72BE8"/>
    <w:rsid w:val="3CF37F8C"/>
    <w:rsid w:val="3D137554"/>
    <w:rsid w:val="3D5275AC"/>
    <w:rsid w:val="3DCC2473"/>
    <w:rsid w:val="3DEB0883"/>
    <w:rsid w:val="3E2527BF"/>
    <w:rsid w:val="3E731662"/>
    <w:rsid w:val="3E8168DD"/>
    <w:rsid w:val="3E9349CB"/>
    <w:rsid w:val="3E970704"/>
    <w:rsid w:val="3EA7725F"/>
    <w:rsid w:val="3EB03713"/>
    <w:rsid w:val="3EBF1A11"/>
    <w:rsid w:val="3EC50FAD"/>
    <w:rsid w:val="3EC52607"/>
    <w:rsid w:val="3EEC6CEF"/>
    <w:rsid w:val="3F183429"/>
    <w:rsid w:val="3FB77A1D"/>
    <w:rsid w:val="3FDC3674"/>
    <w:rsid w:val="3FED7F8A"/>
    <w:rsid w:val="40094AEF"/>
    <w:rsid w:val="405470BD"/>
    <w:rsid w:val="40794A29"/>
    <w:rsid w:val="40834692"/>
    <w:rsid w:val="40A354A7"/>
    <w:rsid w:val="41431AD5"/>
    <w:rsid w:val="414B3C0F"/>
    <w:rsid w:val="417C1CE7"/>
    <w:rsid w:val="41900018"/>
    <w:rsid w:val="41944406"/>
    <w:rsid w:val="41CE128F"/>
    <w:rsid w:val="41DA6F12"/>
    <w:rsid w:val="42171FB1"/>
    <w:rsid w:val="429A1953"/>
    <w:rsid w:val="42E80BE6"/>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3926C0"/>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0B7330"/>
    <w:rsid w:val="542F73CA"/>
    <w:rsid w:val="5430786D"/>
    <w:rsid w:val="54C811C0"/>
    <w:rsid w:val="555929EA"/>
    <w:rsid w:val="556A442D"/>
    <w:rsid w:val="55DA564E"/>
    <w:rsid w:val="5604127D"/>
    <w:rsid w:val="56166703"/>
    <w:rsid w:val="56510474"/>
    <w:rsid w:val="56861525"/>
    <w:rsid w:val="56A93273"/>
    <w:rsid w:val="56BD550C"/>
    <w:rsid w:val="56E07045"/>
    <w:rsid w:val="56FF28AF"/>
    <w:rsid w:val="57540E7D"/>
    <w:rsid w:val="577B4878"/>
    <w:rsid w:val="57926973"/>
    <w:rsid w:val="580E496F"/>
    <w:rsid w:val="58175352"/>
    <w:rsid w:val="581F2200"/>
    <w:rsid w:val="583059FA"/>
    <w:rsid w:val="584A0929"/>
    <w:rsid w:val="585A4825"/>
    <w:rsid w:val="58CD2491"/>
    <w:rsid w:val="591B41B2"/>
    <w:rsid w:val="59254A26"/>
    <w:rsid w:val="59326325"/>
    <w:rsid w:val="595C505B"/>
    <w:rsid w:val="595E55C3"/>
    <w:rsid w:val="596E7E20"/>
    <w:rsid w:val="59EE2446"/>
    <w:rsid w:val="5A60780B"/>
    <w:rsid w:val="5AB34579"/>
    <w:rsid w:val="5AB521E6"/>
    <w:rsid w:val="5AFC6609"/>
    <w:rsid w:val="5B113480"/>
    <w:rsid w:val="5BD456CE"/>
    <w:rsid w:val="5C0D1F49"/>
    <w:rsid w:val="5CBB0CE2"/>
    <w:rsid w:val="5CC17177"/>
    <w:rsid w:val="5CF306BC"/>
    <w:rsid w:val="5D3F3D64"/>
    <w:rsid w:val="5D833043"/>
    <w:rsid w:val="5DD92690"/>
    <w:rsid w:val="5DDB1CFD"/>
    <w:rsid w:val="5E3929A4"/>
    <w:rsid w:val="5E7E6D93"/>
    <w:rsid w:val="5ED44800"/>
    <w:rsid w:val="5F350BDE"/>
    <w:rsid w:val="5F61632C"/>
    <w:rsid w:val="5FA17648"/>
    <w:rsid w:val="5FE705CB"/>
    <w:rsid w:val="603D5080"/>
    <w:rsid w:val="60C70383"/>
    <w:rsid w:val="60D0261B"/>
    <w:rsid w:val="612C2AD6"/>
    <w:rsid w:val="61795324"/>
    <w:rsid w:val="618E3791"/>
    <w:rsid w:val="61947DCA"/>
    <w:rsid w:val="619F599E"/>
    <w:rsid w:val="61A46A97"/>
    <w:rsid w:val="61D1382F"/>
    <w:rsid w:val="61F114A2"/>
    <w:rsid w:val="62512BB4"/>
    <w:rsid w:val="625D7D1A"/>
    <w:rsid w:val="62631515"/>
    <w:rsid w:val="627A18B0"/>
    <w:rsid w:val="62DD7D21"/>
    <w:rsid w:val="637A5D7B"/>
    <w:rsid w:val="637D586B"/>
    <w:rsid w:val="63A5560B"/>
    <w:rsid w:val="63E9091F"/>
    <w:rsid w:val="64322AF9"/>
    <w:rsid w:val="64D433D4"/>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E37823"/>
    <w:rsid w:val="683F0658"/>
    <w:rsid w:val="689C6793"/>
    <w:rsid w:val="68DB0208"/>
    <w:rsid w:val="68FB170C"/>
    <w:rsid w:val="691B3D98"/>
    <w:rsid w:val="693748F0"/>
    <w:rsid w:val="69846A0E"/>
    <w:rsid w:val="69AD798C"/>
    <w:rsid w:val="69D005C0"/>
    <w:rsid w:val="69D80B96"/>
    <w:rsid w:val="6B68175F"/>
    <w:rsid w:val="6BFD799F"/>
    <w:rsid w:val="6C4A2E5A"/>
    <w:rsid w:val="6C6C00BD"/>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013E9"/>
    <w:rsid w:val="75722D56"/>
    <w:rsid w:val="75DB5477"/>
    <w:rsid w:val="75FC6AC3"/>
    <w:rsid w:val="760C31BB"/>
    <w:rsid w:val="7616619B"/>
    <w:rsid w:val="76660D7C"/>
    <w:rsid w:val="766C5968"/>
    <w:rsid w:val="76BE0C8F"/>
    <w:rsid w:val="76CD53B2"/>
    <w:rsid w:val="770719AC"/>
    <w:rsid w:val="776526CC"/>
    <w:rsid w:val="778E6EE8"/>
    <w:rsid w:val="77A262E1"/>
    <w:rsid w:val="77B13C33"/>
    <w:rsid w:val="77B521AB"/>
    <w:rsid w:val="77ED6F44"/>
    <w:rsid w:val="77F45548"/>
    <w:rsid w:val="784E7CA6"/>
    <w:rsid w:val="78574801"/>
    <w:rsid w:val="786845DC"/>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E46470"/>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660" w:beforeLines="0" w:after="400" w:afterLines="0" w:line="540" w:lineRule="atLeast"/>
      <w:ind w:right="2160"/>
    </w:pPr>
    <w:rPr>
      <w:rFonts w:ascii="Times New Roman" w:hAnsi="Times New Roman"/>
      <w:spacing w:val="-40"/>
      <w:sz w:val="60"/>
    </w:rPr>
  </w:style>
  <w:style w:type="paragraph" w:styleId="3">
    <w:name w:val="annotation text"/>
    <w:basedOn w:val="1"/>
    <w:qFormat/>
    <w:uiPriority w:val="0"/>
    <w:pPr>
      <w:jc w:val="left"/>
    </w:pPr>
  </w:style>
  <w:style w:type="paragraph" w:styleId="4">
    <w:name w:val="Body Text Indent"/>
    <w:basedOn w:val="1"/>
    <w:qFormat/>
    <w:uiPriority w:val="0"/>
    <w:pPr>
      <w:ind w:firstLine="570"/>
    </w:pPr>
    <w:rPr>
      <w:sz w:val="28"/>
      <w:szCs w:val="20"/>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paragraph" w:styleId="11">
    <w:name w:val="Body Text First Indent 2"/>
    <w:basedOn w:val="4"/>
    <w:unhideWhenUsed/>
    <w:qFormat/>
    <w:uiPriority w:val="99"/>
    <w:pPr>
      <w:ind w:firstLine="420"/>
    </w:pPr>
  </w:style>
  <w:style w:type="character" w:styleId="14">
    <w:name w:val="Strong"/>
    <w:basedOn w:val="13"/>
    <w:qFormat/>
    <w:uiPriority w:val="0"/>
    <w:rPr>
      <w:b/>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 w:type="paragraph" w:styleId="18">
    <w:name w:val="List Paragraph"/>
    <w:basedOn w:val="1"/>
    <w:unhideWhenUsed/>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19</Pages>
  <Words>7688</Words>
  <Characters>8701</Characters>
  <Lines>15</Lines>
  <Paragraphs>17</Paragraphs>
  <TotalTime>2</TotalTime>
  <ScaleCrop>false</ScaleCrop>
  <LinksUpToDate>false</LinksUpToDate>
  <CharactersWithSpaces>8712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2024-08-14T09:54:00Z</dcterms:created>
  <dc:creator>GXR</dc:creator>
  <cp:lastModifiedBy>魏翔</cp:lastModifiedBy>
  <dcterms:modified xsi:type="dcterms:W3CDTF">2024-09-02T08:47:27Z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BB8FF743CA2C4C4F859D223A78FF22DE_13</vt:lpwstr>
  </property>
</Properties>
</file>