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918DC">
      <w:pPr>
        <w:spacing w:line="540" w:lineRule="exact"/>
        <w:jc w:val="center"/>
        <w:rPr>
          <w:rFonts w:eastAsia="华文中宋"/>
          <w:b/>
          <w:kern w:val="0"/>
          <w:sz w:val="52"/>
          <w:szCs w:val="52"/>
          <w:highlight w:val="none"/>
        </w:rPr>
      </w:pPr>
    </w:p>
    <w:p w14:paraId="559550AC">
      <w:pPr>
        <w:spacing w:line="540" w:lineRule="exact"/>
        <w:rPr>
          <w:rFonts w:eastAsia="华文中宋"/>
          <w:b/>
          <w:kern w:val="0"/>
          <w:sz w:val="52"/>
          <w:szCs w:val="52"/>
          <w:highlight w:val="none"/>
        </w:rPr>
      </w:pPr>
    </w:p>
    <w:p w14:paraId="092D3EE8">
      <w:pPr>
        <w:spacing w:line="540" w:lineRule="exact"/>
        <w:jc w:val="center"/>
        <w:rPr>
          <w:rFonts w:eastAsia="华文中宋"/>
          <w:b/>
          <w:kern w:val="0"/>
          <w:sz w:val="52"/>
          <w:szCs w:val="52"/>
          <w:highlight w:val="none"/>
        </w:rPr>
      </w:pPr>
    </w:p>
    <w:p w14:paraId="5A1D8C1E">
      <w:pPr>
        <w:spacing w:line="540" w:lineRule="exact"/>
        <w:jc w:val="center"/>
        <w:rPr>
          <w:rFonts w:eastAsia="华文中宋"/>
          <w:b/>
          <w:kern w:val="0"/>
          <w:sz w:val="52"/>
          <w:szCs w:val="52"/>
          <w:highlight w:val="none"/>
        </w:rPr>
      </w:pPr>
    </w:p>
    <w:p w14:paraId="1644BDD6">
      <w:pPr>
        <w:spacing w:line="540" w:lineRule="exact"/>
        <w:jc w:val="center"/>
        <w:rPr>
          <w:rFonts w:eastAsia="方正小标宋_GBK"/>
          <w:kern w:val="0"/>
          <w:sz w:val="48"/>
          <w:szCs w:val="48"/>
          <w:highlight w:val="none"/>
        </w:rPr>
      </w:pPr>
      <w:r>
        <w:rPr>
          <w:rFonts w:hint="eastAsia" w:eastAsia="方正小标宋_GBK"/>
          <w:kern w:val="0"/>
          <w:sz w:val="48"/>
          <w:szCs w:val="48"/>
          <w:highlight w:val="none"/>
        </w:rPr>
        <w:t>2023年自治区第一批疫情防控补助资金</w:t>
      </w:r>
      <w:r>
        <w:rPr>
          <w:rFonts w:eastAsia="方正小标宋_GBK"/>
          <w:kern w:val="0"/>
          <w:sz w:val="48"/>
          <w:szCs w:val="48"/>
          <w:highlight w:val="none"/>
        </w:rPr>
        <w:t>项目支出绩效评价报告</w:t>
      </w:r>
    </w:p>
    <w:p w14:paraId="4109F12E">
      <w:pPr>
        <w:spacing w:line="540" w:lineRule="exact"/>
        <w:jc w:val="center"/>
        <w:rPr>
          <w:rFonts w:eastAsia="华文中宋"/>
          <w:b/>
          <w:kern w:val="0"/>
          <w:sz w:val="52"/>
          <w:szCs w:val="52"/>
          <w:highlight w:val="none"/>
        </w:rPr>
      </w:pPr>
    </w:p>
    <w:p w14:paraId="3747D1E0">
      <w:pPr>
        <w:spacing w:line="540" w:lineRule="exact"/>
        <w:jc w:val="center"/>
        <w:rPr>
          <w:rFonts w:eastAsia="仿宋_GB2312"/>
          <w:kern w:val="0"/>
          <w:sz w:val="36"/>
          <w:szCs w:val="36"/>
          <w:highlight w:val="none"/>
        </w:rPr>
      </w:pPr>
      <w:r>
        <w:rPr>
          <w:rFonts w:eastAsia="仿宋_GB2312"/>
          <w:kern w:val="0"/>
          <w:sz w:val="36"/>
          <w:szCs w:val="36"/>
          <w:highlight w:val="none"/>
        </w:rPr>
        <w:t>（ 2023年度）</w:t>
      </w:r>
    </w:p>
    <w:p w14:paraId="7D8345E6">
      <w:pPr>
        <w:spacing w:line="540" w:lineRule="exact"/>
        <w:jc w:val="center"/>
        <w:rPr>
          <w:rFonts w:eastAsia="仿宋_GB2312"/>
          <w:kern w:val="0"/>
          <w:sz w:val="30"/>
          <w:szCs w:val="30"/>
          <w:highlight w:val="none"/>
        </w:rPr>
      </w:pPr>
    </w:p>
    <w:p w14:paraId="6550B7A2">
      <w:pPr>
        <w:spacing w:line="540" w:lineRule="exact"/>
        <w:jc w:val="center"/>
        <w:rPr>
          <w:rFonts w:eastAsia="仿宋_GB2312"/>
          <w:kern w:val="0"/>
          <w:sz w:val="30"/>
          <w:szCs w:val="30"/>
          <w:highlight w:val="none"/>
        </w:rPr>
      </w:pPr>
    </w:p>
    <w:p w14:paraId="43413964">
      <w:pPr>
        <w:spacing w:line="540" w:lineRule="exact"/>
        <w:jc w:val="center"/>
        <w:rPr>
          <w:rFonts w:eastAsia="仿宋_GB2312"/>
          <w:kern w:val="0"/>
          <w:sz w:val="30"/>
          <w:szCs w:val="30"/>
          <w:highlight w:val="none"/>
        </w:rPr>
      </w:pPr>
    </w:p>
    <w:p w14:paraId="69B4745D">
      <w:pPr>
        <w:spacing w:line="540" w:lineRule="exact"/>
        <w:jc w:val="center"/>
        <w:rPr>
          <w:rFonts w:eastAsia="仿宋_GB2312"/>
          <w:kern w:val="0"/>
          <w:sz w:val="30"/>
          <w:szCs w:val="30"/>
          <w:highlight w:val="none"/>
        </w:rPr>
      </w:pPr>
    </w:p>
    <w:p w14:paraId="422AF953">
      <w:pPr>
        <w:spacing w:line="540" w:lineRule="exact"/>
        <w:rPr>
          <w:rFonts w:eastAsia="仿宋_GB2312"/>
          <w:kern w:val="0"/>
          <w:sz w:val="30"/>
          <w:szCs w:val="30"/>
          <w:highlight w:val="none"/>
        </w:rPr>
      </w:pPr>
    </w:p>
    <w:p w14:paraId="7651BFB2">
      <w:pPr>
        <w:spacing w:line="700" w:lineRule="exact"/>
        <w:ind w:left="2160" w:hanging="2160" w:hangingChars="600"/>
        <w:jc w:val="left"/>
        <w:rPr>
          <w:rFonts w:eastAsia="仿宋_GB2312"/>
          <w:kern w:val="0"/>
          <w:sz w:val="36"/>
          <w:szCs w:val="36"/>
          <w:highlight w:val="none"/>
        </w:rPr>
      </w:pPr>
      <w:r>
        <w:rPr>
          <w:rFonts w:eastAsia="仿宋_GB2312"/>
          <w:kern w:val="0"/>
          <w:sz w:val="36"/>
          <w:szCs w:val="36"/>
          <w:highlight w:val="none"/>
        </w:rPr>
        <w:t>项目名称：</w:t>
      </w:r>
      <w:r>
        <w:rPr>
          <w:rFonts w:hint="eastAsia" w:eastAsia="仿宋_GB2312"/>
          <w:kern w:val="0"/>
          <w:sz w:val="36"/>
          <w:szCs w:val="36"/>
          <w:highlight w:val="none"/>
        </w:rPr>
        <w:t>2023年自治区第一批疫情防控补助</w:t>
      </w:r>
    </w:p>
    <w:p w14:paraId="7536E63C">
      <w:pPr>
        <w:spacing w:line="700" w:lineRule="exact"/>
        <w:ind w:left="2155" w:leftChars="855" w:hanging="360" w:hangingChars="100"/>
        <w:jc w:val="left"/>
        <w:rPr>
          <w:rFonts w:eastAsia="仿宋_GB2312"/>
          <w:kern w:val="0"/>
          <w:sz w:val="36"/>
          <w:szCs w:val="36"/>
          <w:highlight w:val="none"/>
        </w:rPr>
      </w:pPr>
      <w:r>
        <w:rPr>
          <w:rFonts w:hint="eastAsia" w:eastAsia="仿宋_GB2312"/>
          <w:kern w:val="0"/>
          <w:sz w:val="36"/>
          <w:szCs w:val="36"/>
          <w:highlight w:val="none"/>
        </w:rPr>
        <w:t>（重症救治设备购置）</w:t>
      </w:r>
    </w:p>
    <w:p w14:paraId="6ED0D61F">
      <w:pPr>
        <w:spacing w:line="700" w:lineRule="exact"/>
        <w:jc w:val="left"/>
        <w:rPr>
          <w:rFonts w:eastAsia="仿宋_GB2312"/>
          <w:kern w:val="0"/>
          <w:sz w:val="36"/>
          <w:szCs w:val="36"/>
          <w:highlight w:val="none"/>
        </w:rPr>
      </w:pPr>
      <w:r>
        <w:rPr>
          <w:rFonts w:eastAsia="仿宋_GB2312"/>
          <w:kern w:val="0"/>
          <w:sz w:val="36"/>
          <w:szCs w:val="36"/>
          <w:highlight w:val="none"/>
        </w:rPr>
        <w:t>实施单位（公章）：</w:t>
      </w:r>
      <w:r>
        <w:rPr>
          <w:rFonts w:hint="eastAsia" w:eastAsia="仿宋_GB2312"/>
          <w:kern w:val="0"/>
          <w:sz w:val="36"/>
          <w:szCs w:val="36"/>
          <w:highlight w:val="none"/>
        </w:rPr>
        <w:t>新疆医科大学第七附属医院</w:t>
      </w:r>
    </w:p>
    <w:p w14:paraId="422D6CAC">
      <w:pPr>
        <w:spacing w:line="700" w:lineRule="exact"/>
        <w:jc w:val="left"/>
        <w:rPr>
          <w:rFonts w:eastAsia="仿宋_GB2312"/>
          <w:kern w:val="0"/>
          <w:sz w:val="36"/>
          <w:szCs w:val="36"/>
          <w:highlight w:val="none"/>
        </w:rPr>
      </w:pPr>
      <w:r>
        <w:rPr>
          <w:rFonts w:eastAsia="仿宋_GB2312"/>
          <w:kern w:val="0"/>
          <w:sz w:val="36"/>
          <w:szCs w:val="36"/>
          <w:highlight w:val="none"/>
        </w:rPr>
        <w:t>主管部门（公章）：</w:t>
      </w:r>
      <w:r>
        <w:rPr>
          <w:rFonts w:hint="eastAsia" w:eastAsia="仿宋_GB2312"/>
          <w:kern w:val="0"/>
          <w:sz w:val="36"/>
          <w:szCs w:val="36"/>
          <w:highlight w:val="none"/>
        </w:rPr>
        <w:t>自治区卫生健康委员会</w:t>
      </w:r>
    </w:p>
    <w:p w14:paraId="36F9833C">
      <w:pPr>
        <w:spacing w:line="700" w:lineRule="exact"/>
        <w:jc w:val="left"/>
        <w:rPr>
          <w:rFonts w:eastAsia="仿宋_GB2312"/>
          <w:kern w:val="0"/>
          <w:sz w:val="36"/>
          <w:szCs w:val="36"/>
          <w:highlight w:val="none"/>
        </w:rPr>
      </w:pPr>
      <w:r>
        <w:rPr>
          <w:rFonts w:hint="eastAsia" w:eastAsia="仿宋_GB2312"/>
          <w:kern w:val="0"/>
          <w:sz w:val="36"/>
          <w:szCs w:val="36"/>
          <w:highlight w:val="none"/>
        </w:rPr>
        <w:t>项目负责人（签章）：陈婷婷</w:t>
      </w:r>
    </w:p>
    <w:p w14:paraId="0E12C7BA">
      <w:pPr>
        <w:spacing w:line="700" w:lineRule="exact"/>
        <w:jc w:val="left"/>
        <w:rPr>
          <w:rFonts w:eastAsia="仿宋_GB2312"/>
          <w:kern w:val="0"/>
          <w:sz w:val="36"/>
          <w:szCs w:val="36"/>
          <w:highlight w:val="none"/>
        </w:rPr>
      </w:pPr>
      <w:r>
        <w:rPr>
          <w:rFonts w:hint="eastAsia" w:eastAsia="仿宋_GB2312"/>
          <w:kern w:val="0"/>
          <w:sz w:val="36"/>
          <w:szCs w:val="36"/>
          <w:highlight w:val="none"/>
        </w:rPr>
        <w:t>填报时间：2024年3月4日</w:t>
      </w:r>
    </w:p>
    <w:p w14:paraId="062B8B00">
      <w:pPr>
        <w:spacing w:line="540" w:lineRule="exact"/>
        <w:jc w:val="center"/>
        <w:rPr>
          <w:rFonts w:eastAsia="仿宋_GB2312"/>
          <w:kern w:val="0"/>
          <w:sz w:val="30"/>
          <w:szCs w:val="30"/>
          <w:highlight w:val="none"/>
        </w:rPr>
      </w:pPr>
    </w:p>
    <w:p w14:paraId="6B1B3DC4">
      <w:pPr>
        <w:spacing w:line="540" w:lineRule="exact"/>
        <w:rPr>
          <w:rStyle w:val="17"/>
          <w:rFonts w:eastAsia="黑体"/>
          <w:b w:val="0"/>
          <w:spacing w:val="-4"/>
          <w:sz w:val="32"/>
          <w:szCs w:val="32"/>
          <w:highlight w:val="none"/>
        </w:rPr>
      </w:pPr>
    </w:p>
    <w:p w14:paraId="06E43899">
      <w:pPr>
        <w:spacing w:line="540" w:lineRule="exact"/>
        <w:ind w:firstLine="640"/>
        <w:rPr>
          <w:rStyle w:val="17"/>
          <w:rFonts w:eastAsia="黑体"/>
          <w:b w:val="0"/>
          <w:spacing w:val="-4"/>
          <w:sz w:val="32"/>
          <w:szCs w:val="32"/>
          <w:highlight w:val="none"/>
        </w:rPr>
      </w:pPr>
    </w:p>
    <w:p w14:paraId="43AB38C0">
      <w:pPr>
        <w:spacing w:line="540" w:lineRule="exact"/>
        <w:rPr>
          <w:rStyle w:val="17"/>
          <w:rFonts w:eastAsia="黑体"/>
          <w:b w:val="0"/>
          <w:spacing w:val="-4"/>
          <w:sz w:val="32"/>
          <w:szCs w:val="32"/>
          <w:highlight w:val="none"/>
        </w:rPr>
      </w:pPr>
    </w:p>
    <w:p w14:paraId="06FE9BD7">
      <w:pPr>
        <w:spacing w:line="560" w:lineRule="exact"/>
        <w:rPr>
          <w:rFonts w:eastAsia="黑体"/>
          <w:bCs/>
          <w:sz w:val="32"/>
          <w:szCs w:val="32"/>
          <w:highlight w:val="none"/>
        </w:rPr>
      </w:pPr>
    </w:p>
    <w:p w14:paraId="35C56719">
      <w:pPr>
        <w:spacing w:line="560" w:lineRule="exact"/>
        <w:ind w:firstLine="640" w:firstLineChars="200"/>
        <w:rPr>
          <w:rFonts w:eastAsia="黑体"/>
          <w:bCs/>
          <w:sz w:val="32"/>
          <w:szCs w:val="32"/>
          <w:highlight w:val="none"/>
        </w:rPr>
      </w:pPr>
      <w:r>
        <w:rPr>
          <w:rFonts w:eastAsia="黑体"/>
          <w:bCs/>
          <w:sz w:val="32"/>
          <w:szCs w:val="32"/>
          <w:highlight w:val="none"/>
        </w:rPr>
        <w:t>一、基本情况</w:t>
      </w:r>
    </w:p>
    <w:p w14:paraId="21E8A269">
      <w:pPr>
        <w:spacing w:line="560" w:lineRule="exact"/>
        <w:ind w:firstLine="643" w:firstLineChars="200"/>
        <w:rPr>
          <w:rFonts w:eastAsia="楷体_GB2312"/>
          <w:b/>
          <w:bCs/>
          <w:sz w:val="32"/>
          <w:szCs w:val="32"/>
          <w:highlight w:val="none"/>
        </w:rPr>
      </w:pPr>
      <w:r>
        <w:rPr>
          <w:rFonts w:eastAsia="楷体_GB2312"/>
          <w:b/>
          <w:bCs/>
          <w:sz w:val="32"/>
          <w:szCs w:val="32"/>
          <w:highlight w:val="none"/>
        </w:rPr>
        <w:t>（一）项目概况</w:t>
      </w:r>
    </w:p>
    <w:p w14:paraId="53969091">
      <w:pPr>
        <w:spacing w:line="560" w:lineRule="exact"/>
        <w:ind w:firstLine="643" w:firstLineChars="200"/>
        <w:rPr>
          <w:rFonts w:eastAsia="仿宋_GB2312"/>
          <w:b/>
          <w:bCs/>
          <w:sz w:val="32"/>
          <w:szCs w:val="32"/>
          <w:highlight w:val="none"/>
        </w:rPr>
      </w:pPr>
      <w:r>
        <w:rPr>
          <w:rFonts w:eastAsia="仿宋_GB2312"/>
          <w:b/>
          <w:bCs/>
          <w:sz w:val="32"/>
          <w:szCs w:val="32"/>
          <w:highlight w:val="none"/>
        </w:rPr>
        <w:t>1、项目背景</w:t>
      </w:r>
    </w:p>
    <w:p w14:paraId="1748D66F">
      <w:pPr>
        <w:spacing w:line="560" w:lineRule="exact"/>
        <w:ind w:firstLine="640" w:firstLineChars="200"/>
        <w:rPr>
          <w:rFonts w:eastAsia="仿宋_GB2312"/>
          <w:sz w:val="32"/>
          <w:szCs w:val="32"/>
          <w:highlight w:val="none"/>
        </w:rPr>
      </w:pPr>
      <w:r>
        <w:rPr>
          <w:rFonts w:hint="eastAsia" w:eastAsia="仿宋_GB2312"/>
          <w:sz w:val="32"/>
          <w:szCs w:val="32"/>
          <w:highlight w:val="none"/>
        </w:rPr>
        <w:t>根据自治区党委、人民政府关于扩展自治区本级医疗机构重症床位的工作部署，提高自治区新冠肺炎救治定点医院重症救治能力，经研究，向我院拨付2023年自治区疫情防控补助资金，用于购置重症救治设备。</w:t>
      </w:r>
    </w:p>
    <w:p w14:paraId="1000CF1A">
      <w:pPr>
        <w:pStyle w:val="2"/>
        <w:numPr>
          <w:ilvl w:val="0"/>
          <w:numId w:val="1"/>
        </w:numPr>
        <w:spacing w:before="0" w:after="0" w:line="56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14:paraId="2923AF0F">
      <w:pPr>
        <w:spacing w:line="560" w:lineRule="exact"/>
        <w:ind w:firstLine="640" w:firstLineChars="200"/>
        <w:rPr>
          <w:rFonts w:eastAsia="仿宋_GB2312"/>
          <w:sz w:val="32"/>
          <w:szCs w:val="32"/>
          <w:highlight w:val="none"/>
        </w:rPr>
      </w:pPr>
      <w:r>
        <w:rPr>
          <w:rFonts w:eastAsia="仿宋_GB2312"/>
          <w:sz w:val="32"/>
          <w:szCs w:val="32"/>
          <w:highlight w:val="none"/>
        </w:rPr>
        <w:t>项目</w:t>
      </w:r>
      <w:r>
        <w:rPr>
          <w:rFonts w:hint="eastAsia" w:eastAsia="仿宋_GB2312"/>
          <w:sz w:val="32"/>
          <w:szCs w:val="32"/>
          <w:highlight w:val="none"/>
        </w:rPr>
        <w:t>主要内容</w:t>
      </w:r>
      <w:r>
        <w:rPr>
          <w:rFonts w:eastAsia="仿宋_GB2312"/>
          <w:sz w:val="32"/>
          <w:szCs w:val="32"/>
          <w:highlight w:val="none"/>
        </w:rPr>
        <w:t>：</w:t>
      </w:r>
      <w:r>
        <w:rPr>
          <w:rFonts w:hint="eastAsia" w:eastAsia="仿宋_GB2312"/>
          <w:sz w:val="32"/>
          <w:szCs w:val="32"/>
          <w:highlight w:val="none"/>
        </w:rPr>
        <w:t>我院为推进重症病例救治工作，购置医用血管造影X射线机、麻醉机、超声诊断仪、病人监护仪等841台（件）医疗设备。我院在项目</w:t>
      </w:r>
      <w:r>
        <w:rPr>
          <w:rFonts w:eastAsia="仿宋_GB2312"/>
          <w:sz w:val="32"/>
          <w:szCs w:val="32"/>
          <w:highlight w:val="none"/>
        </w:rPr>
        <w:t>实施过程中严格按照</w:t>
      </w:r>
      <w:r>
        <w:rPr>
          <w:rFonts w:hint="eastAsia" w:eastAsia="仿宋_GB2312"/>
          <w:sz w:val="32"/>
          <w:szCs w:val="32"/>
          <w:highlight w:val="none"/>
        </w:rPr>
        <w:t>预期绩效目标开展各阶段工作</w:t>
      </w:r>
      <w:r>
        <w:rPr>
          <w:rFonts w:eastAsia="仿宋_GB2312"/>
          <w:sz w:val="32"/>
          <w:szCs w:val="32"/>
          <w:highlight w:val="none"/>
        </w:rPr>
        <w:t>，在前期立项过程中严格</w:t>
      </w:r>
      <w:r>
        <w:rPr>
          <w:rFonts w:hint="eastAsia" w:eastAsia="仿宋_GB2312"/>
          <w:sz w:val="32"/>
          <w:szCs w:val="32"/>
          <w:highlight w:val="none"/>
        </w:rPr>
        <w:t>把控</w:t>
      </w:r>
      <w:r>
        <w:rPr>
          <w:rFonts w:eastAsia="仿宋_GB2312"/>
          <w:sz w:val="32"/>
          <w:szCs w:val="32"/>
          <w:highlight w:val="none"/>
        </w:rPr>
        <w:t>，保证项目实施各阶段安全顺利进行。</w:t>
      </w:r>
    </w:p>
    <w:p w14:paraId="03D1FEBE">
      <w:pPr>
        <w:spacing w:line="560" w:lineRule="exact"/>
        <w:ind w:firstLine="640" w:firstLineChars="200"/>
        <w:rPr>
          <w:highlight w:val="none"/>
        </w:rPr>
      </w:pPr>
      <w:r>
        <w:rPr>
          <w:rFonts w:eastAsia="仿宋_GB2312"/>
          <w:sz w:val="32"/>
          <w:szCs w:val="32"/>
          <w:highlight w:val="none"/>
        </w:rPr>
        <w:t>项目实施情况：项目目前已经完成实际设立的目标，项目在实施过程中严格按照目标设立的各阶段任务进行开展工作，在前期立项过程中</w:t>
      </w:r>
      <w:r>
        <w:rPr>
          <w:rFonts w:hint="eastAsia" w:eastAsia="仿宋_GB2312"/>
          <w:sz w:val="32"/>
          <w:szCs w:val="32"/>
          <w:highlight w:val="none"/>
        </w:rPr>
        <w:t>严格</w:t>
      </w:r>
      <w:r>
        <w:rPr>
          <w:rFonts w:eastAsia="仿宋_GB2312"/>
          <w:sz w:val="32"/>
          <w:szCs w:val="32"/>
          <w:highlight w:val="none"/>
        </w:rPr>
        <w:t>把质量关，建立安全防护机制，保证项目实施各阶段安全顺利进行。</w:t>
      </w:r>
    </w:p>
    <w:p w14:paraId="6136F01F">
      <w:pPr>
        <w:spacing w:line="56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02ABD808">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（1）资金投入情况</w:t>
      </w:r>
    </w:p>
    <w:p w14:paraId="561648F3">
      <w:pPr>
        <w:spacing w:line="600" w:lineRule="exact"/>
        <w:ind w:firstLine="640" w:firstLineChars="200"/>
        <w:outlineLvl w:val="0"/>
        <w:rPr>
          <w:rFonts w:eastAsia="仿宋_GB2312"/>
          <w:sz w:val="32"/>
          <w:szCs w:val="32"/>
          <w:highlight w:val="none"/>
        </w:rPr>
      </w:pPr>
      <w:r>
        <w:rPr>
          <w:rFonts w:eastAsia="仿宋_GB2312"/>
          <w:sz w:val="32"/>
          <w:szCs w:val="32"/>
          <w:highlight w:val="none"/>
        </w:rPr>
        <w:t>该项目年初预算数1920万元，全年预算数1920万元，实际总投入1920万元，该项目资金已全部落实到位，资金来源为财政资金。</w:t>
      </w:r>
    </w:p>
    <w:p w14:paraId="7DB0A068">
      <w:pPr>
        <w:spacing w:line="600" w:lineRule="exact"/>
        <w:ind w:firstLine="640" w:firstLineChars="200"/>
        <w:outlineLvl w:val="0"/>
        <w:rPr>
          <w:rFonts w:eastAsia="仿宋_GB2312"/>
          <w:sz w:val="32"/>
          <w:szCs w:val="32"/>
          <w:highlight w:val="none"/>
        </w:rPr>
      </w:pPr>
      <w:r>
        <w:rPr>
          <w:rFonts w:eastAsia="仿宋_GB2312"/>
          <w:sz w:val="32"/>
          <w:szCs w:val="32"/>
          <w:highlight w:val="none"/>
        </w:rPr>
        <w:t>（2）资金使用情况</w:t>
      </w:r>
    </w:p>
    <w:p w14:paraId="0043230F">
      <w:pPr>
        <w:pStyle w:val="2"/>
        <w:spacing w:before="0" w:after="0" w:line="560" w:lineRule="exact"/>
        <w:ind w:firstLine="640" w:firstLineChars="200"/>
        <w:jc w:val="both"/>
        <w:rPr>
          <w:rFonts w:ascii="Times New Roman" w:hAnsi="Times New Roman" w:eastAsia="仿宋_GB2312"/>
          <w:highlight w:val="none"/>
        </w:rPr>
      </w:pPr>
      <w:r>
        <w:rPr>
          <w:rFonts w:ascii="Times New Roman" w:hAnsi="Times New Roman" w:eastAsia="仿宋_GB2312"/>
          <w:b w:val="0"/>
          <w:bCs w:val="0"/>
          <w:highlight w:val="none"/>
        </w:rPr>
        <w:t>该项目年初预算数1920万元，全年预算数1920万元</w:t>
      </w:r>
      <w:r>
        <w:rPr>
          <w:rFonts w:hint="eastAsia" w:ascii="Times New Roman" w:hAnsi="Times New Roman" w:eastAsia="仿宋_GB2312"/>
          <w:b w:val="0"/>
          <w:bCs w:val="0"/>
          <w:highlight w:val="none"/>
        </w:rPr>
        <w:t>，</w:t>
      </w:r>
      <w:r>
        <w:rPr>
          <w:rFonts w:ascii="Times New Roman" w:hAnsi="Times New Roman" w:eastAsia="仿宋_GB2312"/>
          <w:b w:val="0"/>
          <w:bCs w:val="0"/>
          <w:highlight w:val="none"/>
        </w:rPr>
        <w:t>全年执行数1920万元，预算执行率为100%，主要用于：</w:t>
      </w:r>
      <w:r>
        <w:rPr>
          <w:rFonts w:ascii="Times New Roman" w:hAnsi="Times New Roman" w:eastAsia="仿宋_GB2312"/>
          <w:b w:val="0"/>
          <w:bCs w:val="0"/>
          <w:kern w:val="2"/>
          <w:highlight w:val="none"/>
        </w:rPr>
        <w:t>购置医用血管造影X射线机、麻醉机、超声诊断仪、病人监护仪等841</w:t>
      </w:r>
      <w:r>
        <w:rPr>
          <w:rFonts w:hint="eastAsia" w:ascii="Times New Roman" w:hAnsi="Times New Roman" w:eastAsia="仿宋_GB2312"/>
          <w:b w:val="0"/>
          <w:bCs w:val="0"/>
          <w:kern w:val="2"/>
          <w:highlight w:val="none"/>
        </w:rPr>
        <w:t>台（件）重症救治设备，现设备已全部验收合格并开始投入使用，项目资金于2023年1月31日前完成支付工作。</w:t>
      </w:r>
    </w:p>
    <w:p w14:paraId="035E1ABD">
      <w:pPr>
        <w:spacing w:line="56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14:paraId="2ADD66C9">
      <w:pPr>
        <w:spacing w:line="560" w:lineRule="exact"/>
        <w:ind w:firstLine="640" w:firstLineChars="200"/>
        <w:rPr>
          <w:rFonts w:eastAsia="仿宋_GB2312"/>
          <w:sz w:val="32"/>
          <w:szCs w:val="32"/>
          <w:highlight w:val="none"/>
        </w:rPr>
      </w:pPr>
      <w:r>
        <w:rPr>
          <w:rFonts w:eastAsia="仿宋_GB2312"/>
          <w:sz w:val="32"/>
          <w:szCs w:val="32"/>
          <w:highlight w:val="none"/>
        </w:rPr>
        <w:t>1、总体目标</w:t>
      </w:r>
    </w:p>
    <w:p w14:paraId="48654684">
      <w:pPr>
        <w:spacing w:line="560" w:lineRule="exact"/>
        <w:ind w:firstLine="640" w:firstLineChars="200"/>
        <w:rPr>
          <w:rFonts w:eastAsia="仿宋_GB2312"/>
          <w:sz w:val="32"/>
          <w:szCs w:val="32"/>
          <w:highlight w:val="none"/>
        </w:rPr>
      </w:pPr>
      <w:r>
        <w:rPr>
          <w:rFonts w:hint="eastAsia" w:eastAsia="仿宋_GB2312"/>
          <w:sz w:val="32"/>
          <w:szCs w:val="32"/>
          <w:highlight w:val="none"/>
        </w:rPr>
        <w:t>按照国务院联防联控机制《关于印发做好医疗资源准备工作方案的通知》（联防联控机制综发</w:t>
      </w:r>
      <w:r>
        <w:rPr>
          <w:rFonts w:hint="eastAsia" w:ascii="方正仿宋简体" w:hAnsi="方正仿宋简体" w:eastAsia="方正仿宋简体" w:cs="方正仿宋简体"/>
          <w:sz w:val="32"/>
          <w:szCs w:val="32"/>
          <w:highlight w:val="none"/>
        </w:rPr>
        <w:t>〔</w:t>
      </w:r>
      <w:r>
        <w:rPr>
          <w:rFonts w:hint="eastAsia" w:eastAsia="仿宋_GB2312"/>
          <w:sz w:val="32"/>
          <w:szCs w:val="32"/>
          <w:highlight w:val="none"/>
        </w:rPr>
        <w:t>2022</w:t>
      </w:r>
      <w:r>
        <w:rPr>
          <w:rFonts w:hint="eastAsia" w:ascii="方正仿宋简体" w:hAnsi="方正仿宋简体" w:eastAsia="方正仿宋简体" w:cs="方正仿宋简体"/>
          <w:sz w:val="32"/>
          <w:szCs w:val="32"/>
          <w:highlight w:val="none"/>
        </w:rPr>
        <w:t>〕</w:t>
      </w:r>
      <w:r>
        <w:rPr>
          <w:rFonts w:hint="eastAsia" w:eastAsia="仿宋_GB2312"/>
          <w:sz w:val="32"/>
          <w:szCs w:val="32"/>
          <w:highlight w:val="none"/>
        </w:rPr>
        <w:t>112号）要求和新冠病毒感染疫情乙类乙管工作要求，有效提升我院重症救治资源储备，扩充ICU床位数和可转化ICU床位数，补齐设备缺口，有效开展重症病例救治工作。</w:t>
      </w:r>
    </w:p>
    <w:p w14:paraId="3A420AF1">
      <w:pPr>
        <w:spacing w:line="560" w:lineRule="exact"/>
        <w:ind w:firstLine="640" w:firstLineChars="200"/>
        <w:rPr>
          <w:highlight w:val="none"/>
        </w:rPr>
      </w:pPr>
      <w:r>
        <w:rPr>
          <w:rFonts w:eastAsia="仿宋_GB2312"/>
          <w:sz w:val="32"/>
          <w:szCs w:val="32"/>
          <w:highlight w:val="none"/>
        </w:rPr>
        <w:t>2、阶段性目标</w:t>
      </w:r>
    </w:p>
    <w:p w14:paraId="6B20B456">
      <w:pPr>
        <w:spacing w:line="560" w:lineRule="exact"/>
        <w:ind w:firstLine="640" w:firstLineChars="200"/>
        <w:rPr>
          <w:rFonts w:eastAsia="仿宋_GB2312"/>
          <w:sz w:val="32"/>
          <w:szCs w:val="32"/>
          <w:highlight w:val="none"/>
        </w:rPr>
      </w:pPr>
      <w:r>
        <w:rPr>
          <w:rFonts w:eastAsia="仿宋_GB2312"/>
          <w:sz w:val="32"/>
          <w:szCs w:val="32"/>
          <w:highlight w:val="none"/>
        </w:rPr>
        <w:t>（1）前期准备：制定项目</w:t>
      </w:r>
      <w:r>
        <w:rPr>
          <w:rFonts w:hint="eastAsia" w:eastAsia="仿宋_GB2312"/>
          <w:sz w:val="32"/>
          <w:szCs w:val="32"/>
          <w:highlight w:val="none"/>
        </w:rPr>
        <w:t>绩效目标</w:t>
      </w:r>
      <w:r>
        <w:rPr>
          <w:rFonts w:eastAsia="仿宋_GB2312"/>
          <w:sz w:val="32"/>
          <w:szCs w:val="32"/>
          <w:highlight w:val="none"/>
        </w:rPr>
        <w:t>，经</w:t>
      </w:r>
      <w:r>
        <w:rPr>
          <w:rFonts w:hint="eastAsia" w:eastAsia="仿宋_GB2312"/>
          <w:sz w:val="32"/>
          <w:szCs w:val="32"/>
          <w:highlight w:val="none"/>
        </w:rPr>
        <w:t>院党委审议</w:t>
      </w:r>
      <w:r>
        <w:rPr>
          <w:rFonts w:eastAsia="仿宋_GB2312"/>
          <w:sz w:val="32"/>
          <w:szCs w:val="32"/>
          <w:highlight w:val="none"/>
        </w:rPr>
        <w:t>通过后，</w:t>
      </w:r>
      <w:r>
        <w:rPr>
          <w:rFonts w:hint="eastAsia" w:eastAsia="仿宋_GB2312"/>
          <w:sz w:val="32"/>
          <w:szCs w:val="32"/>
          <w:highlight w:val="none"/>
        </w:rPr>
        <w:t>相关管理部门</w:t>
      </w:r>
      <w:r>
        <w:rPr>
          <w:rFonts w:eastAsia="仿宋_GB2312"/>
          <w:sz w:val="32"/>
          <w:szCs w:val="32"/>
          <w:highlight w:val="none"/>
        </w:rPr>
        <w:t>有序开展后续工作。</w:t>
      </w:r>
    </w:p>
    <w:p w14:paraId="2B313D5A">
      <w:pPr>
        <w:spacing w:line="560" w:lineRule="exact"/>
        <w:ind w:firstLine="640" w:firstLineChars="200"/>
        <w:rPr>
          <w:rFonts w:eastAsia="仿宋_GB2312"/>
          <w:sz w:val="32"/>
          <w:szCs w:val="32"/>
          <w:highlight w:val="none"/>
        </w:rPr>
      </w:pPr>
      <w:r>
        <w:rPr>
          <w:rFonts w:eastAsia="仿宋_GB2312"/>
          <w:sz w:val="32"/>
          <w:szCs w:val="32"/>
          <w:highlight w:val="none"/>
        </w:rPr>
        <w:t>（2）组织实施：</w:t>
      </w:r>
      <w:r>
        <w:rPr>
          <w:rFonts w:hint="eastAsia" w:eastAsia="仿宋_GB2312"/>
          <w:sz w:val="32"/>
          <w:szCs w:val="32"/>
          <w:highlight w:val="none"/>
        </w:rPr>
        <w:t>项目资金到位后，专项项目归口管理部门根据绩效目标制定资金支付计划，</w:t>
      </w:r>
      <w:r>
        <w:rPr>
          <w:rFonts w:eastAsia="仿宋_GB2312"/>
          <w:sz w:val="32"/>
          <w:szCs w:val="32"/>
          <w:highlight w:val="none"/>
        </w:rPr>
        <w:t>经</w:t>
      </w:r>
      <w:r>
        <w:rPr>
          <w:rFonts w:hint="eastAsia" w:eastAsia="仿宋_GB2312"/>
          <w:sz w:val="32"/>
          <w:szCs w:val="32"/>
          <w:highlight w:val="none"/>
        </w:rPr>
        <w:t>院党委审议</w:t>
      </w:r>
      <w:r>
        <w:rPr>
          <w:rFonts w:eastAsia="仿宋_GB2312"/>
          <w:sz w:val="32"/>
          <w:szCs w:val="32"/>
          <w:highlight w:val="none"/>
        </w:rPr>
        <w:t>通过后，</w:t>
      </w:r>
      <w:r>
        <w:rPr>
          <w:rFonts w:hint="eastAsia" w:eastAsia="仿宋_GB2312"/>
          <w:sz w:val="32"/>
          <w:szCs w:val="32"/>
          <w:highlight w:val="none"/>
        </w:rPr>
        <w:t>相关管理部门依据会议精神积极开展各阶段工作任务，确保专款专用，按时完成资金使用工作。</w:t>
      </w:r>
    </w:p>
    <w:p w14:paraId="0323AF4C">
      <w:pPr>
        <w:spacing w:line="560" w:lineRule="exact"/>
        <w:ind w:firstLine="640" w:firstLineChars="200"/>
        <w:rPr>
          <w:rFonts w:eastAsia="黑体"/>
          <w:sz w:val="32"/>
          <w:szCs w:val="32"/>
          <w:highlight w:val="none"/>
        </w:rPr>
      </w:pPr>
      <w:r>
        <w:rPr>
          <w:rFonts w:eastAsia="黑体"/>
          <w:sz w:val="32"/>
          <w:szCs w:val="32"/>
          <w:highlight w:val="none"/>
        </w:rPr>
        <w:t>二、绩效评价工作开展情况</w:t>
      </w:r>
    </w:p>
    <w:p w14:paraId="389920A1">
      <w:pPr>
        <w:spacing w:line="56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14:paraId="0EAE8AFE">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14:paraId="17569FCE">
      <w:pPr>
        <w:pStyle w:val="20"/>
        <w:spacing w:line="560" w:lineRule="exact"/>
        <w:ind w:firstLine="640" w:firstLineChars="200"/>
        <w:rPr>
          <w:rFonts w:eastAsia="方正仿宋_GBK" w:cs="方正仿宋_GBK"/>
          <w:sz w:val="32"/>
          <w:szCs w:val="32"/>
          <w:highlight w:val="none"/>
        </w:rPr>
      </w:pPr>
      <w:r>
        <w:rPr>
          <w:rFonts w:eastAsia="仿宋_GB2312"/>
          <w:sz w:val="32"/>
          <w:szCs w:val="32"/>
          <w:highlight w:val="none"/>
        </w:rPr>
        <w:t>通过开展有效的财政支出绩效评价管理，</w:t>
      </w:r>
      <w:r>
        <w:rPr>
          <w:rFonts w:hint="eastAsia" w:eastAsia="仿宋_GB231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186B406D">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4404A2D9">
      <w:pPr>
        <w:spacing w:line="560" w:lineRule="exact"/>
        <w:ind w:firstLine="640" w:firstLineChars="200"/>
        <w:rPr>
          <w:rFonts w:ascii="仿宋_GB2312" w:hAnsi="仿宋_GB2312" w:eastAsia="仿宋_GB2312" w:cs="仿宋_GB2312"/>
          <w:sz w:val="32"/>
          <w:szCs w:val="32"/>
          <w:highlight w:val="none"/>
        </w:rPr>
      </w:pPr>
      <w:r>
        <w:rPr>
          <w:rFonts w:hint="eastAsia" w:eastAsia="仿宋_GB2312"/>
          <w:sz w:val="32"/>
          <w:szCs w:val="32"/>
          <w:highlight w:val="none"/>
        </w:rPr>
        <w:t>2023年自治区第一批疫情防控补助（重症救治设备购置）资金项目</w:t>
      </w:r>
      <w:r>
        <w:rPr>
          <w:rFonts w:hint="eastAsia" w:ascii="仿宋_GB2312" w:hAnsi="仿宋_GB2312" w:eastAsia="仿宋_GB2312" w:cs="仿宋_GB2312"/>
          <w:sz w:val="32"/>
          <w:szCs w:val="32"/>
          <w:highlight w:val="none"/>
        </w:rPr>
        <w:t>所包含的全部内容。</w:t>
      </w:r>
    </w:p>
    <w:p w14:paraId="5934E9AE">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4EFB20D7">
      <w:pPr>
        <w:spacing w:line="560" w:lineRule="exact"/>
        <w:ind w:firstLine="640" w:firstLineChars="200"/>
        <w:rPr>
          <w:rFonts w:ascii="仿宋_GB2312" w:hAnsi="仿宋_GB2312" w:eastAsia="仿宋_GB2312" w:cs="仿宋_GB2312"/>
          <w:sz w:val="32"/>
          <w:szCs w:val="32"/>
          <w:highlight w:val="none"/>
        </w:rPr>
      </w:pPr>
      <w:r>
        <w:rPr>
          <w:rFonts w:hint="eastAsia" w:eastAsia="仿宋_GB2312"/>
          <w:sz w:val="32"/>
          <w:szCs w:val="32"/>
          <w:highlight w:val="none"/>
        </w:rPr>
        <w:t>2023年自治区第一批疫情防控补助（重症救治设备购置）资金项目</w:t>
      </w:r>
      <w:r>
        <w:rPr>
          <w:rFonts w:hint="eastAsia" w:ascii="仿宋_GB2312" w:hAnsi="仿宋_GB2312" w:eastAsia="仿宋_GB2312" w:cs="仿宋_GB2312"/>
          <w:sz w:val="32"/>
          <w:szCs w:val="32"/>
          <w:highlight w:val="none"/>
        </w:rPr>
        <w:t>的决策、执行过程、产出、社会效益等。</w:t>
      </w:r>
    </w:p>
    <w:p w14:paraId="52756489">
      <w:pPr>
        <w:spacing w:line="560" w:lineRule="exact"/>
        <w:ind w:firstLine="643" w:firstLineChars="200"/>
        <w:rPr>
          <w:highlight w:val="none"/>
        </w:rPr>
      </w:pPr>
      <w:r>
        <w:rPr>
          <w:rFonts w:eastAsia="楷体_GB2312"/>
          <w:b/>
          <w:bCs/>
          <w:sz w:val="32"/>
          <w:szCs w:val="32"/>
          <w:highlight w:val="none"/>
        </w:rPr>
        <w:t>（二）绩效评价原则、评价指标体系（详情见表1）、评价方法、评价标准。</w:t>
      </w:r>
    </w:p>
    <w:p w14:paraId="3470323E">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7B0EFEF7">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5D54DA47">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w:t>
      </w:r>
      <w:r>
        <w:rPr>
          <w:rFonts w:hint="eastAsia" w:ascii="Times New Roman" w:hAnsi="Times New Roman" w:eastAsia="仿宋_GB2312"/>
          <w:b w:val="0"/>
          <w:bCs w:val="0"/>
          <w:highlight w:val="none"/>
          <w:lang w:eastAsia="zh-CN"/>
        </w:rPr>
        <w:t>的</w:t>
      </w:r>
      <w:bookmarkStart w:id="4" w:name="_GoBack"/>
      <w:bookmarkEnd w:id="4"/>
      <w:r>
        <w:rPr>
          <w:rFonts w:ascii="Times New Roman" w:hAnsi="Times New Roman" w:eastAsia="仿宋_GB2312"/>
          <w:b w:val="0"/>
          <w:bCs w:val="0"/>
          <w:highlight w:val="none"/>
        </w:rPr>
        <w:t>反映。</w:t>
      </w:r>
    </w:p>
    <w:p w14:paraId="326AB8F5">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w:t>
      </w:r>
      <w:r>
        <w:rPr>
          <w:rFonts w:hint="eastAsia" w:ascii="Times New Roman" w:hAnsi="Times New Roman" w:eastAsia="仿宋_GB2312"/>
          <w:b w:val="0"/>
          <w:bCs w:val="0"/>
          <w:kern w:val="2"/>
          <w:highlight w:val="none"/>
        </w:rPr>
        <w:t>单位</w:t>
      </w:r>
      <w:r>
        <w:rPr>
          <w:rFonts w:ascii="Times New Roman" w:hAnsi="Times New Roman" w:eastAsia="仿宋_GB2312"/>
          <w:b w:val="0"/>
          <w:bCs w:val="0"/>
          <w:highlight w:val="none"/>
        </w:rPr>
        <w:t>自评应由项目单位自主实施，即“谁支出、谁自评”。部门评价和财政评价应在单位自评的基础上开展。</w:t>
      </w:r>
    </w:p>
    <w:p w14:paraId="278B4472">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52A4D0D6">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0A0ADC0B">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660D4FD1">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7AD97509">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42031B0F">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45E7C69">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2A45CDCD">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3B92791E">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006C0C63">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635E124B">
      <w:pPr>
        <w:pStyle w:val="2"/>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100分（含90分）对应的评分结果级别为优，80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90分（含80分）对应的评分结果级别为良，60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80分（含60分）对应的评分结果级别为中，60分以下对应的评分结果级别为差。</w:t>
      </w:r>
    </w:p>
    <w:p w14:paraId="60835D65">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r>
        <w:rPr>
          <w:rFonts w:hint="eastAsia" w:ascii="Times New Roman" w:hAnsi="Times New Roman" w:eastAsia="仿宋_GB2312"/>
          <w:b w:val="0"/>
          <w:bCs w:val="0"/>
          <w:color w:val="000000"/>
          <w:spacing w:val="17"/>
          <w:highlight w:val="none"/>
        </w:rPr>
        <w:t>。</w:t>
      </w:r>
    </w:p>
    <w:p w14:paraId="0FF66A15">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5AB4BFC5">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0A020C0C">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9492786">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26C25177">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18EE0FC6">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029355F6">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2557BF44">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3D1DF669">
      <w:pPr>
        <w:spacing w:line="560" w:lineRule="exact"/>
        <w:ind w:firstLine="708" w:firstLineChars="200"/>
        <w:rPr>
          <w:rFonts w:eastAsia="仿宋_GB2312"/>
          <w:color w:val="000000"/>
          <w:spacing w:val="17"/>
          <w:sz w:val="32"/>
          <w:szCs w:val="32"/>
          <w:highlight w:val="none"/>
        </w:rPr>
      </w:pPr>
      <w:r>
        <w:rPr>
          <w:rFonts w:hint="eastAsia" w:eastAsia="仿宋_GB2312"/>
          <w:color w:val="000000"/>
          <w:spacing w:val="17"/>
          <w:sz w:val="32"/>
          <w:szCs w:val="32"/>
          <w:highlight w:val="none"/>
        </w:rPr>
        <w:t>绩效评价标准通常包括计划标准、行业标准、历史标准等，用于对绩效指标完成情况进行比较、分析、评价。本次评价主要采用了计划标准。</w:t>
      </w:r>
    </w:p>
    <w:p w14:paraId="6C94BA65">
      <w:pPr>
        <w:spacing w:line="560" w:lineRule="exact"/>
        <w:ind w:firstLine="708" w:firstLineChars="200"/>
        <w:rPr>
          <w:rFonts w:eastAsia="仿宋_GB2312"/>
          <w:color w:val="000000"/>
          <w:spacing w:val="17"/>
          <w:sz w:val="32"/>
          <w:szCs w:val="32"/>
          <w:highlight w:val="none"/>
        </w:rPr>
      </w:pPr>
      <w:bookmarkStart w:id="0" w:name="_Toc31464"/>
      <w:bookmarkStart w:id="1" w:name="_Toc17882"/>
      <w:r>
        <w:rPr>
          <w:rFonts w:hint="eastAsia" w:eastAsia="仿宋_GB2312"/>
          <w:color w:val="000000"/>
          <w:spacing w:val="17"/>
          <w:sz w:val="32"/>
          <w:szCs w:val="32"/>
          <w:highlight w:val="none"/>
        </w:rPr>
        <w:t>计划标准：指以预先制定的目标、计划、预算、定额等作为评价标准。</w:t>
      </w:r>
      <w:bookmarkEnd w:id="0"/>
      <w:bookmarkEnd w:id="1"/>
    </w:p>
    <w:p w14:paraId="2C6BFCF0">
      <w:pPr>
        <w:pStyle w:val="2"/>
        <w:numPr>
          <w:ilvl w:val="0"/>
          <w:numId w:val="2"/>
        </w:numPr>
        <w:spacing w:before="0" w:after="0" w:line="56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14:paraId="015DD5BE">
      <w:pPr>
        <w:numPr>
          <w:ilvl w:val="0"/>
          <w:numId w:val="3"/>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前期准备。首先依据项目主要建设内容，开展前期调研；其次明确项目绩效目标、绩效评价指标体系并确定绩效评价方法；接着确定绩效工作完成值，整理资料清单；最后制定评价实施方案并进行论证。</w:t>
      </w:r>
    </w:p>
    <w:p w14:paraId="3E4A14F9">
      <w:pPr>
        <w:numPr>
          <w:ilvl w:val="0"/>
          <w:numId w:val="3"/>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12D0660F">
      <w:pPr>
        <w:numPr>
          <w:ilvl w:val="0"/>
          <w:numId w:val="3"/>
        </w:numPr>
        <w:spacing w:line="560" w:lineRule="exact"/>
        <w:ind w:firstLine="640" w:firstLineChars="200"/>
        <w:rPr>
          <w:sz w:val="32"/>
          <w:szCs w:val="32"/>
          <w:highlight w:val="none"/>
        </w:rPr>
      </w:pP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6FC9B2AD">
      <w:pPr>
        <w:numPr>
          <w:ilvl w:val="0"/>
          <w:numId w:val="4"/>
        </w:numPr>
        <w:spacing w:line="56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14:paraId="426149C3">
      <w:pPr>
        <w:pStyle w:val="2"/>
        <w:spacing w:before="0" w:after="0" w:line="560" w:lineRule="exact"/>
        <w:ind w:firstLine="643" w:firstLineChars="200"/>
        <w:jc w:val="both"/>
        <w:rPr>
          <w:rFonts w:ascii="Times New Roman" w:hAnsi="Times New Roman" w:eastAsia="楷体_GB2312"/>
          <w:highlight w:val="none"/>
        </w:rPr>
      </w:pPr>
      <w:r>
        <w:rPr>
          <w:rFonts w:hint="eastAsia" w:ascii="Times New Roman" w:hAnsi="Times New Roman" w:eastAsia="楷体_GB2312"/>
          <w:highlight w:val="none"/>
        </w:rPr>
        <w:t>（一）评价情况</w:t>
      </w:r>
    </w:p>
    <w:p w14:paraId="107EF541">
      <w:pPr>
        <w:spacing w:line="600" w:lineRule="exact"/>
        <w:ind w:firstLine="640" w:firstLineChars="200"/>
        <w:outlineLvl w:val="0"/>
        <w:rPr>
          <w:rFonts w:eastAsia="仿宋_GB2312"/>
          <w:kern w:val="28"/>
          <w:sz w:val="32"/>
          <w:szCs w:val="32"/>
          <w:highlight w:val="none"/>
        </w:rPr>
      </w:pPr>
      <w:r>
        <w:rPr>
          <w:rFonts w:hint="eastAsia" w:eastAsia="仿宋_GB2312"/>
          <w:kern w:val="28"/>
          <w:sz w:val="32"/>
          <w:szCs w:val="32"/>
          <w:highlight w:val="none"/>
        </w:rPr>
        <w:t>项目总体组织规范，在项目实施过</w:t>
      </w:r>
      <w:r>
        <w:rPr>
          <w:rFonts w:hint="eastAsia" w:eastAsia="仿宋_GB2312"/>
          <w:kern w:val="28"/>
          <w:sz w:val="32"/>
          <w:szCs w:val="32"/>
          <w:highlight w:val="none"/>
          <w:lang w:eastAsia="zh-CN"/>
        </w:rPr>
        <w:t>程中</w:t>
      </w:r>
      <w:r>
        <w:rPr>
          <w:rFonts w:hint="eastAsia" w:eastAsia="仿宋_GB2312"/>
          <w:kern w:val="28"/>
          <w:sz w:val="32"/>
          <w:szCs w:val="32"/>
          <w:highlight w:val="none"/>
        </w:rPr>
        <w:t>做到认真履职，监督到位。按照相关制度的要求，项目负责人对项目绩效监控执行情况进行跟踪监督，有效完成了本项目的工作目标，确保资金使用安全和最大效益</w:t>
      </w:r>
      <w:r>
        <w:rPr>
          <w:rFonts w:hint="eastAsia" w:eastAsia="仿宋_GB2312"/>
          <w:kern w:val="28"/>
          <w:sz w:val="32"/>
          <w:szCs w:val="32"/>
          <w:highlight w:val="none"/>
          <w:lang w:eastAsia="zh-CN"/>
        </w:rPr>
        <w:t>地</w:t>
      </w:r>
      <w:r>
        <w:rPr>
          <w:rFonts w:hint="eastAsia" w:eastAsia="仿宋_GB2312"/>
          <w:kern w:val="28"/>
          <w:sz w:val="32"/>
          <w:szCs w:val="32"/>
          <w:highlight w:val="none"/>
        </w:rPr>
        <w:t>发挥，保障项目如期按要求完成。规范了项目档案资料的整理。项目的实施达到项目预期效果。</w:t>
      </w:r>
    </w:p>
    <w:p w14:paraId="69E00911">
      <w:pPr>
        <w:pStyle w:val="2"/>
        <w:spacing w:before="0" w:after="0" w:line="560" w:lineRule="exact"/>
        <w:ind w:firstLine="643" w:firstLineChars="200"/>
        <w:jc w:val="both"/>
        <w:rPr>
          <w:rFonts w:ascii="Times New Roman" w:hAnsi="Times New Roman" w:eastAsia="楷体_GB2312"/>
          <w:highlight w:val="none"/>
        </w:rPr>
      </w:pPr>
      <w:r>
        <w:rPr>
          <w:rFonts w:hint="eastAsia" w:ascii="Times New Roman" w:hAnsi="Times New Roman" w:eastAsia="楷体_GB2312"/>
          <w:highlight w:val="none"/>
        </w:rPr>
        <w:t>（二）评价结论</w:t>
      </w:r>
    </w:p>
    <w:p w14:paraId="2BD7C857">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hint="eastAsia" w:ascii="Times New Roman" w:hAnsi="Times New Roman" w:eastAsia="仿宋_GB2312"/>
          <w:b w:val="0"/>
          <w:bCs w:val="0"/>
          <w:highlight w:val="none"/>
        </w:rPr>
        <w:t>运用绩效评价组制定的评价指标体系以及财政部《项目支出绩效评价管理办法》（财预〔2020〕10号）文件的评分标准，通过数据采集、问卷调查及访谈等方式，对2023年自治区第一批疫情防控补助（重症救治设备购置）项目进行客观评价，最终评分结果：总得分为95分，属于“优”。其中，项目决策类指标权重为20分，得分为17分，得分率为85%。项目过程类指标权重为20分，得分为20分，得分率为100%。项目产出类指标权重为40分，得分为38分，得分率为95%。项目效益类指标权重为20分，得分为20分，得分率为100%。具体打分情况详见：附件1综合评分表。</w:t>
      </w:r>
    </w:p>
    <w:p w14:paraId="29366ED1">
      <w:pPr>
        <w:pStyle w:val="2"/>
        <w:rPr>
          <w:rFonts w:ascii="Times New Roman" w:hAnsi="Times New Roman" w:eastAsia="仿宋_GB2312"/>
          <w:sz w:val="30"/>
          <w:szCs w:val="30"/>
          <w:highlight w:val="none"/>
        </w:rPr>
      </w:pPr>
      <w:r>
        <w:rPr>
          <w:rFonts w:ascii="Times New Roman" w:hAnsi="Times New Roman" w:eastAsia="仿宋_GB2312"/>
          <w:sz w:val="30"/>
          <w:szCs w:val="30"/>
          <w:highlight w:val="none"/>
        </w:rPr>
        <w:t>表1综合评分表</w:t>
      </w:r>
    </w:p>
    <w:p w14:paraId="10F89FD3">
      <w:pPr>
        <w:spacing w:line="240" w:lineRule="exact"/>
        <w:ind w:firstLine="600" w:firstLineChars="200"/>
        <w:rPr>
          <w:rFonts w:eastAsia="仿宋_GB2312"/>
          <w:sz w:val="30"/>
          <w:szCs w:val="30"/>
          <w:highlight w:val="none"/>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798"/>
        <w:gridCol w:w="1202"/>
        <w:gridCol w:w="1332"/>
        <w:gridCol w:w="618"/>
        <w:gridCol w:w="883"/>
        <w:gridCol w:w="950"/>
        <w:gridCol w:w="934"/>
        <w:gridCol w:w="899"/>
      </w:tblGrid>
      <w:tr w14:paraId="004B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0688571">
            <w:pPr>
              <w:widowControl/>
              <w:spacing w:before="156" w:beforeLines="50" w:after="156" w:afterLines="50" w:line="0" w:lineRule="atLeast"/>
              <w:rPr>
                <w:highlight w:val="none"/>
              </w:rPr>
            </w:pPr>
            <w:r>
              <w:rPr>
                <w:b/>
                <w:bCs/>
                <w:color w:val="000000"/>
                <w:kern w:val="0"/>
                <w:sz w:val="22"/>
                <w:szCs w:val="22"/>
                <w:highlight w:val="none"/>
              </w:rPr>
              <w:t>一级指标</w:t>
            </w:r>
          </w:p>
        </w:tc>
        <w:tc>
          <w:tcPr>
            <w:tcW w:w="798" w:type="dxa"/>
            <w:vAlign w:val="center"/>
          </w:tcPr>
          <w:p w14:paraId="05F95074">
            <w:pPr>
              <w:widowControl/>
              <w:spacing w:before="156" w:beforeLines="50" w:after="156" w:afterLines="50" w:line="0" w:lineRule="atLeast"/>
              <w:jc w:val="center"/>
              <w:rPr>
                <w:highlight w:val="none"/>
              </w:rPr>
            </w:pPr>
            <w:r>
              <w:rPr>
                <w:b/>
                <w:bCs/>
                <w:color w:val="000000"/>
                <w:kern w:val="0"/>
                <w:sz w:val="22"/>
                <w:szCs w:val="22"/>
                <w:highlight w:val="none"/>
              </w:rPr>
              <w:t>分值</w:t>
            </w:r>
          </w:p>
        </w:tc>
        <w:tc>
          <w:tcPr>
            <w:tcW w:w="1202" w:type="dxa"/>
            <w:vAlign w:val="center"/>
          </w:tcPr>
          <w:p w14:paraId="03BC760A">
            <w:pPr>
              <w:widowControl/>
              <w:spacing w:before="156" w:beforeLines="50" w:after="156" w:afterLines="50" w:line="0" w:lineRule="atLeast"/>
              <w:jc w:val="center"/>
              <w:rPr>
                <w:highlight w:val="none"/>
              </w:rPr>
            </w:pPr>
            <w:r>
              <w:rPr>
                <w:b/>
                <w:bCs/>
                <w:color w:val="000000"/>
                <w:kern w:val="0"/>
                <w:sz w:val="22"/>
                <w:szCs w:val="22"/>
                <w:highlight w:val="none"/>
              </w:rPr>
              <w:t>二级指标</w:t>
            </w:r>
          </w:p>
        </w:tc>
        <w:tc>
          <w:tcPr>
            <w:tcW w:w="1332" w:type="dxa"/>
            <w:vAlign w:val="center"/>
          </w:tcPr>
          <w:p w14:paraId="10A86C7D">
            <w:pPr>
              <w:widowControl/>
              <w:spacing w:before="156" w:beforeLines="50" w:after="156" w:afterLines="50" w:line="0" w:lineRule="atLeast"/>
              <w:jc w:val="center"/>
              <w:rPr>
                <w:highlight w:val="none"/>
              </w:rPr>
            </w:pPr>
            <w:r>
              <w:rPr>
                <w:b/>
                <w:bCs/>
                <w:color w:val="000000"/>
                <w:kern w:val="0"/>
                <w:sz w:val="22"/>
                <w:szCs w:val="22"/>
                <w:highlight w:val="none"/>
              </w:rPr>
              <w:t>三级指标</w:t>
            </w:r>
          </w:p>
        </w:tc>
        <w:tc>
          <w:tcPr>
            <w:tcW w:w="618" w:type="dxa"/>
            <w:vAlign w:val="center"/>
          </w:tcPr>
          <w:p w14:paraId="4297FFA5">
            <w:pPr>
              <w:widowControl/>
              <w:spacing w:before="156" w:beforeLines="50" w:after="156" w:afterLines="50" w:line="0" w:lineRule="atLeast"/>
              <w:jc w:val="center"/>
              <w:rPr>
                <w:highlight w:val="none"/>
              </w:rPr>
            </w:pPr>
            <w:r>
              <w:rPr>
                <w:b/>
                <w:bCs/>
                <w:color w:val="000000"/>
                <w:kern w:val="0"/>
                <w:sz w:val="22"/>
                <w:szCs w:val="22"/>
                <w:highlight w:val="none"/>
              </w:rPr>
              <w:t>权重</w:t>
            </w:r>
          </w:p>
        </w:tc>
        <w:tc>
          <w:tcPr>
            <w:tcW w:w="883" w:type="dxa"/>
            <w:vAlign w:val="center"/>
          </w:tcPr>
          <w:p w14:paraId="69F018AB">
            <w:pPr>
              <w:widowControl/>
              <w:tabs>
                <w:tab w:val="left" w:pos="1333"/>
                <w:tab w:val="center" w:pos="3623"/>
              </w:tabs>
              <w:spacing w:before="156" w:beforeLines="50" w:after="156" w:afterLines="50" w:line="0" w:lineRule="atLeast"/>
              <w:jc w:val="center"/>
              <w:rPr>
                <w:highlight w:val="none"/>
              </w:rPr>
            </w:pPr>
            <w:r>
              <w:rPr>
                <w:b/>
                <w:bCs/>
                <w:color w:val="000000"/>
                <w:kern w:val="0"/>
                <w:sz w:val="22"/>
                <w:szCs w:val="22"/>
                <w:highlight w:val="none"/>
              </w:rPr>
              <w:t>目标值</w:t>
            </w:r>
          </w:p>
        </w:tc>
        <w:tc>
          <w:tcPr>
            <w:tcW w:w="950" w:type="dxa"/>
            <w:vAlign w:val="center"/>
          </w:tcPr>
          <w:p w14:paraId="4D861054">
            <w:pPr>
              <w:widowControl/>
              <w:tabs>
                <w:tab w:val="left" w:pos="1333"/>
                <w:tab w:val="center" w:pos="3623"/>
              </w:tabs>
              <w:spacing w:before="156" w:beforeLines="50" w:after="156" w:afterLines="50" w:line="0" w:lineRule="atLeast"/>
              <w:jc w:val="center"/>
              <w:rPr>
                <w:highlight w:val="none"/>
              </w:rPr>
            </w:pPr>
            <w:r>
              <w:rPr>
                <w:b/>
                <w:bCs/>
                <w:color w:val="000000"/>
                <w:kern w:val="0"/>
                <w:sz w:val="22"/>
                <w:szCs w:val="22"/>
                <w:highlight w:val="none"/>
              </w:rPr>
              <w:t>业绩值</w:t>
            </w:r>
          </w:p>
        </w:tc>
        <w:tc>
          <w:tcPr>
            <w:tcW w:w="934" w:type="dxa"/>
            <w:vAlign w:val="center"/>
          </w:tcPr>
          <w:p w14:paraId="235BE5F9">
            <w:pPr>
              <w:widowControl/>
              <w:tabs>
                <w:tab w:val="left" w:pos="1333"/>
                <w:tab w:val="center" w:pos="3623"/>
              </w:tabs>
              <w:spacing w:before="156" w:beforeLines="50" w:after="156" w:afterLines="50" w:line="0" w:lineRule="atLeast"/>
              <w:jc w:val="center"/>
              <w:rPr>
                <w:highlight w:val="none"/>
              </w:rPr>
            </w:pPr>
            <w:r>
              <w:rPr>
                <w:b/>
                <w:bCs/>
                <w:color w:val="000000"/>
                <w:kern w:val="0"/>
                <w:sz w:val="22"/>
                <w:szCs w:val="22"/>
                <w:highlight w:val="none"/>
              </w:rPr>
              <w:t>得分率</w:t>
            </w:r>
          </w:p>
        </w:tc>
        <w:tc>
          <w:tcPr>
            <w:tcW w:w="899" w:type="dxa"/>
            <w:vAlign w:val="center"/>
          </w:tcPr>
          <w:p w14:paraId="22081ED3">
            <w:pPr>
              <w:widowControl/>
              <w:tabs>
                <w:tab w:val="left" w:pos="1333"/>
                <w:tab w:val="center" w:pos="3623"/>
              </w:tabs>
              <w:spacing w:before="156" w:beforeLines="50" w:after="156" w:afterLines="50" w:line="0" w:lineRule="atLeast"/>
              <w:jc w:val="center"/>
              <w:rPr>
                <w:highlight w:val="none"/>
              </w:rPr>
            </w:pPr>
            <w:r>
              <w:rPr>
                <w:b/>
                <w:bCs/>
                <w:color w:val="000000"/>
                <w:kern w:val="0"/>
                <w:sz w:val="22"/>
                <w:szCs w:val="22"/>
                <w:highlight w:val="none"/>
              </w:rPr>
              <w:t>得分</w:t>
            </w:r>
          </w:p>
        </w:tc>
      </w:tr>
      <w:tr w14:paraId="78A7B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restart"/>
            <w:vAlign w:val="center"/>
          </w:tcPr>
          <w:p w14:paraId="34920ACD">
            <w:pPr>
              <w:widowControl/>
              <w:spacing w:before="156" w:beforeLines="50" w:after="156" w:afterLines="50" w:line="0" w:lineRule="atLeast"/>
              <w:jc w:val="center"/>
              <w:rPr>
                <w:highlight w:val="none"/>
              </w:rPr>
            </w:pPr>
            <w:r>
              <w:rPr>
                <w:color w:val="000000"/>
                <w:kern w:val="0"/>
                <w:sz w:val="22"/>
                <w:szCs w:val="22"/>
                <w:highlight w:val="none"/>
              </w:rPr>
              <w:t>决策</w:t>
            </w:r>
          </w:p>
        </w:tc>
        <w:tc>
          <w:tcPr>
            <w:tcW w:w="798" w:type="dxa"/>
            <w:vMerge w:val="restart"/>
            <w:vAlign w:val="center"/>
          </w:tcPr>
          <w:p w14:paraId="33397AB2">
            <w:pPr>
              <w:widowControl/>
              <w:spacing w:before="156" w:beforeLines="50" w:after="156" w:afterLines="50" w:line="0" w:lineRule="atLeast"/>
              <w:jc w:val="center"/>
              <w:rPr>
                <w:highlight w:val="none"/>
              </w:rPr>
            </w:pPr>
            <w:r>
              <w:rPr>
                <w:kern w:val="0"/>
                <w:sz w:val="22"/>
                <w:szCs w:val="22"/>
                <w:highlight w:val="none"/>
              </w:rPr>
              <w:t>20分</w:t>
            </w:r>
          </w:p>
        </w:tc>
        <w:tc>
          <w:tcPr>
            <w:tcW w:w="1202" w:type="dxa"/>
            <w:vMerge w:val="restart"/>
            <w:vAlign w:val="center"/>
          </w:tcPr>
          <w:p w14:paraId="6ADD62EA">
            <w:pPr>
              <w:widowControl/>
              <w:spacing w:before="156" w:beforeLines="50" w:after="156" w:afterLines="50" w:line="0" w:lineRule="atLeast"/>
              <w:jc w:val="center"/>
              <w:rPr>
                <w:highlight w:val="none"/>
              </w:rPr>
            </w:pPr>
            <w:r>
              <w:rPr>
                <w:color w:val="000000"/>
                <w:kern w:val="0"/>
                <w:sz w:val="22"/>
                <w:szCs w:val="22"/>
                <w:highlight w:val="none"/>
              </w:rPr>
              <w:t>项目立项</w:t>
            </w:r>
          </w:p>
        </w:tc>
        <w:tc>
          <w:tcPr>
            <w:tcW w:w="1332" w:type="dxa"/>
            <w:vAlign w:val="center"/>
          </w:tcPr>
          <w:p w14:paraId="7FBD0380">
            <w:pPr>
              <w:widowControl/>
              <w:spacing w:before="156" w:beforeLines="50" w:after="156" w:afterLines="50" w:line="0" w:lineRule="atLeast"/>
              <w:jc w:val="center"/>
              <w:rPr>
                <w:color w:val="000000"/>
                <w:kern w:val="0"/>
                <w:sz w:val="22"/>
                <w:szCs w:val="22"/>
                <w:highlight w:val="none"/>
              </w:rPr>
            </w:pPr>
            <w:r>
              <w:rPr>
                <w:color w:val="000000"/>
                <w:kern w:val="0"/>
                <w:sz w:val="22"/>
                <w:szCs w:val="22"/>
                <w:highlight w:val="none"/>
              </w:rPr>
              <w:t>立项依据</w:t>
            </w:r>
          </w:p>
          <w:p w14:paraId="22CA6509">
            <w:pPr>
              <w:widowControl/>
              <w:spacing w:before="156" w:beforeLines="50" w:after="156" w:afterLines="50" w:line="0" w:lineRule="atLeast"/>
              <w:jc w:val="center"/>
              <w:rPr>
                <w:highlight w:val="none"/>
              </w:rPr>
            </w:pPr>
            <w:r>
              <w:rPr>
                <w:color w:val="000000"/>
                <w:kern w:val="0"/>
                <w:sz w:val="22"/>
                <w:szCs w:val="22"/>
                <w:highlight w:val="none"/>
              </w:rPr>
              <w:t>充分性</w:t>
            </w:r>
          </w:p>
        </w:tc>
        <w:tc>
          <w:tcPr>
            <w:tcW w:w="618" w:type="dxa"/>
            <w:vAlign w:val="center"/>
          </w:tcPr>
          <w:p w14:paraId="6823D453">
            <w:pPr>
              <w:widowControl/>
              <w:spacing w:before="156" w:beforeLines="50" w:after="156" w:afterLines="50" w:line="0" w:lineRule="atLeast"/>
              <w:jc w:val="center"/>
              <w:rPr>
                <w:highlight w:val="none"/>
              </w:rPr>
            </w:pPr>
            <w:r>
              <w:rPr>
                <w:color w:val="000000"/>
                <w:kern w:val="0"/>
                <w:sz w:val="22"/>
                <w:szCs w:val="22"/>
                <w:highlight w:val="none"/>
              </w:rPr>
              <w:t>3</w:t>
            </w:r>
          </w:p>
        </w:tc>
        <w:tc>
          <w:tcPr>
            <w:tcW w:w="883" w:type="dxa"/>
            <w:vAlign w:val="center"/>
          </w:tcPr>
          <w:p w14:paraId="75398FB1">
            <w:pPr>
              <w:widowControl/>
              <w:spacing w:before="156" w:beforeLines="50" w:after="156" w:afterLines="50" w:line="0" w:lineRule="atLeast"/>
              <w:jc w:val="center"/>
              <w:rPr>
                <w:highlight w:val="none"/>
              </w:rPr>
            </w:pPr>
            <w:r>
              <w:rPr>
                <w:color w:val="000000"/>
                <w:kern w:val="0"/>
                <w:sz w:val="22"/>
                <w:szCs w:val="22"/>
                <w:highlight w:val="none"/>
              </w:rPr>
              <w:t>充分</w:t>
            </w:r>
          </w:p>
        </w:tc>
        <w:tc>
          <w:tcPr>
            <w:tcW w:w="950" w:type="dxa"/>
            <w:vAlign w:val="center"/>
          </w:tcPr>
          <w:p w14:paraId="6862B762">
            <w:pPr>
              <w:widowControl/>
              <w:spacing w:before="156" w:beforeLines="50" w:after="156" w:afterLines="50" w:line="0" w:lineRule="atLeast"/>
              <w:jc w:val="center"/>
              <w:rPr>
                <w:highlight w:val="none"/>
              </w:rPr>
            </w:pPr>
            <w:r>
              <w:rPr>
                <w:color w:val="000000"/>
                <w:kern w:val="0"/>
                <w:sz w:val="22"/>
                <w:szCs w:val="22"/>
                <w:highlight w:val="none"/>
              </w:rPr>
              <w:t>充分</w:t>
            </w:r>
          </w:p>
        </w:tc>
        <w:tc>
          <w:tcPr>
            <w:tcW w:w="934" w:type="dxa"/>
            <w:vAlign w:val="center"/>
          </w:tcPr>
          <w:p w14:paraId="2DE5B3A0">
            <w:pPr>
              <w:widowControl/>
              <w:spacing w:line="0" w:lineRule="atLeast"/>
              <w:jc w:val="center"/>
              <w:rPr>
                <w:highlight w:val="none"/>
              </w:rPr>
            </w:pPr>
            <w:r>
              <w:rPr>
                <w:rFonts w:hint="eastAsia"/>
                <w:color w:val="000000"/>
                <w:kern w:val="0"/>
                <w:sz w:val="22"/>
                <w:szCs w:val="22"/>
                <w:highlight w:val="none"/>
              </w:rPr>
              <w:t>100%</w:t>
            </w:r>
          </w:p>
        </w:tc>
        <w:tc>
          <w:tcPr>
            <w:tcW w:w="899" w:type="dxa"/>
            <w:vAlign w:val="center"/>
          </w:tcPr>
          <w:p w14:paraId="0D4AD7BB">
            <w:pPr>
              <w:widowControl/>
              <w:spacing w:line="0" w:lineRule="atLeast"/>
              <w:jc w:val="center"/>
              <w:rPr>
                <w:highlight w:val="none"/>
              </w:rPr>
            </w:pPr>
            <w:r>
              <w:rPr>
                <w:rFonts w:hint="eastAsia"/>
                <w:highlight w:val="none"/>
              </w:rPr>
              <w:t>3</w:t>
            </w:r>
          </w:p>
        </w:tc>
      </w:tr>
      <w:tr w14:paraId="3D12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continue"/>
          </w:tcPr>
          <w:p w14:paraId="11DC062D">
            <w:pPr>
              <w:rPr>
                <w:highlight w:val="none"/>
              </w:rPr>
            </w:pPr>
          </w:p>
        </w:tc>
        <w:tc>
          <w:tcPr>
            <w:tcW w:w="798" w:type="dxa"/>
            <w:vMerge w:val="continue"/>
          </w:tcPr>
          <w:p w14:paraId="30C1F3BA">
            <w:pPr>
              <w:rPr>
                <w:highlight w:val="none"/>
              </w:rPr>
            </w:pPr>
          </w:p>
        </w:tc>
        <w:tc>
          <w:tcPr>
            <w:tcW w:w="1202" w:type="dxa"/>
            <w:vMerge w:val="continue"/>
          </w:tcPr>
          <w:p w14:paraId="3A75FF64">
            <w:pPr>
              <w:rPr>
                <w:highlight w:val="none"/>
              </w:rPr>
            </w:pPr>
          </w:p>
        </w:tc>
        <w:tc>
          <w:tcPr>
            <w:tcW w:w="1332" w:type="dxa"/>
            <w:vAlign w:val="center"/>
          </w:tcPr>
          <w:p w14:paraId="15A2C06B">
            <w:pPr>
              <w:widowControl/>
              <w:spacing w:before="156" w:beforeLines="50" w:after="156" w:afterLines="50" w:line="0" w:lineRule="atLeast"/>
              <w:jc w:val="center"/>
              <w:rPr>
                <w:color w:val="000000"/>
                <w:kern w:val="0"/>
                <w:sz w:val="22"/>
                <w:szCs w:val="22"/>
                <w:highlight w:val="none"/>
              </w:rPr>
            </w:pPr>
            <w:r>
              <w:rPr>
                <w:color w:val="000000"/>
                <w:kern w:val="0"/>
                <w:sz w:val="22"/>
                <w:szCs w:val="22"/>
                <w:highlight w:val="none"/>
              </w:rPr>
              <w:t>立项程序</w:t>
            </w:r>
          </w:p>
          <w:p w14:paraId="7C005A2C">
            <w:pPr>
              <w:widowControl/>
              <w:spacing w:before="156" w:beforeLines="50" w:after="156" w:afterLines="50" w:line="0" w:lineRule="atLeast"/>
              <w:jc w:val="center"/>
              <w:rPr>
                <w:highlight w:val="none"/>
              </w:rPr>
            </w:pPr>
            <w:r>
              <w:rPr>
                <w:color w:val="000000"/>
                <w:kern w:val="0"/>
                <w:sz w:val="22"/>
                <w:szCs w:val="22"/>
                <w:highlight w:val="none"/>
              </w:rPr>
              <w:t>规范性</w:t>
            </w:r>
          </w:p>
        </w:tc>
        <w:tc>
          <w:tcPr>
            <w:tcW w:w="618" w:type="dxa"/>
            <w:vAlign w:val="center"/>
          </w:tcPr>
          <w:p w14:paraId="2AE28679">
            <w:pPr>
              <w:widowControl/>
              <w:spacing w:before="156" w:beforeLines="50" w:after="156" w:afterLines="50" w:line="0" w:lineRule="atLeast"/>
              <w:jc w:val="center"/>
              <w:rPr>
                <w:highlight w:val="none"/>
              </w:rPr>
            </w:pPr>
            <w:r>
              <w:rPr>
                <w:color w:val="000000"/>
                <w:kern w:val="0"/>
                <w:sz w:val="22"/>
                <w:szCs w:val="22"/>
                <w:highlight w:val="none"/>
              </w:rPr>
              <w:t>3</w:t>
            </w:r>
          </w:p>
        </w:tc>
        <w:tc>
          <w:tcPr>
            <w:tcW w:w="883" w:type="dxa"/>
            <w:vAlign w:val="center"/>
          </w:tcPr>
          <w:p w14:paraId="5F2568CB">
            <w:pPr>
              <w:widowControl/>
              <w:spacing w:before="156" w:beforeLines="50" w:after="156" w:afterLines="50" w:line="0" w:lineRule="atLeast"/>
              <w:jc w:val="center"/>
              <w:rPr>
                <w:highlight w:val="none"/>
              </w:rPr>
            </w:pPr>
            <w:r>
              <w:rPr>
                <w:color w:val="000000"/>
                <w:kern w:val="0"/>
                <w:sz w:val="22"/>
                <w:szCs w:val="22"/>
                <w:highlight w:val="none"/>
              </w:rPr>
              <w:t>规范</w:t>
            </w:r>
          </w:p>
        </w:tc>
        <w:tc>
          <w:tcPr>
            <w:tcW w:w="950" w:type="dxa"/>
            <w:vAlign w:val="center"/>
          </w:tcPr>
          <w:p w14:paraId="7FC03A6D">
            <w:pPr>
              <w:widowControl/>
              <w:spacing w:before="156" w:beforeLines="50" w:after="156" w:afterLines="50" w:line="0" w:lineRule="atLeast"/>
              <w:jc w:val="center"/>
              <w:rPr>
                <w:highlight w:val="none"/>
              </w:rPr>
            </w:pPr>
            <w:r>
              <w:rPr>
                <w:color w:val="000000"/>
                <w:kern w:val="0"/>
                <w:sz w:val="22"/>
                <w:szCs w:val="22"/>
                <w:highlight w:val="none"/>
              </w:rPr>
              <w:t>规范</w:t>
            </w:r>
          </w:p>
        </w:tc>
        <w:tc>
          <w:tcPr>
            <w:tcW w:w="934" w:type="dxa"/>
            <w:vAlign w:val="center"/>
          </w:tcPr>
          <w:p w14:paraId="1BA6F1AE">
            <w:pPr>
              <w:widowControl/>
              <w:spacing w:line="0" w:lineRule="atLeast"/>
              <w:jc w:val="center"/>
              <w:rPr>
                <w:highlight w:val="none"/>
              </w:rPr>
            </w:pPr>
            <w:r>
              <w:rPr>
                <w:rFonts w:hint="eastAsia"/>
                <w:color w:val="000000"/>
                <w:kern w:val="0"/>
                <w:sz w:val="22"/>
                <w:szCs w:val="22"/>
                <w:highlight w:val="none"/>
              </w:rPr>
              <w:t>66.67%</w:t>
            </w:r>
          </w:p>
        </w:tc>
        <w:tc>
          <w:tcPr>
            <w:tcW w:w="899" w:type="dxa"/>
            <w:vAlign w:val="center"/>
          </w:tcPr>
          <w:p w14:paraId="3781CF48">
            <w:pPr>
              <w:widowControl/>
              <w:spacing w:line="0" w:lineRule="atLeast"/>
              <w:jc w:val="center"/>
              <w:rPr>
                <w:highlight w:val="none"/>
              </w:rPr>
            </w:pPr>
            <w:r>
              <w:rPr>
                <w:rFonts w:hint="eastAsia"/>
                <w:highlight w:val="none"/>
              </w:rPr>
              <w:t>2</w:t>
            </w:r>
          </w:p>
        </w:tc>
      </w:tr>
      <w:tr w14:paraId="47AF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continue"/>
          </w:tcPr>
          <w:p w14:paraId="11BB6259">
            <w:pPr>
              <w:rPr>
                <w:highlight w:val="none"/>
              </w:rPr>
            </w:pPr>
          </w:p>
        </w:tc>
        <w:tc>
          <w:tcPr>
            <w:tcW w:w="798" w:type="dxa"/>
            <w:vMerge w:val="continue"/>
          </w:tcPr>
          <w:p w14:paraId="0674BA05">
            <w:pPr>
              <w:rPr>
                <w:highlight w:val="none"/>
              </w:rPr>
            </w:pPr>
          </w:p>
        </w:tc>
        <w:tc>
          <w:tcPr>
            <w:tcW w:w="1202" w:type="dxa"/>
            <w:vMerge w:val="restart"/>
            <w:vAlign w:val="center"/>
          </w:tcPr>
          <w:p w14:paraId="75FF1B0A">
            <w:pPr>
              <w:widowControl/>
              <w:spacing w:before="156" w:beforeLines="50" w:after="156" w:afterLines="50" w:line="0" w:lineRule="atLeast"/>
              <w:jc w:val="center"/>
              <w:rPr>
                <w:highlight w:val="none"/>
              </w:rPr>
            </w:pPr>
            <w:r>
              <w:rPr>
                <w:color w:val="000000"/>
                <w:kern w:val="0"/>
                <w:sz w:val="22"/>
                <w:szCs w:val="22"/>
                <w:highlight w:val="none"/>
              </w:rPr>
              <w:t>绩效目标</w:t>
            </w:r>
          </w:p>
        </w:tc>
        <w:tc>
          <w:tcPr>
            <w:tcW w:w="1332" w:type="dxa"/>
            <w:vAlign w:val="center"/>
          </w:tcPr>
          <w:p w14:paraId="6DAA52DF">
            <w:pPr>
              <w:widowControl/>
              <w:spacing w:before="156" w:beforeLines="50" w:after="156" w:afterLines="50" w:line="0" w:lineRule="atLeast"/>
              <w:jc w:val="center"/>
              <w:rPr>
                <w:color w:val="000000"/>
                <w:kern w:val="0"/>
                <w:sz w:val="22"/>
                <w:szCs w:val="22"/>
                <w:highlight w:val="none"/>
              </w:rPr>
            </w:pPr>
            <w:r>
              <w:rPr>
                <w:color w:val="000000"/>
                <w:kern w:val="0"/>
                <w:sz w:val="22"/>
                <w:szCs w:val="22"/>
                <w:highlight w:val="none"/>
              </w:rPr>
              <w:t>绩效目标</w:t>
            </w:r>
          </w:p>
          <w:p w14:paraId="10D9EDDB">
            <w:pPr>
              <w:widowControl/>
              <w:spacing w:before="156" w:beforeLines="50" w:after="156" w:afterLines="50" w:line="0" w:lineRule="atLeast"/>
              <w:jc w:val="center"/>
              <w:rPr>
                <w:highlight w:val="none"/>
              </w:rPr>
            </w:pPr>
            <w:r>
              <w:rPr>
                <w:color w:val="000000"/>
                <w:kern w:val="0"/>
                <w:sz w:val="22"/>
                <w:szCs w:val="22"/>
                <w:highlight w:val="none"/>
              </w:rPr>
              <w:t>合理性</w:t>
            </w:r>
          </w:p>
        </w:tc>
        <w:tc>
          <w:tcPr>
            <w:tcW w:w="618" w:type="dxa"/>
            <w:vAlign w:val="center"/>
          </w:tcPr>
          <w:p w14:paraId="50F113E1">
            <w:pPr>
              <w:widowControl/>
              <w:spacing w:before="156" w:beforeLines="50" w:after="156" w:afterLines="50" w:line="0" w:lineRule="atLeast"/>
              <w:jc w:val="center"/>
              <w:rPr>
                <w:highlight w:val="none"/>
              </w:rPr>
            </w:pPr>
            <w:r>
              <w:rPr>
                <w:color w:val="000000"/>
                <w:kern w:val="0"/>
                <w:sz w:val="22"/>
                <w:szCs w:val="22"/>
                <w:highlight w:val="none"/>
              </w:rPr>
              <w:t>3</w:t>
            </w:r>
          </w:p>
        </w:tc>
        <w:tc>
          <w:tcPr>
            <w:tcW w:w="883" w:type="dxa"/>
            <w:vAlign w:val="center"/>
          </w:tcPr>
          <w:p w14:paraId="56020AB4">
            <w:pPr>
              <w:widowControl/>
              <w:spacing w:before="156" w:beforeLines="50" w:after="156" w:afterLines="50" w:line="0" w:lineRule="atLeast"/>
              <w:jc w:val="center"/>
              <w:rPr>
                <w:highlight w:val="none"/>
              </w:rPr>
            </w:pPr>
            <w:r>
              <w:rPr>
                <w:color w:val="000000"/>
                <w:kern w:val="0"/>
                <w:sz w:val="22"/>
                <w:szCs w:val="22"/>
                <w:highlight w:val="none"/>
              </w:rPr>
              <w:t>合理</w:t>
            </w:r>
          </w:p>
        </w:tc>
        <w:tc>
          <w:tcPr>
            <w:tcW w:w="950" w:type="dxa"/>
            <w:vAlign w:val="center"/>
          </w:tcPr>
          <w:p w14:paraId="4DA28E07">
            <w:pPr>
              <w:widowControl/>
              <w:spacing w:before="156" w:beforeLines="50" w:after="156" w:afterLines="50" w:line="0" w:lineRule="atLeast"/>
              <w:jc w:val="center"/>
              <w:rPr>
                <w:highlight w:val="none"/>
              </w:rPr>
            </w:pPr>
            <w:r>
              <w:rPr>
                <w:color w:val="000000"/>
                <w:kern w:val="0"/>
                <w:sz w:val="22"/>
                <w:szCs w:val="22"/>
                <w:highlight w:val="none"/>
              </w:rPr>
              <w:t>合理</w:t>
            </w:r>
          </w:p>
        </w:tc>
        <w:tc>
          <w:tcPr>
            <w:tcW w:w="934" w:type="dxa"/>
            <w:vAlign w:val="center"/>
          </w:tcPr>
          <w:p w14:paraId="3AAE3594">
            <w:pPr>
              <w:widowControl/>
              <w:spacing w:line="0" w:lineRule="atLeast"/>
              <w:jc w:val="center"/>
              <w:rPr>
                <w:highlight w:val="none"/>
              </w:rPr>
            </w:pPr>
            <w:r>
              <w:rPr>
                <w:rFonts w:hint="eastAsia"/>
                <w:color w:val="000000"/>
                <w:kern w:val="0"/>
                <w:sz w:val="22"/>
                <w:szCs w:val="22"/>
                <w:highlight w:val="none"/>
              </w:rPr>
              <w:t>66.67%</w:t>
            </w:r>
          </w:p>
        </w:tc>
        <w:tc>
          <w:tcPr>
            <w:tcW w:w="899" w:type="dxa"/>
            <w:vAlign w:val="center"/>
          </w:tcPr>
          <w:p w14:paraId="62B5A468">
            <w:pPr>
              <w:widowControl/>
              <w:spacing w:line="0" w:lineRule="atLeast"/>
              <w:jc w:val="center"/>
              <w:rPr>
                <w:highlight w:val="none"/>
              </w:rPr>
            </w:pPr>
            <w:r>
              <w:rPr>
                <w:rFonts w:hint="eastAsia"/>
                <w:color w:val="000000"/>
                <w:kern w:val="0"/>
                <w:sz w:val="22"/>
                <w:szCs w:val="22"/>
                <w:highlight w:val="none"/>
              </w:rPr>
              <w:t>2</w:t>
            </w:r>
          </w:p>
        </w:tc>
      </w:tr>
      <w:tr w14:paraId="19245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continue"/>
          </w:tcPr>
          <w:p w14:paraId="7FADD538">
            <w:pPr>
              <w:rPr>
                <w:highlight w:val="none"/>
              </w:rPr>
            </w:pPr>
          </w:p>
        </w:tc>
        <w:tc>
          <w:tcPr>
            <w:tcW w:w="798" w:type="dxa"/>
            <w:vMerge w:val="continue"/>
          </w:tcPr>
          <w:p w14:paraId="39EF6D74">
            <w:pPr>
              <w:rPr>
                <w:highlight w:val="none"/>
              </w:rPr>
            </w:pPr>
          </w:p>
        </w:tc>
        <w:tc>
          <w:tcPr>
            <w:tcW w:w="1202" w:type="dxa"/>
            <w:vMerge w:val="continue"/>
          </w:tcPr>
          <w:p w14:paraId="3369C99B">
            <w:pPr>
              <w:rPr>
                <w:highlight w:val="none"/>
              </w:rPr>
            </w:pPr>
          </w:p>
        </w:tc>
        <w:tc>
          <w:tcPr>
            <w:tcW w:w="1332" w:type="dxa"/>
            <w:vAlign w:val="center"/>
          </w:tcPr>
          <w:p w14:paraId="6EE736C2">
            <w:pPr>
              <w:widowControl/>
              <w:spacing w:before="156" w:beforeLines="50" w:after="156" w:afterLines="50" w:line="0" w:lineRule="atLeast"/>
              <w:jc w:val="center"/>
              <w:rPr>
                <w:color w:val="000000"/>
                <w:kern w:val="0"/>
                <w:sz w:val="22"/>
                <w:szCs w:val="22"/>
                <w:highlight w:val="none"/>
              </w:rPr>
            </w:pPr>
            <w:r>
              <w:rPr>
                <w:color w:val="000000"/>
                <w:kern w:val="0"/>
                <w:sz w:val="22"/>
                <w:szCs w:val="22"/>
                <w:highlight w:val="none"/>
              </w:rPr>
              <w:t>绩效指标</w:t>
            </w:r>
          </w:p>
          <w:p w14:paraId="32386246">
            <w:pPr>
              <w:widowControl/>
              <w:spacing w:before="156" w:beforeLines="50" w:after="156" w:afterLines="50" w:line="0" w:lineRule="atLeast"/>
              <w:jc w:val="center"/>
              <w:rPr>
                <w:highlight w:val="none"/>
              </w:rPr>
            </w:pPr>
            <w:r>
              <w:rPr>
                <w:color w:val="000000"/>
                <w:kern w:val="0"/>
                <w:sz w:val="22"/>
                <w:szCs w:val="22"/>
                <w:highlight w:val="none"/>
              </w:rPr>
              <w:t>明确性</w:t>
            </w:r>
          </w:p>
        </w:tc>
        <w:tc>
          <w:tcPr>
            <w:tcW w:w="618" w:type="dxa"/>
            <w:vAlign w:val="center"/>
          </w:tcPr>
          <w:p w14:paraId="3ABCEF0C">
            <w:pPr>
              <w:widowControl/>
              <w:spacing w:before="156" w:beforeLines="50" w:after="156" w:afterLines="50" w:line="0" w:lineRule="atLeast"/>
              <w:jc w:val="center"/>
              <w:rPr>
                <w:highlight w:val="none"/>
              </w:rPr>
            </w:pPr>
            <w:r>
              <w:rPr>
                <w:color w:val="000000"/>
                <w:kern w:val="0"/>
                <w:sz w:val="22"/>
                <w:szCs w:val="22"/>
                <w:highlight w:val="none"/>
              </w:rPr>
              <w:t>3</w:t>
            </w:r>
          </w:p>
        </w:tc>
        <w:tc>
          <w:tcPr>
            <w:tcW w:w="883" w:type="dxa"/>
            <w:vAlign w:val="center"/>
          </w:tcPr>
          <w:p w14:paraId="6607C042">
            <w:pPr>
              <w:widowControl/>
              <w:spacing w:before="156" w:beforeLines="50" w:after="156" w:afterLines="50" w:line="0" w:lineRule="atLeast"/>
              <w:jc w:val="center"/>
              <w:rPr>
                <w:highlight w:val="none"/>
              </w:rPr>
            </w:pPr>
            <w:r>
              <w:rPr>
                <w:color w:val="000000"/>
                <w:kern w:val="0"/>
                <w:sz w:val="22"/>
                <w:szCs w:val="22"/>
                <w:highlight w:val="none"/>
              </w:rPr>
              <w:t>明确</w:t>
            </w:r>
          </w:p>
        </w:tc>
        <w:tc>
          <w:tcPr>
            <w:tcW w:w="950" w:type="dxa"/>
            <w:vAlign w:val="center"/>
          </w:tcPr>
          <w:p w14:paraId="2565B4B7">
            <w:pPr>
              <w:widowControl/>
              <w:spacing w:before="156" w:beforeLines="50" w:after="156" w:afterLines="50" w:line="0" w:lineRule="atLeast"/>
              <w:jc w:val="center"/>
              <w:rPr>
                <w:highlight w:val="none"/>
              </w:rPr>
            </w:pPr>
            <w:r>
              <w:rPr>
                <w:color w:val="000000"/>
                <w:kern w:val="0"/>
                <w:sz w:val="22"/>
                <w:szCs w:val="22"/>
                <w:highlight w:val="none"/>
              </w:rPr>
              <w:t>明确</w:t>
            </w:r>
          </w:p>
        </w:tc>
        <w:tc>
          <w:tcPr>
            <w:tcW w:w="934" w:type="dxa"/>
            <w:vAlign w:val="center"/>
          </w:tcPr>
          <w:p w14:paraId="7218A3B9">
            <w:pPr>
              <w:widowControl/>
              <w:spacing w:line="0" w:lineRule="atLeast"/>
              <w:jc w:val="center"/>
              <w:rPr>
                <w:highlight w:val="none"/>
              </w:rPr>
            </w:pPr>
            <w:r>
              <w:rPr>
                <w:rFonts w:hint="eastAsia"/>
                <w:color w:val="000000"/>
                <w:kern w:val="0"/>
                <w:sz w:val="22"/>
                <w:szCs w:val="22"/>
                <w:highlight w:val="none"/>
              </w:rPr>
              <w:t>100%</w:t>
            </w:r>
          </w:p>
        </w:tc>
        <w:tc>
          <w:tcPr>
            <w:tcW w:w="899" w:type="dxa"/>
            <w:vAlign w:val="center"/>
          </w:tcPr>
          <w:p w14:paraId="5E54CE1C">
            <w:pPr>
              <w:widowControl/>
              <w:spacing w:line="0" w:lineRule="atLeast"/>
              <w:jc w:val="center"/>
              <w:rPr>
                <w:highlight w:val="none"/>
              </w:rPr>
            </w:pPr>
            <w:r>
              <w:rPr>
                <w:rFonts w:hint="eastAsia"/>
                <w:color w:val="000000"/>
                <w:kern w:val="0"/>
                <w:sz w:val="22"/>
                <w:szCs w:val="22"/>
                <w:highlight w:val="none"/>
              </w:rPr>
              <w:t>3</w:t>
            </w:r>
          </w:p>
        </w:tc>
      </w:tr>
      <w:tr w14:paraId="3416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continue"/>
          </w:tcPr>
          <w:p w14:paraId="5912FEAF">
            <w:pPr>
              <w:rPr>
                <w:highlight w:val="none"/>
              </w:rPr>
            </w:pPr>
          </w:p>
        </w:tc>
        <w:tc>
          <w:tcPr>
            <w:tcW w:w="798" w:type="dxa"/>
            <w:vMerge w:val="continue"/>
          </w:tcPr>
          <w:p w14:paraId="01186B2C">
            <w:pPr>
              <w:rPr>
                <w:highlight w:val="none"/>
              </w:rPr>
            </w:pPr>
          </w:p>
        </w:tc>
        <w:tc>
          <w:tcPr>
            <w:tcW w:w="1202" w:type="dxa"/>
            <w:vMerge w:val="restart"/>
            <w:vAlign w:val="center"/>
          </w:tcPr>
          <w:p w14:paraId="333AF33A">
            <w:pPr>
              <w:widowControl/>
              <w:spacing w:line="0" w:lineRule="atLeast"/>
              <w:jc w:val="center"/>
              <w:rPr>
                <w:highlight w:val="none"/>
              </w:rPr>
            </w:pPr>
            <w:r>
              <w:rPr>
                <w:color w:val="000000"/>
                <w:kern w:val="0"/>
                <w:sz w:val="22"/>
                <w:szCs w:val="22"/>
                <w:highlight w:val="none"/>
              </w:rPr>
              <w:t>资金投入</w:t>
            </w:r>
          </w:p>
        </w:tc>
        <w:tc>
          <w:tcPr>
            <w:tcW w:w="1332" w:type="dxa"/>
            <w:vAlign w:val="center"/>
          </w:tcPr>
          <w:p w14:paraId="59A6E0E7">
            <w:pPr>
              <w:widowControl/>
              <w:spacing w:line="0" w:lineRule="atLeast"/>
              <w:jc w:val="center"/>
              <w:rPr>
                <w:color w:val="000000"/>
                <w:kern w:val="0"/>
                <w:sz w:val="22"/>
                <w:szCs w:val="22"/>
                <w:highlight w:val="none"/>
              </w:rPr>
            </w:pPr>
            <w:r>
              <w:rPr>
                <w:color w:val="000000"/>
                <w:kern w:val="0"/>
                <w:sz w:val="22"/>
                <w:szCs w:val="22"/>
                <w:highlight w:val="none"/>
              </w:rPr>
              <w:t>预算编制</w:t>
            </w:r>
          </w:p>
          <w:p w14:paraId="613C48F3">
            <w:pPr>
              <w:widowControl/>
              <w:spacing w:line="0" w:lineRule="atLeast"/>
              <w:jc w:val="center"/>
              <w:rPr>
                <w:highlight w:val="none"/>
              </w:rPr>
            </w:pPr>
            <w:r>
              <w:rPr>
                <w:color w:val="000000"/>
                <w:kern w:val="0"/>
                <w:sz w:val="22"/>
                <w:szCs w:val="22"/>
                <w:highlight w:val="none"/>
              </w:rPr>
              <w:t>科学性</w:t>
            </w:r>
          </w:p>
        </w:tc>
        <w:tc>
          <w:tcPr>
            <w:tcW w:w="618" w:type="dxa"/>
            <w:vAlign w:val="center"/>
          </w:tcPr>
          <w:p w14:paraId="5A786819">
            <w:pPr>
              <w:widowControl/>
              <w:spacing w:line="0" w:lineRule="atLeast"/>
              <w:jc w:val="center"/>
              <w:rPr>
                <w:highlight w:val="none"/>
              </w:rPr>
            </w:pPr>
            <w:r>
              <w:rPr>
                <w:color w:val="000000"/>
                <w:kern w:val="0"/>
                <w:sz w:val="22"/>
                <w:szCs w:val="22"/>
                <w:highlight w:val="none"/>
              </w:rPr>
              <w:t>4</w:t>
            </w:r>
          </w:p>
        </w:tc>
        <w:tc>
          <w:tcPr>
            <w:tcW w:w="883" w:type="dxa"/>
            <w:vAlign w:val="center"/>
          </w:tcPr>
          <w:p w14:paraId="20E57EAB">
            <w:pPr>
              <w:widowControl/>
              <w:spacing w:line="0" w:lineRule="atLeast"/>
              <w:jc w:val="center"/>
              <w:rPr>
                <w:highlight w:val="none"/>
              </w:rPr>
            </w:pPr>
            <w:r>
              <w:rPr>
                <w:color w:val="000000"/>
                <w:kern w:val="0"/>
                <w:sz w:val="22"/>
                <w:szCs w:val="22"/>
                <w:highlight w:val="none"/>
              </w:rPr>
              <w:t>科学</w:t>
            </w:r>
          </w:p>
        </w:tc>
        <w:tc>
          <w:tcPr>
            <w:tcW w:w="950" w:type="dxa"/>
            <w:vAlign w:val="center"/>
          </w:tcPr>
          <w:p w14:paraId="28F9758A">
            <w:pPr>
              <w:widowControl/>
              <w:spacing w:line="0" w:lineRule="atLeast"/>
              <w:jc w:val="center"/>
              <w:rPr>
                <w:highlight w:val="none"/>
              </w:rPr>
            </w:pPr>
            <w:r>
              <w:rPr>
                <w:color w:val="000000"/>
                <w:kern w:val="0"/>
                <w:sz w:val="22"/>
                <w:szCs w:val="22"/>
                <w:highlight w:val="none"/>
              </w:rPr>
              <w:t>科学</w:t>
            </w:r>
          </w:p>
        </w:tc>
        <w:tc>
          <w:tcPr>
            <w:tcW w:w="934" w:type="dxa"/>
            <w:vAlign w:val="center"/>
          </w:tcPr>
          <w:p w14:paraId="7CC3DA1B">
            <w:pPr>
              <w:widowControl/>
              <w:spacing w:line="0" w:lineRule="atLeast"/>
              <w:jc w:val="center"/>
              <w:rPr>
                <w:highlight w:val="none"/>
              </w:rPr>
            </w:pPr>
            <w:r>
              <w:rPr>
                <w:rFonts w:hint="eastAsia"/>
                <w:color w:val="000000"/>
                <w:kern w:val="0"/>
                <w:sz w:val="22"/>
                <w:szCs w:val="22"/>
                <w:highlight w:val="none"/>
              </w:rPr>
              <w:t>100%</w:t>
            </w:r>
          </w:p>
        </w:tc>
        <w:tc>
          <w:tcPr>
            <w:tcW w:w="899" w:type="dxa"/>
            <w:vAlign w:val="center"/>
          </w:tcPr>
          <w:p w14:paraId="5DAC6C87">
            <w:pPr>
              <w:widowControl/>
              <w:spacing w:line="0" w:lineRule="atLeast"/>
              <w:jc w:val="center"/>
              <w:rPr>
                <w:highlight w:val="none"/>
              </w:rPr>
            </w:pPr>
            <w:r>
              <w:rPr>
                <w:rFonts w:hint="eastAsia"/>
                <w:color w:val="000000"/>
                <w:kern w:val="0"/>
                <w:sz w:val="22"/>
                <w:szCs w:val="22"/>
                <w:highlight w:val="none"/>
              </w:rPr>
              <w:t>4</w:t>
            </w:r>
          </w:p>
        </w:tc>
      </w:tr>
      <w:tr w14:paraId="10BA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continue"/>
          </w:tcPr>
          <w:p w14:paraId="7A518128">
            <w:pPr>
              <w:rPr>
                <w:highlight w:val="none"/>
              </w:rPr>
            </w:pPr>
          </w:p>
        </w:tc>
        <w:tc>
          <w:tcPr>
            <w:tcW w:w="798" w:type="dxa"/>
            <w:vMerge w:val="continue"/>
          </w:tcPr>
          <w:p w14:paraId="52929066">
            <w:pPr>
              <w:rPr>
                <w:highlight w:val="none"/>
              </w:rPr>
            </w:pPr>
          </w:p>
        </w:tc>
        <w:tc>
          <w:tcPr>
            <w:tcW w:w="1202" w:type="dxa"/>
            <w:vMerge w:val="continue"/>
          </w:tcPr>
          <w:p w14:paraId="3714F51E">
            <w:pPr>
              <w:rPr>
                <w:highlight w:val="none"/>
              </w:rPr>
            </w:pPr>
          </w:p>
        </w:tc>
        <w:tc>
          <w:tcPr>
            <w:tcW w:w="1332" w:type="dxa"/>
            <w:vAlign w:val="center"/>
          </w:tcPr>
          <w:p w14:paraId="52262EA9">
            <w:pPr>
              <w:widowControl/>
              <w:spacing w:line="0" w:lineRule="atLeast"/>
              <w:jc w:val="center"/>
              <w:rPr>
                <w:color w:val="000000"/>
                <w:kern w:val="0"/>
                <w:sz w:val="22"/>
                <w:szCs w:val="22"/>
                <w:highlight w:val="none"/>
              </w:rPr>
            </w:pPr>
            <w:r>
              <w:rPr>
                <w:color w:val="000000"/>
                <w:kern w:val="0"/>
                <w:sz w:val="22"/>
                <w:szCs w:val="22"/>
                <w:highlight w:val="none"/>
              </w:rPr>
              <w:t>资金分配</w:t>
            </w:r>
          </w:p>
          <w:p w14:paraId="14E3F18B">
            <w:pPr>
              <w:widowControl/>
              <w:spacing w:line="0" w:lineRule="atLeast"/>
              <w:jc w:val="center"/>
              <w:rPr>
                <w:highlight w:val="none"/>
              </w:rPr>
            </w:pPr>
            <w:r>
              <w:rPr>
                <w:color w:val="000000"/>
                <w:kern w:val="0"/>
                <w:sz w:val="22"/>
                <w:szCs w:val="22"/>
                <w:highlight w:val="none"/>
              </w:rPr>
              <w:t>合理性</w:t>
            </w:r>
          </w:p>
        </w:tc>
        <w:tc>
          <w:tcPr>
            <w:tcW w:w="618" w:type="dxa"/>
            <w:vAlign w:val="center"/>
          </w:tcPr>
          <w:p w14:paraId="3DC74441">
            <w:pPr>
              <w:widowControl/>
              <w:spacing w:line="0" w:lineRule="atLeast"/>
              <w:jc w:val="center"/>
              <w:rPr>
                <w:highlight w:val="none"/>
              </w:rPr>
            </w:pPr>
            <w:r>
              <w:rPr>
                <w:color w:val="000000"/>
                <w:kern w:val="0"/>
                <w:sz w:val="22"/>
                <w:szCs w:val="22"/>
                <w:highlight w:val="none"/>
              </w:rPr>
              <w:t>4</w:t>
            </w:r>
          </w:p>
        </w:tc>
        <w:tc>
          <w:tcPr>
            <w:tcW w:w="883" w:type="dxa"/>
            <w:vAlign w:val="center"/>
          </w:tcPr>
          <w:p w14:paraId="662A934C">
            <w:pPr>
              <w:widowControl/>
              <w:spacing w:line="0" w:lineRule="atLeast"/>
              <w:jc w:val="center"/>
              <w:rPr>
                <w:highlight w:val="none"/>
              </w:rPr>
            </w:pPr>
            <w:r>
              <w:rPr>
                <w:color w:val="000000"/>
                <w:kern w:val="0"/>
                <w:sz w:val="22"/>
                <w:szCs w:val="22"/>
                <w:highlight w:val="none"/>
              </w:rPr>
              <w:t>合理</w:t>
            </w:r>
          </w:p>
        </w:tc>
        <w:tc>
          <w:tcPr>
            <w:tcW w:w="950" w:type="dxa"/>
            <w:vAlign w:val="center"/>
          </w:tcPr>
          <w:p w14:paraId="4CCC34C0">
            <w:pPr>
              <w:widowControl/>
              <w:spacing w:line="0" w:lineRule="atLeast"/>
              <w:jc w:val="center"/>
              <w:rPr>
                <w:highlight w:val="none"/>
              </w:rPr>
            </w:pPr>
            <w:r>
              <w:rPr>
                <w:color w:val="000000"/>
                <w:kern w:val="0"/>
                <w:sz w:val="22"/>
                <w:szCs w:val="22"/>
                <w:highlight w:val="none"/>
              </w:rPr>
              <w:t>合理</w:t>
            </w:r>
          </w:p>
        </w:tc>
        <w:tc>
          <w:tcPr>
            <w:tcW w:w="934" w:type="dxa"/>
            <w:vAlign w:val="center"/>
          </w:tcPr>
          <w:p w14:paraId="7F15AB96">
            <w:pPr>
              <w:widowControl/>
              <w:spacing w:line="0" w:lineRule="atLeast"/>
              <w:jc w:val="center"/>
              <w:rPr>
                <w:highlight w:val="none"/>
              </w:rPr>
            </w:pPr>
            <w:r>
              <w:rPr>
                <w:rFonts w:hint="eastAsia"/>
                <w:color w:val="000000"/>
                <w:kern w:val="0"/>
                <w:sz w:val="22"/>
                <w:szCs w:val="22"/>
                <w:highlight w:val="none"/>
              </w:rPr>
              <w:t>75%</w:t>
            </w:r>
          </w:p>
        </w:tc>
        <w:tc>
          <w:tcPr>
            <w:tcW w:w="899" w:type="dxa"/>
            <w:vAlign w:val="center"/>
          </w:tcPr>
          <w:p w14:paraId="71F8099C">
            <w:pPr>
              <w:widowControl/>
              <w:spacing w:line="0" w:lineRule="atLeast"/>
              <w:jc w:val="center"/>
              <w:rPr>
                <w:highlight w:val="none"/>
              </w:rPr>
            </w:pPr>
            <w:r>
              <w:rPr>
                <w:rFonts w:hint="eastAsia"/>
                <w:color w:val="000000"/>
                <w:kern w:val="0"/>
                <w:sz w:val="22"/>
                <w:szCs w:val="22"/>
                <w:highlight w:val="none"/>
              </w:rPr>
              <w:t>3</w:t>
            </w:r>
          </w:p>
        </w:tc>
      </w:tr>
      <w:tr w14:paraId="058C7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restart"/>
            <w:vAlign w:val="center"/>
          </w:tcPr>
          <w:p w14:paraId="6462666D">
            <w:pPr>
              <w:spacing w:line="0" w:lineRule="atLeast"/>
              <w:jc w:val="center"/>
              <w:rPr>
                <w:color w:val="000000"/>
                <w:kern w:val="0"/>
                <w:sz w:val="22"/>
                <w:szCs w:val="22"/>
                <w:highlight w:val="none"/>
              </w:rPr>
            </w:pPr>
            <w:r>
              <w:rPr>
                <w:color w:val="000000"/>
                <w:kern w:val="0"/>
                <w:sz w:val="22"/>
                <w:szCs w:val="22"/>
                <w:highlight w:val="none"/>
              </w:rPr>
              <w:t>过程</w:t>
            </w:r>
          </w:p>
          <w:p w14:paraId="39AEF8E7">
            <w:pPr>
              <w:spacing w:line="0" w:lineRule="atLeast"/>
              <w:jc w:val="center"/>
              <w:rPr>
                <w:highlight w:val="none"/>
              </w:rPr>
            </w:pPr>
          </w:p>
        </w:tc>
        <w:tc>
          <w:tcPr>
            <w:tcW w:w="798" w:type="dxa"/>
            <w:vMerge w:val="restart"/>
            <w:vAlign w:val="center"/>
          </w:tcPr>
          <w:p w14:paraId="5C265B2E">
            <w:pPr>
              <w:widowControl/>
              <w:spacing w:line="0" w:lineRule="atLeast"/>
              <w:jc w:val="center"/>
              <w:rPr>
                <w:highlight w:val="none"/>
              </w:rPr>
            </w:pPr>
            <w:r>
              <w:rPr>
                <w:kern w:val="0"/>
                <w:sz w:val="22"/>
                <w:szCs w:val="22"/>
                <w:highlight w:val="none"/>
              </w:rPr>
              <w:t>20分</w:t>
            </w:r>
          </w:p>
        </w:tc>
        <w:tc>
          <w:tcPr>
            <w:tcW w:w="1202" w:type="dxa"/>
            <w:vMerge w:val="restart"/>
            <w:vAlign w:val="center"/>
          </w:tcPr>
          <w:p w14:paraId="0069001A">
            <w:pPr>
              <w:widowControl/>
              <w:spacing w:line="0" w:lineRule="atLeast"/>
              <w:jc w:val="center"/>
              <w:rPr>
                <w:highlight w:val="none"/>
              </w:rPr>
            </w:pPr>
            <w:r>
              <w:rPr>
                <w:color w:val="000000"/>
                <w:kern w:val="0"/>
                <w:sz w:val="22"/>
                <w:szCs w:val="22"/>
                <w:highlight w:val="none"/>
              </w:rPr>
              <w:t>资金管理</w:t>
            </w:r>
          </w:p>
        </w:tc>
        <w:tc>
          <w:tcPr>
            <w:tcW w:w="1332" w:type="dxa"/>
            <w:vAlign w:val="center"/>
          </w:tcPr>
          <w:p w14:paraId="1670C74D">
            <w:pPr>
              <w:widowControl/>
              <w:spacing w:line="0" w:lineRule="atLeast"/>
              <w:jc w:val="center"/>
              <w:rPr>
                <w:highlight w:val="none"/>
              </w:rPr>
            </w:pPr>
            <w:r>
              <w:rPr>
                <w:color w:val="000000"/>
                <w:kern w:val="0"/>
                <w:sz w:val="22"/>
                <w:szCs w:val="22"/>
                <w:highlight w:val="none"/>
              </w:rPr>
              <w:t>资金到位率</w:t>
            </w:r>
          </w:p>
        </w:tc>
        <w:tc>
          <w:tcPr>
            <w:tcW w:w="618" w:type="dxa"/>
            <w:vAlign w:val="center"/>
          </w:tcPr>
          <w:p w14:paraId="078701C1">
            <w:pPr>
              <w:widowControl/>
              <w:spacing w:line="0" w:lineRule="atLeast"/>
              <w:jc w:val="center"/>
              <w:rPr>
                <w:highlight w:val="none"/>
              </w:rPr>
            </w:pPr>
            <w:r>
              <w:rPr>
                <w:color w:val="000000"/>
                <w:kern w:val="0"/>
                <w:sz w:val="22"/>
                <w:szCs w:val="22"/>
                <w:highlight w:val="none"/>
              </w:rPr>
              <w:t>4</w:t>
            </w:r>
          </w:p>
        </w:tc>
        <w:tc>
          <w:tcPr>
            <w:tcW w:w="883" w:type="dxa"/>
            <w:vAlign w:val="center"/>
          </w:tcPr>
          <w:p w14:paraId="77D3E79B">
            <w:pPr>
              <w:widowControl/>
              <w:spacing w:line="0" w:lineRule="atLeast"/>
              <w:jc w:val="center"/>
              <w:rPr>
                <w:highlight w:val="none"/>
              </w:rPr>
            </w:pPr>
            <w:r>
              <w:rPr>
                <w:color w:val="000000"/>
                <w:kern w:val="0"/>
                <w:sz w:val="22"/>
                <w:szCs w:val="22"/>
                <w:highlight w:val="none"/>
              </w:rPr>
              <w:t>100%</w:t>
            </w:r>
          </w:p>
        </w:tc>
        <w:tc>
          <w:tcPr>
            <w:tcW w:w="950" w:type="dxa"/>
            <w:vAlign w:val="center"/>
          </w:tcPr>
          <w:p w14:paraId="0FCC54ED">
            <w:pPr>
              <w:widowControl/>
              <w:spacing w:line="0" w:lineRule="atLeast"/>
              <w:jc w:val="center"/>
              <w:rPr>
                <w:highlight w:val="none"/>
              </w:rPr>
            </w:pPr>
            <w:r>
              <w:rPr>
                <w:rFonts w:hint="eastAsia"/>
                <w:color w:val="000000"/>
                <w:kern w:val="0"/>
                <w:sz w:val="22"/>
                <w:szCs w:val="22"/>
                <w:highlight w:val="none"/>
              </w:rPr>
              <w:t>100%</w:t>
            </w:r>
          </w:p>
        </w:tc>
        <w:tc>
          <w:tcPr>
            <w:tcW w:w="934" w:type="dxa"/>
            <w:vAlign w:val="center"/>
          </w:tcPr>
          <w:p w14:paraId="77ED4703">
            <w:pPr>
              <w:widowControl/>
              <w:spacing w:line="0" w:lineRule="atLeast"/>
              <w:jc w:val="center"/>
              <w:rPr>
                <w:highlight w:val="none"/>
              </w:rPr>
            </w:pPr>
            <w:r>
              <w:rPr>
                <w:rFonts w:hint="eastAsia"/>
                <w:color w:val="000000"/>
                <w:kern w:val="0"/>
                <w:sz w:val="22"/>
                <w:szCs w:val="22"/>
                <w:highlight w:val="none"/>
              </w:rPr>
              <w:t>100%</w:t>
            </w:r>
          </w:p>
        </w:tc>
        <w:tc>
          <w:tcPr>
            <w:tcW w:w="899" w:type="dxa"/>
            <w:vAlign w:val="center"/>
          </w:tcPr>
          <w:p w14:paraId="406BC1ED">
            <w:pPr>
              <w:widowControl/>
              <w:spacing w:line="0" w:lineRule="atLeast"/>
              <w:jc w:val="center"/>
              <w:rPr>
                <w:highlight w:val="none"/>
              </w:rPr>
            </w:pPr>
            <w:r>
              <w:rPr>
                <w:rFonts w:hint="eastAsia"/>
                <w:color w:val="000000"/>
                <w:kern w:val="0"/>
                <w:sz w:val="22"/>
                <w:szCs w:val="22"/>
                <w:highlight w:val="none"/>
              </w:rPr>
              <w:t>4</w:t>
            </w:r>
          </w:p>
        </w:tc>
      </w:tr>
      <w:tr w14:paraId="49B75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continue"/>
          </w:tcPr>
          <w:p w14:paraId="4BC7709E">
            <w:pPr>
              <w:rPr>
                <w:highlight w:val="none"/>
              </w:rPr>
            </w:pPr>
          </w:p>
        </w:tc>
        <w:tc>
          <w:tcPr>
            <w:tcW w:w="798" w:type="dxa"/>
            <w:vMerge w:val="continue"/>
          </w:tcPr>
          <w:p w14:paraId="1E86BF74">
            <w:pPr>
              <w:rPr>
                <w:highlight w:val="none"/>
              </w:rPr>
            </w:pPr>
          </w:p>
        </w:tc>
        <w:tc>
          <w:tcPr>
            <w:tcW w:w="1202" w:type="dxa"/>
            <w:vMerge w:val="continue"/>
          </w:tcPr>
          <w:p w14:paraId="7B4D5F4E">
            <w:pPr>
              <w:rPr>
                <w:highlight w:val="none"/>
              </w:rPr>
            </w:pPr>
          </w:p>
        </w:tc>
        <w:tc>
          <w:tcPr>
            <w:tcW w:w="1332" w:type="dxa"/>
            <w:vAlign w:val="center"/>
          </w:tcPr>
          <w:p w14:paraId="448FDDD8">
            <w:pPr>
              <w:widowControl/>
              <w:spacing w:line="0" w:lineRule="atLeast"/>
              <w:jc w:val="center"/>
              <w:rPr>
                <w:highlight w:val="none"/>
              </w:rPr>
            </w:pPr>
            <w:r>
              <w:rPr>
                <w:color w:val="000000"/>
                <w:kern w:val="0"/>
                <w:sz w:val="22"/>
                <w:szCs w:val="22"/>
                <w:highlight w:val="none"/>
              </w:rPr>
              <w:t>预算执行率</w:t>
            </w:r>
          </w:p>
        </w:tc>
        <w:tc>
          <w:tcPr>
            <w:tcW w:w="618" w:type="dxa"/>
            <w:vAlign w:val="center"/>
          </w:tcPr>
          <w:p w14:paraId="2E81F2EC">
            <w:pPr>
              <w:widowControl/>
              <w:spacing w:line="0" w:lineRule="atLeast"/>
              <w:jc w:val="center"/>
              <w:rPr>
                <w:highlight w:val="none"/>
              </w:rPr>
            </w:pPr>
            <w:r>
              <w:rPr>
                <w:color w:val="000000"/>
                <w:kern w:val="0"/>
                <w:sz w:val="22"/>
                <w:szCs w:val="22"/>
                <w:highlight w:val="none"/>
              </w:rPr>
              <w:t>4</w:t>
            </w:r>
          </w:p>
        </w:tc>
        <w:tc>
          <w:tcPr>
            <w:tcW w:w="883" w:type="dxa"/>
            <w:vAlign w:val="center"/>
          </w:tcPr>
          <w:p w14:paraId="26A76E96">
            <w:pPr>
              <w:widowControl/>
              <w:spacing w:line="0" w:lineRule="atLeast"/>
              <w:jc w:val="center"/>
              <w:rPr>
                <w:highlight w:val="none"/>
              </w:rPr>
            </w:pPr>
            <w:r>
              <w:rPr>
                <w:color w:val="000000"/>
                <w:kern w:val="0"/>
                <w:sz w:val="22"/>
                <w:szCs w:val="22"/>
                <w:highlight w:val="none"/>
              </w:rPr>
              <w:t>100%</w:t>
            </w:r>
          </w:p>
        </w:tc>
        <w:tc>
          <w:tcPr>
            <w:tcW w:w="950" w:type="dxa"/>
            <w:vAlign w:val="center"/>
          </w:tcPr>
          <w:p w14:paraId="5AF55634">
            <w:pPr>
              <w:widowControl/>
              <w:spacing w:line="0" w:lineRule="atLeast"/>
              <w:jc w:val="center"/>
              <w:rPr>
                <w:highlight w:val="none"/>
              </w:rPr>
            </w:pPr>
            <w:r>
              <w:rPr>
                <w:rFonts w:hint="eastAsia"/>
                <w:color w:val="000000"/>
                <w:kern w:val="0"/>
                <w:sz w:val="22"/>
                <w:szCs w:val="22"/>
                <w:highlight w:val="none"/>
              </w:rPr>
              <w:t>100%</w:t>
            </w:r>
          </w:p>
        </w:tc>
        <w:tc>
          <w:tcPr>
            <w:tcW w:w="934" w:type="dxa"/>
            <w:vAlign w:val="center"/>
          </w:tcPr>
          <w:p w14:paraId="46D891F3">
            <w:pPr>
              <w:widowControl/>
              <w:spacing w:line="0" w:lineRule="atLeast"/>
              <w:jc w:val="center"/>
              <w:rPr>
                <w:highlight w:val="none"/>
              </w:rPr>
            </w:pPr>
            <w:r>
              <w:rPr>
                <w:rFonts w:hint="eastAsia"/>
                <w:color w:val="000000"/>
                <w:kern w:val="0"/>
                <w:sz w:val="22"/>
                <w:szCs w:val="22"/>
                <w:highlight w:val="none"/>
              </w:rPr>
              <w:t>100%</w:t>
            </w:r>
          </w:p>
        </w:tc>
        <w:tc>
          <w:tcPr>
            <w:tcW w:w="899" w:type="dxa"/>
            <w:vAlign w:val="center"/>
          </w:tcPr>
          <w:p w14:paraId="384AE2A1">
            <w:pPr>
              <w:widowControl/>
              <w:spacing w:line="0" w:lineRule="atLeast"/>
              <w:jc w:val="center"/>
              <w:rPr>
                <w:highlight w:val="none"/>
              </w:rPr>
            </w:pPr>
            <w:r>
              <w:rPr>
                <w:rFonts w:hint="eastAsia"/>
                <w:color w:val="000000"/>
                <w:kern w:val="0"/>
                <w:sz w:val="22"/>
                <w:szCs w:val="22"/>
                <w:highlight w:val="none"/>
              </w:rPr>
              <w:t>4</w:t>
            </w:r>
          </w:p>
        </w:tc>
      </w:tr>
      <w:tr w14:paraId="7365A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continue"/>
          </w:tcPr>
          <w:p w14:paraId="4EA75C99">
            <w:pPr>
              <w:rPr>
                <w:highlight w:val="none"/>
              </w:rPr>
            </w:pPr>
          </w:p>
        </w:tc>
        <w:tc>
          <w:tcPr>
            <w:tcW w:w="798" w:type="dxa"/>
            <w:vMerge w:val="continue"/>
          </w:tcPr>
          <w:p w14:paraId="0F1B4DDC">
            <w:pPr>
              <w:rPr>
                <w:highlight w:val="none"/>
              </w:rPr>
            </w:pPr>
          </w:p>
        </w:tc>
        <w:tc>
          <w:tcPr>
            <w:tcW w:w="1202" w:type="dxa"/>
            <w:vAlign w:val="center"/>
          </w:tcPr>
          <w:p w14:paraId="1472D2E9">
            <w:pPr>
              <w:widowControl/>
              <w:spacing w:line="0" w:lineRule="atLeast"/>
              <w:jc w:val="center"/>
              <w:rPr>
                <w:highlight w:val="none"/>
              </w:rPr>
            </w:pPr>
            <w:r>
              <w:rPr>
                <w:color w:val="000000"/>
                <w:kern w:val="0"/>
                <w:sz w:val="22"/>
                <w:szCs w:val="22"/>
                <w:highlight w:val="none"/>
              </w:rPr>
              <w:t>资金管理</w:t>
            </w:r>
          </w:p>
        </w:tc>
        <w:tc>
          <w:tcPr>
            <w:tcW w:w="1332" w:type="dxa"/>
            <w:vAlign w:val="center"/>
          </w:tcPr>
          <w:p w14:paraId="71BC6046">
            <w:pPr>
              <w:widowControl/>
              <w:spacing w:line="0" w:lineRule="atLeast"/>
              <w:jc w:val="center"/>
              <w:rPr>
                <w:color w:val="000000"/>
                <w:kern w:val="0"/>
                <w:sz w:val="22"/>
                <w:szCs w:val="22"/>
                <w:highlight w:val="none"/>
              </w:rPr>
            </w:pPr>
            <w:r>
              <w:rPr>
                <w:color w:val="000000"/>
                <w:kern w:val="0"/>
                <w:sz w:val="22"/>
                <w:szCs w:val="22"/>
                <w:highlight w:val="none"/>
              </w:rPr>
              <w:t>资金使用</w:t>
            </w:r>
          </w:p>
          <w:p w14:paraId="05E76205">
            <w:pPr>
              <w:widowControl/>
              <w:spacing w:line="0" w:lineRule="atLeast"/>
              <w:jc w:val="center"/>
              <w:rPr>
                <w:highlight w:val="none"/>
              </w:rPr>
            </w:pPr>
            <w:r>
              <w:rPr>
                <w:color w:val="000000"/>
                <w:kern w:val="0"/>
                <w:sz w:val="22"/>
                <w:szCs w:val="22"/>
                <w:highlight w:val="none"/>
              </w:rPr>
              <w:t>合规性</w:t>
            </w:r>
          </w:p>
        </w:tc>
        <w:tc>
          <w:tcPr>
            <w:tcW w:w="618" w:type="dxa"/>
            <w:vAlign w:val="center"/>
          </w:tcPr>
          <w:p w14:paraId="7C644EC4">
            <w:pPr>
              <w:widowControl/>
              <w:spacing w:line="0" w:lineRule="atLeast"/>
              <w:jc w:val="center"/>
              <w:rPr>
                <w:highlight w:val="none"/>
              </w:rPr>
            </w:pPr>
            <w:r>
              <w:rPr>
                <w:color w:val="000000"/>
                <w:kern w:val="0"/>
                <w:sz w:val="22"/>
                <w:szCs w:val="22"/>
                <w:highlight w:val="none"/>
              </w:rPr>
              <w:t>4</w:t>
            </w:r>
          </w:p>
        </w:tc>
        <w:tc>
          <w:tcPr>
            <w:tcW w:w="883" w:type="dxa"/>
            <w:vAlign w:val="center"/>
          </w:tcPr>
          <w:p w14:paraId="1D4E48FA">
            <w:pPr>
              <w:widowControl/>
              <w:spacing w:line="0" w:lineRule="atLeast"/>
              <w:jc w:val="center"/>
              <w:rPr>
                <w:highlight w:val="none"/>
              </w:rPr>
            </w:pPr>
            <w:r>
              <w:rPr>
                <w:color w:val="000000"/>
                <w:kern w:val="0"/>
                <w:sz w:val="22"/>
                <w:szCs w:val="22"/>
                <w:highlight w:val="none"/>
              </w:rPr>
              <w:t>合格</w:t>
            </w:r>
          </w:p>
        </w:tc>
        <w:tc>
          <w:tcPr>
            <w:tcW w:w="950" w:type="dxa"/>
            <w:vAlign w:val="center"/>
          </w:tcPr>
          <w:p w14:paraId="27A5B7D8">
            <w:pPr>
              <w:widowControl/>
              <w:spacing w:line="0" w:lineRule="atLeast"/>
              <w:jc w:val="center"/>
              <w:rPr>
                <w:highlight w:val="none"/>
              </w:rPr>
            </w:pPr>
            <w:r>
              <w:rPr>
                <w:color w:val="000000"/>
                <w:kern w:val="0"/>
                <w:sz w:val="22"/>
                <w:szCs w:val="22"/>
                <w:highlight w:val="none"/>
              </w:rPr>
              <w:t>合格</w:t>
            </w:r>
          </w:p>
        </w:tc>
        <w:tc>
          <w:tcPr>
            <w:tcW w:w="934" w:type="dxa"/>
            <w:vAlign w:val="center"/>
          </w:tcPr>
          <w:p w14:paraId="5FAF46C0">
            <w:pPr>
              <w:widowControl/>
              <w:spacing w:line="0" w:lineRule="atLeast"/>
              <w:jc w:val="center"/>
              <w:rPr>
                <w:highlight w:val="none"/>
              </w:rPr>
            </w:pPr>
            <w:r>
              <w:rPr>
                <w:rFonts w:hint="eastAsia"/>
                <w:color w:val="000000"/>
                <w:kern w:val="0"/>
                <w:sz w:val="22"/>
                <w:szCs w:val="22"/>
                <w:highlight w:val="none"/>
              </w:rPr>
              <w:t>100%</w:t>
            </w:r>
          </w:p>
        </w:tc>
        <w:tc>
          <w:tcPr>
            <w:tcW w:w="899" w:type="dxa"/>
            <w:vAlign w:val="center"/>
          </w:tcPr>
          <w:p w14:paraId="65E30482">
            <w:pPr>
              <w:widowControl/>
              <w:spacing w:line="0" w:lineRule="atLeast"/>
              <w:jc w:val="center"/>
              <w:rPr>
                <w:highlight w:val="none"/>
              </w:rPr>
            </w:pPr>
            <w:r>
              <w:rPr>
                <w:rFonts w:hint="eastAsia"/>
                <w:color w:val="000000"/>
                <w:kern w:val="0"/>
                <w:sz w:val="22"/>
                <w:szCs w:val="22"/>
                <w:highlight w:val="none"/>
              </w:rPr>
              <w:t>4</w:t>
            </w:r>
          </w:p>
        </w:tc>
      </w:tr>
      <w:tr w14:paraId="145A0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continue"/>
          </w:tcPr>
          <w:p w14:paraId="0C799085">
            <w:pPr>
              <w:rPr>
                <w:highlight w:val="none"/>
              </w:rPr>
            </w:pPr>
          </w:p>
        </w:tc>
        <w:tc>
          <w:tcPr>
            <w:tcW w:w="798" w:type="dxa"/>
            <w:vMerge w:val="continue"/>
          </w:tcPr>
          <w:p w14:paraId="4F0C700D">
            <w:pPr>
              <w:rPr>
                <w:highlight w:val="none"/>
              </w:rPr>
            </w:pPr>
          </w:p>
        </w:tc>
        <w:tc>
          <w:tcPr>
            <w:tcW w:w="1202" w:type="dxa"/>
            <w:vMerge w:val="restart"/>
            <w:vAlign w:val="center"/>
          </w:tcPr>
          <w:p w14:paraId="3DA2E364">
            <w:pPr>
              <w:widowControl/>
              <w:spacing w:line="0" w:lineRule="atLeast"/>
              <w:jc w:val="center"/>
              <w:rPr>
                <w:highlight w:val="none"/>
              </w:rPr>
            </w:pPr>
            <w:r>
              <w:rPr>
                <w:color w:val="000000"/>
                <w:kern w:val="0"/>
                <w:sz w:val="22"/>
                <w:szCs w:val="22"/>
                <w:highlight w:val="none"/>
              </w:rPr>
              <w:t>组织实施</w:t>
            </w:r>
          </w:p>
        </w:tc>
        <w:tc>
          <w:tcPr>
            <w:tcW w:w="1332" w:type="dxa"/>
            <w:vAlign w:val="center"/>
          </w:tcPr>
          <w:p w14:paraId="372092A9">
            <w:pPr>
              <w:widowControl/>
              <w:spacing w:line="0" w:lineRule="atLeast"/>
              <w:jc w:val="center"/>
              <w:rPr>
                <w:color w:val="000000"/>
                <w:kern w:val="0"/>
                <w:sz w:val="22"/>
                <w:szCs w:val="22"/>
                <w:highlight w:val="none"/>
              </w:rPr>
            </w:pPr>
            <w:r>
              <w:rPr>
                <w:color w:val="000000"/>
                <w:kern w:val="0"/>
                <w:sz w:val="22"/>
                <w:szCs w:val="22"/>
                <w:highlight w:val="none"/>
              </w:rPr>
              <w:t>管理制度</w:t>
            </w:r>
          </w:p>
          <w:p w14:paraId="275978DA">
            <w:pPr>
              <w:widowControl/>
              <w:spacing w:line="0" w:lineRule="atLeast"/>
              <w:jc w:val="center"/>
              <w:rPr>
                <w:highlight w:val="none"/>
              </w:rPr>
            </w:pPr>
            <w:r>
              <w:rPr>
                <w:color w:val="000000"/>
                <w:kern w:val="0"/>
                <w:sz w:val="22"/>
                <w:szCs w:val="22"/>
                <w:highlight w:val="none"/>
              </w:rPr>
              <w:t>健全性</w:t>
            </w:r>
          </w:p>
        </w:tc>
        <w:tc>
          <w:tcPr>
            <w:tcW w:w="618" w:type="dxa"/>
            <w:vAlign w:val="center"/>
          </w:tcPr>
          <w:p w14:paraId="24A2DB6A">
            <w:pPr>
              <w:widowControl/>
              <w:spacing w:line="0" w:lineRule="atLeast"/>
              <w:jc w:val="center"/>
              <w:rPr>
                <w:highlight w:val="none"/>
              </w:rPr>
            </w:pPr>
            <w:r>
              <w:rPr>
                <w:color w:val="000000"/>
                <w:kern w:val="0"/>
                <w:sz w:val="22"/>
                <w:szCs w:val="22"/>
                <w:highlight w:val="none"/>
              </w:rPr>
              <w:t>4</w:t>
            </w:r>
          </w:p>
        </w:tc>
        <w:tc>
          <w:tcPr>
            <w:tcW w:w="883" w:type="dxa"/>
            <w:vAlign w:val="center"/>
          </w:tcPr>
          <w:p w14:paraId="2CDBF836">
            <w:pPr>
              <w:widowControl/>
              <w:spacing w:line="0" w:lineRule="atLeast"/>
              <w:jc w:val="center"/>
              <w:rPr>
                <w:highlight w:val="none"/>
              </w:rPr>
            </w:pPr>
            <w:r>
              <w:rPr>
                <w:color w:val="000000"/>
                <w:kern w:val="0"/>
                <w:sz w:val="22"/>
                <w:szCs w:val="22"/>
                <w:highlight w:val="none"/>
              </w:rPr>
              <w:t>健全</w:t>
            </w:r>
          </w:p>
        </w:tc>
        <w:tc>
          <w:tcPr>
            <w:tcW w:w="950" w:type="dxa"/>
            <w:vAlign w:val="center"/>
          </w:tcPr>
          <w:p w14:paraId="3266BC90">
            <w:pPr>
              <w:widowControl/>
              <w:spacing w:line="0" w:lineRule="atLeast"/>
              <w:jc w:val="center"/>
              <w:rPr>
                <w:highlight w:val="none"/>
              </w:rPr>
            </w:pPr>
            <w:r>
              <w:rPr>
                <w:color w:val="000000"/>
                <w:kern w:val="0"/>
                <w:sz w:val="22"/>
                <w:szCs w:val="22"/>
                <w:highlight w:val="none"/>
              </w:rPr>
              <w:t>健全</w:t>
            </w:r>
          </w:p>
        </w:tc>
        <w:tc>
          <w:tcPr>
            <w:tcW w:w="934" w:type="dxa"/>
            <w:vAlign w:val="center"/>
          </w:tcPr>
          <w:p w14:paraId="4B1651A5">
            <w:pPr>
              <w:widowControl/>
              <w:spacing w:line="0" w:lineRule="atLeast"/>
              <w:jc w:val="center"/>
              <w:rPr>
                <w:highlight w:val="none"/>
              </w:rPr>
            </w:pPr>
            <w:r>
              <w:rPr>
                <w:rFonts w:hint="eastAsia"/>
                <w:color w:val="000000"/>
                <w:kern w:val="0"/>
                <w:sz w:val="22"/>
                <w:szCs w:val="22"/>
                <w:highlight w:val="none"/>
              </w:rPr>
              <w:t>100%</w:t>
            </w:r>
          </w:p>
        </w:tc>
        <w:tc>
          <w:tcPr>
            <w:tcW w:w="899" w:type="dxa"/>
            <w:vAlign w:val="center"/>
          </w:tcPr>
          <w:p w14:paraId="39E342D6">
            <w:pPr>
              <w:widowControl/>
              <w:spacing w:line="0" w:lineRule="atLeast"/>
              <w:jc w:val="center"/>
              <w:rPr>
                <w:highlight w:val="none"/>
              </w:rPr>
            </w:pPr>
            <w:r>
              <w:rPr>
                <w:rFonts w:hint="eastAsia"/>
                <w:color w:val="000000"/>
                <w:kern w:val="0"/>
                <w:sz w:val="22"/>
                <w:szCs w:val="22"/>
                <w:highlight w:val="none"/>
              </w:rPr>
              <w:t>4</w:t>
            </w:r>
          </w:p>
        </w:tc>
      </w:tr>
      <w:tr w14:paraId="55F6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continue"/>
          </w:tcPr>
          <w:p w14:paraId="64D94129">
            <w:pPr>
              <w:rPr>
                <w:highlight w:val="none"/>
              </w:rPr>
            </w:pPr>
          </w:p>
        </w:tc>
        <w:tc>
          <w:tcPr>
            <w:tcW w:w="798" w:type="dxa"/>
            <w:vMerge w:val="continue"/>
          </w:tcPr>
          <w:p w14:paraId="4D894DDF">
            <w:pPr>
              <w:rPr>
                <w:highlight w:val="none"/>
              </w:rPr>
            </w:pPr>
          </w:p>
        </w:tc>
        <w:tc>
          <w:tcPr>
            <w:tcW w:w="1202" w:type="dxa"/>
            <w:vMerge w:val="continue"/>
          </w:tcPr>
          <w:p w14:paraId="2061A0CA">
            <w:pPr>
              <w:rPr>
                <w:highlight w:val="none"/>
              </w:rPr>
            </w:pPr>
          </w:p>
        </w:tc>
        <w:tc>
          <w:tcPr>
            <w:tcW w:w="1332" w:type="dxa"/>
            <w:vAlign w:val="center"/>
          </w:tcPr>
          <w:p w14:paraId="55BBBAC8">
            <w:pPr>
              <w:widowControl/>
              <w:spacing w:line="0" w:lineRule="atLeast"/>
              <w:jc w:val="center"/>
              <w:rPr>
                <w:color w:val="000000"/>
                <w:kern w:val="0"/>
                <w:sz w:val="22"/>
                <w:szCs w:val="22"/>
                <w:highlight w:val="none"/>
              </w:rPr>
            </w:pPr>
            <w:r>
              <w:rPr>
                <w:color w:val="000000"/>
                <w:kern w:val="0"/>
                <w:sz w:val="22"/>
                <w:szCs w:val="22"/>
                <w:highlight w:val="none"/>
              </w:rPr>
              <w:t>制度执行</w:t>
            </w:r>
          </w:p>
          <w:p w14:paraId="18B80EF3">
            <w:pPr>
              <w:widowControl/>
              <w:spacing w:line="0" w:lineRule="atLeast"/>
              <w:jc w:val="center"/>
              <w:rPr>
                <w:highlight w:val="none"/>
              </w:rPr>
            </w:pPr>
            <w:r>
              <w:rPr>
                <w:color w:val="000000"/>
                <w:kern w:val="0"/>
                <w:sz w:val="22"/>
                <w:szCs w:val="22"/>
                <w:highlight w:val="none"/>
              </w:rPr>
              <w:t>有效性</w:t>
            </w:r>
          </w:p>
        </w:tc>
        <w:tc>
          <w:tcPr>
            <w:tcW w:w="618" w:type="dxa"/>
            <w:vAlign w:val="center"/>
          </w:tcPr>
          <w:p w14:paraId="6CD14A9B">
            <w:pPr>
              <w:widowControl/>
              <w:spacing w:line="0" w:lineRule="atLeast"/>
              <w:jc w:val="center"/>
              <w:rPr>
                <w:highlight w:val="none"/>
              </w:rPr>
            </w:pPr>
            <w:r>
              <w:rPr>
                <w:color w:val="000000"/>
                <w:kern w:val="0"/>
                <w:sz w:val="22"/>
                <w:szCs w:val="22"/>
                <w:highlight w:val="none"/>
              </w:rPr>
              <w:t>4</w:t>
            </w:r>
          </w:p>
        </w:tc>
        <w:tc>
          <w:tcPr>
            <w:tcW w:w="883" w:type="dxa"/>
            <w:vAlign w:val="center"/>
          </w:tcPr>
          <w:p w14:paraId="5311AAC2">
            <w:pPr>
              <w:widowControl/>
              <w:spacing w:line="0" w:lineRule="atLeast"/>
              <w:jc w:val="center"/>
              <w:rPr>
                <w:highlight w:val="none"/>
              </w:rPr>
            </w:pPr>
            <w:r>
              <w:rPr>
                <w:color w:val="000000"/>
                <w:kern w:val="0"/>
                <w:sz w:val="22"/>
                <w:szCs w:val="22"/>
                <w:highlight w:val="none"/>
              </w:rPr>
              <w:t>有效</w:t>
            </w:r>
          </w:p>
        </w:tc>
        <w:tc>
          <w:tcPr>
            <w:tcW w:w="950" w:type="dxa"/>
            <w:vAlign w:val="center"/>
          </w:tcPr>
          <w:p w14:paraId="73E84F5D">
            <w:pPr>
              <w:widowControl/>
              <w:spacing w:line="0" w:lineRule="atLeast"/>
              <w:jc w:val="center"/>
              <w:rPr>
                <w:highlight w:val="none"/>
              </w:rPr>
            </w:pPr>
            <w:r>
              <w:rPr>
                <w:color w:val="000000"/>
                <w:kern w:val="0"/>
                <w:sz w:val="22"/>
                <w:szCs w:val="22"/>
                <w:highlight w:val="none"/>
              </w:rPr>
              <w:t>有效</w:t>
            </w:r>
          </w:p>
        </w:tc>
        <w:tc>
          <w:tcPr>
            <w:tcW w:w="934" w:type="dxa"/>
            <w:vAlign w:val="center"/>
          </w:tcPr>
          <w:p w14:paraId="12D44FF9">
            <w:pPr>
              <w:widowControl/>
              <w:spacing w:line="0" w:lineRule="atLeast"/>
              <w:jc w:val="center"/>
              <w:rPr>
                <w:highlight w:val="none"/>
              </w:rPr>
            </w:pPr>
            <w:r>
              <w:rPr>
                <w:rFonts w:hint="eastAsia"/>
                <w:color w:val="000000"/>
                <w:kern w:val="0"/>
                <w:sz w:val="22"/>
                <w:szCs w:val="22"/>
                <w:highlight w:val="none"/>
              </w:rPr>
              <w:t>100%</w:t>
            </w:r>
          </w:p>
        </w:tc>
        <w:tc>
          <w:tcPr>
            <w:tcW w:w="899" w:type="dxa"/>
            <w:vAlign w:val="center"/>
          </w:tcPr>
          <w:p w14:paraId="57F4F41C">
            <w:pPr>
              <w:widowControl/>
              <w:spacing w:line="0" w:lineRule="atLeast"/>
              <w:jc w:val="center"/>
              <w:rPr>
                <w:highlight w:val="none"/>
              </w:rPr>
            </w:pPr>
            <w:r>
              <w:rPr>
                <w:rFonts w:hint="eastAsia"/>
                <w:color w:val="000000"/>
                <w:kern w:val="0"/>
                <w:sz w:val="22"/>
                <w:szCs w:val="22"/>
                <w:highlight w:val="none"/>
              </w:rPr>
              <w:t>4</w:t>
            </w:r>
          </w:p>
        </w:tc>
      </w:tr>
      <w:tr w14:paraId="2378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restart"/>
            <w:vAlign w:val="center"/>
          </w:tcPr>
          <w:p w14:paraId="0C632FFF">
            <w:pPr>
              <w:widowControl/>
              <w:spacing w:line="0" w:lineRule="atLeast"/>
              <w:jc w:val="center"/>
              <w:rPr>
                <w:highlight w:val="none"/>
              </w:rPr>
            </w:pPr>
            <w:r>
              <w:rPr>
                <w:color w:val="000000"/>
                <w:kern w:val="0"/>
                <w:sz w:val="22"/>
                <w:szCs w:val="22"/>
                <w:highlight w:val="none"/>
              </w:rPr>
              <w:t>产出</w:t>
            </w:r>
          </w:p>
        </w:tc>
        <w:tc>
          <w:tcPr>
            <w:tcW w:w="798" w:type="dxa"/>
            <w:vMerge w:val="restart"/>
            <w:vAlign w:val="center"/>
          </w:tcPr>
          <w:p w14:paraId="60B88B6A">
            <w:pPr>
              <w:widowControl/>
              <w:spacing w:line="0" w:lineRule="atLeast"/>
              <w:jc w:val="center"/>
              <w:rPr>
                <w:highlight w:val="none"/>
              </w:rPr>
            </w:pPr>
            <w:r>
              <w:rPr>
                <w:kern w:val="0"/>
                <w:sz w:val="22"/>
                <w:szCs w:val="22"/>
                <w:highlight w:val="none"/>
              </w:rPr>
              <w:t>40分</w:t>
            </w:r>
          </w:p>
        </w:tc>
        <w:tc>
          <w:tcPr>
            <w:tcW w:w="1202" w:type="dxa"/>
            <w:vAlign w:val="center"/>
          </w:tcPr>
          <w:p w14:paraId="55967C4C">
            <w:pPr>
              <w:widowControl/>
              <w:spacing w:line="0" w:lineRule="atLeast"/>
              <w:jc w:val="center"/>
              <w:rPr>
                <w:highlight w:val="none"/>
              </w:rPr>
            </w:pPr>
            <w:r>
              <w:rPr>
                <w:color w:val="000000"/>
                <w:kern w:val="0"/>
                <w:sz w:val="22"/>
                <w:szCs w:val="22"/>
                <w:highlight w:val="none"/>
              </w:rPr>
              <w:t>产出数量</w:t>
            </w:r>
          </w:p>
        </w:tc>
        <w:tc>
          <w:tcPr>
            <w:tcW w:w="1332" w:type="dxa"/>
            <w:vAlign w:val="center"/>
          </w:tcPr>
          <w:p w14:paraId="3C766FAD">
            <w:pPr>
              <w:widowControl/>
              <w:spacing w:line="0" w:lineRule="atLeast"/>
              <w:jc w:val="center"/>
              <w:rPr>
                <w:highlight w:val="none"/>
              </w:rPr>
            </w:pPr>
            <w:r>
              <w:rPr>
                <w:color w:val="000000"/>
                <w:kern w:val="0"/>
                <w:sz w:val="22"/>
                <w:szCs w:val="22"/>
                <w:highlight w:val="none"/>
              </w:rPr>
              <w:t>实际完成率</w:t>
            </w:r>
          </w:p>
        </w:tc>
        <w:tc>
          <w:tcPr>
            <w:tcW w:w="618" w:type="dxa"/>
            <w:vAlign w:val="center"/>
          </w:tcPr>
          <w:p w14:paraId="48D8505B">
            <w:pPr>
              <w:widowControl/>
              <w:spacing w:line="0" w:lineRule="atLeast"/>
              <w:jc w:val="center"/>
              <w:rPr>
                <w:highlight w:val="none"/>
              </w:rPr>
            </w:pPr>
            <w:r>
              <w:rPr>
                <w:color w:val="000000"/>
                <w:kern w:val="0"/>
                <w:sz w:val="22"/>
                <w:szCs w:val="22"/>
                <w:highlight w:val="none"/>
              </w:rPr>
              <w:t>10</w:t>
            </w:r>
          </w:p>
        </w:tc>
        <w:tc>
          <w:tcPr>
            <w:tcW w:w="883" w:type="dxa"/>
            <w:vAlign w:val="center"/>
          </w:tcPr>
          <w:p w14:paraId="5AC78691">
            <w:pPr>
              <w:widowControl/>
              <w:spacing w:line="0" w:lineRule="atLeast"/>
              <w:jc w:val="center"/>
              <w:rPr>
                <w:highlight w:val="none"/>
              </w:rPr>
            </w:pPr>
            <w:r>
              <w:rPr>
                <w:color w:val="000000"/>
                <w:kern w:val="0"/>
                <w:sz w:val="22"/>
                <w:szCs w:val="22"/>
                <w:highlight w:val="none"/>
              </w:rPr>
              <w:t>100%</w:t>
            </w:r>
          </w:p>
        </w:tc>
        <w:tc>
          <w:tcPr>
            <w:tcW w:w="950" w:type="dxa"/>
            <w:vAlign w:val="center"/>
          </w:tcPr>
          <w:p w14:paraId="4E50A1A2">
            <w:pPr>
              <w:widowControl/>
              <w:spacing w:line="0" w:lineRule="atLeast"/>
              <w:jc w:val="center"/>
              <w:rPr>
                <w:highlight w:val="none"/>
              </w:rPr>
            </w:pPr>
            <w:r>
              <w:rPr>
                <w:rFonts w:hint="eastAsia"/>
                <w:color w:val="000000"/>
                <w:kern w:val="0"/>
                <w:sz w:val="22"/>
                <w:szCs w:val="22"/>
                <w:highlight w:val="none"/>
              </w:rPr>
              <w:t>100%</w:t>
            </w:r>
          </w:p>
        </w:tc>
        <w:tc>
          <w:tcPr>
            <w:tcW w:w="934" w:type="dxa"/>
            <w:vAlign w:val="center"/>
          </w:tcPr>
          <w:p w14:paraId="50424CEC">
            <w:pPr>
              <w:widowControl/>
              <w:spacing w:line="0" w:lineRule="atLeast"/>
              <w:jc w:val="center"/>
              <w:rPr>
                <w:highlight w:val="none"/>
              </w:rPr>
            </w:pPr>
            <w:r>
              <w:rPr>
                <w:rFonts w:hint="eastAsia"/>
                <w:color w:val="000000"/>
                <w:kern w:val="0"/>
                <w:sz w:val="22"/>
                <w:szCs w:val="22"/>
                <w:highlight w:val="none"/>
              </w:rPr>
              <w:t>100%</w:t>
            </w:r>
          </w:p>
        </w:tc>
        <w:tc>
          <w:tcPr>
            <w:tcW w:w="899" w:type="dxa"/>
            <w:vAlign w:val="center"/>
          </w:tcPr>
          <w:p w14:paraId="14F54A9C">
            <w:pPr>
              <w:widowControl/>
              <w:spacing w:line="0" w:lineRule="atLeast"/>
              <w:jc w:val="center"/>
              <w:rPr>
                <w:highlight w:val="none"/>
              </w:rPr>
            </w:pPr>
            <w:r>
              <w:rPr>
                <w:rFonts w:hint="eastAsia"/>
                <w:color w:val="000000"/>
                <w:kern w:val="0"/>
                <w:sz w:val="22"/>
                <w:szCs w:val="22"/>
                <w:highlight w:val="none"/>
              </w:rPr>
              <w:t>10</w:t>
            </w:r>
          </w:p>
        </w:tc>
      </w:tr>
      <w:tr w14:paraId="570E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continue"/>
          </w:tcPr>
          <w:p w14:paraId="0C7C2A86">
            <w:pPr>
              <w:rPr>
                <w:highlight w:val="none"/>
              </w:rPr>
            </w:pPr>
          </w:p>
        </w:tc>
        <w:tc>
          <w:tcPr>
            <w:tcW w:w="798" w:type="dxa"/>
            <w:vMerge w:val="continue"/>
          </w:tcPr>
          <w:p w14:paraId="2E911E02">
            <w:pPr>
              <w:rPr>
                <w:highlight w:val="none"/>
              </w:rPr>
            </w:pPr>
          </w:p>
        </w:tc>
        <w:tc>
          <w:tcPr>
            <w:tcW w:w="1202" w:type="dxa"/>
            <w:vAlign w:val="center"/>
          </w:tcPr>
          <w:p w14:paraId="1D9EE560">
            <w:pPr>
              <w:widowControl/>
              <w:spacing w:line="0" w:lineRule="atLeast"/>
              <w:jc w:val="center"/>
              <w:rPr>
                <w:highlight w:val="none"/>
              </w:rPr>
            </w:pPr>
            <w:r>
              <w:rPr>
                <w:color w:val="000000"/>
                <w:kern w:val="0"/>
                <w:sz w:val="22"/>
                <w:szCs w:val="22"/>
                <w:highlight w:val="none"/>
              </w:rPr>
              <w:t>产出质量</w:t>
            </w:r>
          </w:p>
        </w:tc>
        <w:tc>
          <w:tcPr>
            <w:tcW w:w="1332" w:type="dxa"/>
            <w:vAlign w:val="center"/>
          </w:tcPr>
          <w:p w14:paraId="73F14F32">
            <w:pPr>
              <w:widowControl/>
              <w:spacing w:line="0" w:lineRule="atLeast"/>
              <w:jc w:val="center"/>
              <w:rPr>
                <w:highlight w:val="none"/>
              </w:rPr>
            </w:pPr>
            <w:r>
              <w:rPr>
                <w:color w:val="000000"/>
                <w:kern w:val="0"/>
                <w:sz w:val="22"/>
                <w:szCs w:val="22"/>
                <w:highlight w:val="none"/>
              </w:rPr>
              <w:t>质量达标率</w:t>
            </w:r>
          </w:p>
        </w:tc>
        <w:tc>
          <w:tcPr>
            <w:tcW w:w="618" w:type="dxa"/>
            <w:vAlign w:val="center"/>
          </w:tcPr>
          <w:p w14:paraId="5D5233DB">
            <w:pPr>
              <w:widowControl/>
              <w:spacing w:line="0" w:lineRule="atLeast"/>
              <w:jc w:val="center"/>
              <w:rPr>
                <w:highlight w:val="none"/>
              </w:rPr>
            </w:pPr>
            <w:r>
              <w:rPr>
                <w:color w:val="000000"/>
                <w:kern w:val="0"/>
                <w:sz w:val="22"/>
                <w:szCs w:val="22"/>
                <w:highlight w:val="none"/>
              </w:rPr>
              <w:t>10</w:t>
            </w:r>
          </w:p>
        </w:tc>
        <w:tc>
          <w:tcPr>
            <w:tcW w:w="883" w:type="dxa"/>
            <w:vAlign w:val="center"/>
          </w:tcPr>
          <w:p w14:paraId="7215EEE0">
            <w:pPr>
              <w:widowControl/>
              <w:spacing w:line="0" w:lineRule="atLeast"/>
              <w:jc w:val="center"/>
              <w:rPr>
                <w:highlight w:val="none"/>
              </w:rPr>
            </w:pPr>
            <w:r>
              <w:rPr>
                <w:color w:val="000000"/>
                <w:kern w:val="0"/>
                <w:sz w:val="22"/>
                <w:szCs w:val="22"/>
                <w:highlight w:val="none"/>
              </w:rPr>
              <w:t>100%</w:t>
            </w:r>
          </w:p>
        </w:tc>
        <w:tc>
          <w:tcPr>
            <w:tcW w:w="950" w:type="dxa"/>
            <w:vAlign w:val="center"/>
          </w:tcPr>
          <w:p w14:paraId="536EF805">
            <w:pPr>
              <w:widowControl/>
              <w:spacing w:line="0" w:lineRule="atLeast"/>
              <w:jc w:val="center"/>
              <w:rPr>
                <w:highlight w:val="none"/>
              </w:rPr>
            </w:pPr>
            <w:r>
              <w:rPr>
                <w:rFonts w:hint="eastAsia"/>
                <w:color w:val="000000"/>
                <w:kern w:val="0"/>
                <w:sz w:val="22"/>
                <w:szCs w:val="22"/>
                <w:highlight w:val="none"/>
              </w:rPr>
              <w:t>100%</w:t>
            </w:r>
          </w:p>
        </w:tc>
        <w:tc>
          <w:tcPr>
            <w:tcW w:w="934" w:type="dxa"/>
            <w:vAlign w:val="center"/>
          </w:tcPr>
          <w:p w14:paraId="15980DB2">
            <w:pPr>
              <w:widowControl/>
              <w:spacing w:line="0" w:lineRule="atLeast"/>
              <w:jc w:val="center"/>
              <w:rPr>
                <w:highlight w:val="none"/>
              </w:rPr>
            </w:pPr>
            <w:r>
              <w:rPr>
                <w:rFonts w:hint="eastAsia"/>
                <w:color w:val="000000"/>
                <w:kern w:val="0"/>
                <w:sz w:val="22"/>
                <w:szCs w:val="22"/>
                <w:highlight w:val="none"/>
              </w:rPr>
              <w:t>100%</w:t>
            </w:r>
          </w:p>
        </w:tc>
        <w:tc>
          <w:tcPr>
            <w:tcW w:w="899" w:type="dxa"/>
            <w:vAlign w:val="center"/>
          </w:tcPr>
          <w:p w14:paraId="1693AED5">
            <w:pPr>
              <w:widowControl/>
              <w:spacing w:line="0" w:lineRule="atLeast"/>
              <w:jc w:val="center"/>
              <w:rPr>
                <w:highlight w:val="none"/>
              </w:rPr>
            </w:pPr>
            <w:r>
              <w:rPr>
                <w:rFonts w:hint="eastAsia"/>
                <w:color w:val="000000"/>
                <w:kern w:val="0"/>
                <w:sz w:val="22"/>
                <w:szCs w:val="22"/>
                <w:highlight w:val="none"/>
              </w:rPr>
              <w:t>10</w:t>
            </w:r>
          </w:p>
        </w:tc>
      </w:tr>
      <w:tr w14:paraId="1F8D0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continue"/>
          </w:tcPr>
          <w:p w14:paraId="4B06F3A3">
            <w:pPr>
              <w:rPr>
                <w:highlight w:val="none"/>
              </w:rPr>
            </w:pPr>
          </w:p>
        </w:tc>
        <w:tc>
          <w:tcPr>
            <w:tcW w:w="798" w:type="dxa"/>
            <w:vMerge w:val="continue"/>
          </w:tcPr>
          <w:p w14:paraId="5BEDAE76">
            <w:pPr>
              <w:rPr>
                <w:highlight w:val="none"/>
              </w:rPr>
            </w:pPr>
          </w:p>
        </w:tc>
        <w:tc>
          <w:tcPr>
            <w:tcW w:w="1202" w:type="dxa"/>
            <w:vAlign w:val="center"/>
          </w:tcPr>
          <w:p w14:paraId="4333D918">
            <w:pPr>
              <w:spacing w:line="0" w:lineRule="atLeast"/>
              <w:jc w:val="center"/>
              <w:rPr>
                <w:highlight w:val="none"/>
              </w:rPr>
            </w:pPr>
            <w:r>
              <w:rPr>
                <w:color w:val="000000"/>
                <w:kern w:val="0"/>
                <w:sz w:val="22"/>
                <w:szCs w:val="22"/>
                <w:highlight w:val="none"/>
              </w:rPr>
              <w:t>产出时效</w:t>
            </w:r>
          </w:p>
        </w:tc>
        <w:tc>
          <w:tcPr>
            <w:tcW w:w="1332" w:type="dxa"/>
            <w:vAlign w:val="center"/>
          </w:tcPr>
          <w:p w14:paraId="636E18A8">
            <w:pPr>
              <w:widowControl/>
              <w:spacing w:line="0" w:lineRule="atLeast"/>
              <w:jc w:val="center"/>
              <w:rPr>
                <w:highlight w:val="none"/>
              </w:rPr>
            </w:pPr>
            <w:r>
              <w:rPr>
                <w:color w:val="000000"/>
                <w:kern w:val="0"/>
                <w:sz w:val="22"/>
                <w:szCs w:val="22"/>
                <w:highlight w:val="none"/>
              </w:rPr>
              <w:t>完成及时性</w:t>
            </w:r>
          </w:p>
        </w:tc>
        <w:tc>
          <w:tcPr>
            <w:tcW w:w="618" w:type="dxa"/>
            <w:vAlign w:val="center"/>
          </w:tcPr>
          <w:p w14:paraId="5CA60BDB">
            <w:pPr>
              <w:widowControl/>
              <w:spacing w:line="0" w:lineRule="atLeast"/>
              <w:jc w:val="center"/>
              <w:rPr>
                <w:highlight w:val="none"/>
              </w:rPr>
            </w:pPr>
            <w:r>
              <w:rPr>
                <w:color w:val="000000"/>
                <w:kern w:val="0"/>
                <w:sz w:val="22"/>
                <w:szCs w:val="22"/>
                <w:highlight w:val="none"/>
              </w:rPr>
              <w:t>10</w:t>
            </w:r>
          </w:p>
        </w:tc>
        <w:tc>
          <w:tcPr>
            <w:tcW w:w="883" w:type="dxa"/>
            <w:vAlign w:val="center"/>
          </w:tcPr>
          <w:p w14:paraId="1B697232">
            <w:pPr>
              <w:widowControl/>
              <w:spacing w:line="0" w:lineRule="atLeast"/>
              <w:jc w:val="center"/>
              <w:rPr>
                <w:highlight w:val="none"/>
              </w:rPr>
            </w:pPr>
            <w:r>
              <w:rPr>
                <w:color w:val="000000"/>
                <w:kern w:val="0"/>
                <w:sz w:val="22"/>
                <w:szCs w:val="22"/>
                <w:highlight w:val="none"/>
              </w:rPr>
              <w:t>及时</w:t>
            </w:r>
          </w:p>
        </w:tc>
        <w:tc>
          <w:tcPr>
            <w:tcW w:w="950" w:type="dxa"/>
            <w:vAlign w:val="center"/>
          </w:tcPr>
          <w:p w14:paraId="5F93721A">
            <w:pPr>
              <w:widowControl/>
              <w:spacing w:line="0" w:lineRule="atLeast"/>
              <w:jc w:val="center"/>
              <w:rPr>
                <w:highlight w:val="none"/>
              </w:rPr>
            </w:pPr>
            <w:r>
              <w:rPr>
                <w:color w:val="000000"/>
                <w:kern w:val="0"/>
                <w:sz w:val="22"/>
                <w:szCs w:val="22"/>
                <w:highlight w:val="none"/>
              </w:rPr>
              <w:t>及时</w:t>
            </w:r>
          </w:p>
        </w:tc>
        <w:tc>
          <w:tcPr>
            <w:tcW w:w="934" w:type="dxa"/>
            <w:vAlign w:val="center"/>
          </w:tcPr>
          <w:p w14:paraId="7A65BD84">
            <w:pPr>
              <w:widowControl/>
              <w:spacing w:line="0" w:lineRule="atLeast"/>
              <w:jc w:val="center"/>
              <w:rPr>
                <w:highlight w:val="none"/>
              </w:rPr>
            </w:pPr>
            <w:r>
              <w:rPr>
                <w:rFonts w:hint="eastAsia"/>
                <w:color w:val="000000"/>
                <w:kern w:val="0"/>
                <w:sz w:val="22"/>
                <w:szCs w:val="22"/>
                <w:highlight w:val="none"/>
              </w:rPr>
              <w:t>100%</w:t>
            </w:r>
          </w:p>
        </w:tc>
        <w:tc>
          <w:tcPr>
            <w:tcW w:w="899" w:type="dxa"/>
            <w:vAlign w:val="center"/>
          </w:tcPr>
          <w:p w14:paraId="26315C8B">
            <w:pPr>
              <w:widowControl/>
              <w:spacing w:line="0" w:lineRule="atLeast"/>
              <w:jc w:val="center"/>
              <w:rPr>
                <w:highlight w:val="none"/>
              </w:rPr>
            </w:pPr>
            <w:r>
              <w:rPr>
                <w:rFonts w:hint="eastAsia"/>
                <w:color w:val="000000"/>
                <w:kern w:val="0"/>
                <w:sz w:val="22"/>
                <w:szCs w:val="22"/>
                <w:highlight w:val="none"/>
              </w:rPr>
              <w:t>10</w:t>
            </w:r>
          </w:p>
        </w:tc>
      </w:tr>
      <w:tr w14:paraId="2EA0E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continue"/>
          </w:tcPr>
          <w:p w14:paraId="003B5607">
            <w:pPr>
              <w:rPr>
                <w:highlight w:val="none"/>
              </w:rPr>
            </w:pPr>
          </w:p>
        </w:tc>
        <w:tc>
          <w:tcPr>
            <w:tcW w:w="798" w:type="dxa"/>
            <w:vMerge w:val="continue"/>
          </w:tcPr>
          <w:p w14:paraId="44AF33DD">
            <w:pPr>
              <w:rPr>
                <w:highlight w:val="none"/>
              </w:rPr>
            </w:pPr>
          </w:p>
        </w:tc>
        <w:tc>
          <w:tcPr>
            <w:tcW w:w="1202" w:type="dxa"/>
            <w:vAlign w:val="center"/>
          </w:tcPr>
          <w:p w14:paraId="7B67B172">
            <w:pPr>
              <w:widowControl/>
              <w:spacing w:line="0" w:lineRule="atLeast"/>
              <w:jc w:val="center"/>
              <w:rPr>
                <w:highlight w:val="none"/>
              </w:rPr>
            </w:pPr>
            <w:r>
              <w:rPr>
                <w:color w:val="000000"/>
                <w:kern w:val="0"/>
                <w:sz w:val="22"/>
                <w:szCs w:val="22"/>
                <w:highlight w:val="none"/>
              </w:rPr>
              <w:t>产出成本</w:t>
            </w:r>
          </w:p>
        </w:tc>
        <w:tc>
          <w:tcPr>
            <w:tcW w:w="1332" w:type="dxa"/>
            <w:vAlign w:val="center"/>
          </w:tcPr>
          <w:p w14:paraId="703B5783">
            <w:pPr>
              <w:widowControl/>
              <w:spacing w:line="0" w:lineRule="atLeast"/>
              <w:jc w:val="center"/>
              <w:rPr>
                <w:highlight w:val="none"/>
              </w:rPr>
            </w:pPr>
            <w:r>
              <w:rPr>
                <w:color w:val="000000"/>
                <w:kern w:val="0"/>
                <w:sz w:val="22"/>
                <w:szCs w:val="22"/>
                <w:highlight w:val="none"/>
              </w:rPr>
              <w:t>成本节约率</w:t>
            </w:r>
          </w:p>
        </w:tc>
        <w:tc>
          <w:tcPr>
            <w:tcW w:w="618" w:type="dxa"/>
            <w:vAlign w:val="center"/>
          </w:tcPr>
          <w:p w14:paraId="73229204">
            <w:pPr>
              <w:widowControl/>
              <w:spacing w:line="0" w:lineRule="atLeast"/>
              <w:jc w:val="center"/>
              <w:rPr>
                <w:highlight w:val="none"/>
              </w:rPr>
            </w:pPr>
            <w:r>
              <w:rPr>
                <w:color w:val="000000"/>
                <w:kern w:val="0"/>
                <w:sz w:val="22"/>
                <w:szCs w:val="22"/>
                <w:highlight w:val="none"/>
              </w:rPr>
              <w:t>10</w:t>
            </w:r>
          </w:p>
        </w:tc>
        <w:tc>
          <w:tcPr>
            <w:tcW w:w="883" w:type="dxa"/>
            <w:vAlign w:val="center"/>
          </w:tcPr>
          <w:p w14:paraId="4AB1A3C0">
            <w:pPr>
              <w:widowControl/>
              <w:spacing w:line="0" w:lineRule="atLeast"/>
              <w:jc w:val="center"/>
              <w:rPr>
                <w:highlight w:val="none"/>
              </w:rPr>
            </w:pPr>
            <w:r>
              <w:rPr>
                <w:color w:val="000000"/>
                <w:kern w:val="0"/>
                <w:sz w:val="22"/>
                <w:szCs w:val="22"/>
                <w:highlight w:val="none"/>
              </w:rPr>
              <w:t>100%</w:t>
            </w:r>
          </w:p>
        </w:tc>
        <w:tc>
          <w:tcPr>
            <w:tcW w:w="950" w:type="dxa"/>
            <w:vAlign w:val="center"/>
          </w:tcPr>
          <w:p w14:paraId="1FFF4988">
            <w:pPr>
              <w:widowControl/>
              <w:spacing w:line="0" w:lineRule="atLeast"/>
              <w:jc w:val="center"/>
              <w:rPr>
                <w:highlight w:val="none"/>
              </w:rPr>
            </w:pPr>
            <w:r>
              <w:rPr>
                <w:rFonts w:hint="eastAsia"/>
                <w:color w:val="000000"/>
                <w:kern w:val="0"/>
                <w:sz w:val="22"/>
                <w:szCs w:val="22"/>
                <w:highlight w:val="none"/>
              </w:rPr>
              <w:t>100</w:t>
            </w:r>
            <w:r>
              <w:rPr>
                <w:color w:val="000000"/>
                <w:kern w:val="0"/>
                <w:sz w:val="22"/>
                <w:szCs w:val="22"/>
                <w:highlight w:val="none"/>
              </w:rPr>
              <w:t>%</w:t>
            </w:r>
          </w:p>
        </w:tc>
        <w:tc>
          <w:tcPr>
            <w:tcW w:w="934" w:type="dxa"/>
            <w:vAlign w:val="center"/>
          </w:tcPr>
          <w:p w14:paraId="17825366">
            <w:pPr>
              <w:widowControl/>
              <w:spacing w:line="0" w:lineRule="atLeast"/>
              <w:jc w:val="center"/>
              <w:rPr>
                <w:highlight w:val="none"/>
              </w:rPr>
            </w:pPr>
            <w:r>
              <w:rPr>
                <w:rFonts w:hint="eastAsia"/>
                <w:color w:val="000000"/>
                <w:kern w:val="0"/>
                <w:sz w:val="22"/>
                <w:szCs w:val="22"/>
                <w:highlight w:val="none"/>
              </w:rPr>
              <w:t>80%</w:t>
            </w:r>
          </w:p>
        </w:tc>
        <w:tc>
          <w:tcPr>
            <w:tcW w:w="899" w:type="dxa"/>
            <w:vAlign w:val="center"/>
          </w:tcPr>
          <w:p w14:paraId="55292935">
            <w:pPr>
              <w:widowControl/>
              <w:spacing w:line="0" w:lineRule="atLeast"/>
              <w:jc w:val="center"/>
              <w:rPr>
                <w:highlight w:val="none"/>
              </w:rPr>
            </w:pPr>
            <w:r>
              <w:rPr>
                <w:rFonts w:hint="eastAsia"/>
                <w:color w:val="000000"/>
                <w:kern w:val="0"/>
                <w:sz w:val="22"/>
                <w:szCs w:val="22"/>
                <w:highlight w:val="none"/>
              </w:rPr>
              <w:t>8</w:t>
            </w:r>
          </w:p>
        </w:tc>
      </w:tr>
      <w:tr w14:paraId="133C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1148" w:type="dxa"/>
            <w:vMerge w:val="restart"/>
            <w:vAlign w:val="center"/>
          </w:tcPr>
          <w:p w14:paraId="0D58AB7D">
            <w:pPr>
              <w:widowControl/>
              <w:spacing w:line="0" w:lineRule="atLeast"/>
              <w:jc w:val="center"/>
              <w:rPr>
                <w:highlight w:val="none"/>
              </w:rPr>
            </w:pPr>
            <w:r>
              <w:rPr>
                <w:color w:val="000000"/>
                <w:kern w:val="0"/>
                <w:sz w:val="22"/>
                <w:szCs w:val="22"/>
                <w:highlight w:val="none"/>
              </w:rPr>
              <w:t>效益</w:t>
            </w:r>
          </w:p>
        </w:tc>
        <w:tc>
          <w:tcPr>
            <w:tcW w:w="798" w:type="dxa"/>
            <w:vMerge w:val="restart"/>
            <w:vAlign w:val="center"/>
          </w:tcPr>
          <w:p w14:paraId="77DD42ED">
            <w:pPr>
              <w:widowControl/>
              <w:spacing w:line="0" w:lineRule="atLeast"/>
              <w:jc w:val="center"/>
              <w:rPr>
                <w:highlight w:val="none"/>
              </w:rPr>
            </w:pPr>
            <w:r>
              <w:rPr>
                <w:color w:val="000000"/>
                <w:kern w:val="0"/>
                <w:sz w:val="22"/>
                <w:szCs w:val="22"/>
                <w:highlight w:val="none"/>
              </w:rPr>
              <w:t>20分</w:t>
            </w:r>
          </w:p>
        </w:tc>
        <w:tc>
          <w:tcPr>
            <w:tcW w:w="1202" w:type="dxa"/>
            <w:vMerge w:val="restart"/>
            <w:vAlign w:val="center"/>
          </w:tcPr>
          <w:p w14:paraId="138EA652">
            <w:pPr>
              <w:widowControl/>
              <w:spacing w:line="0" w:lineRule="atLeast"/>
              <w:jc w:val="center"/>
              <w:rPr>
                <w:highlight w:val="none"/>
              </w:rPr>
            </w:pPr>
            <w:r>
              <w:rPr>
                <w:color w:val="000000"/>
                <w:kern w:val="0"/>
                <w:sz w:val="22"/>
                <w:szCs w:val="22"/>
                <w:highlight w:val="none"/>
              </w:rPr>
              <w:t>项目效益</w:t>
            </w:r>
          </w:p>
        </w:tc>
        <w:tc>
          <w:tcPr>
            <w:tcW w:w="1332" w:type="dxa"/>
            <w:vAlign w:val="center"/>
          </w:tcPr>
          <w:p w14:paraId="7A9D6FA8">
            <w:pPr>
              <w:widowControl/>
              <w:spacing w:line="0" w:lineRule="atLeast"/>
              <w:jc w:val="center"/>
              <w:rPr>
                <w:color w:val="000000"/>
                <w:kern w:val="0"/>
                <w:sz w:val="22"/>
                <w:szCs w:val="22"/>
                <w:highlight w:val="none"/>
              </w:rPr>
            </w:pPr>
            <w:r>
              <w:rPr>
                <w:color w:val="000000"/>
                <w:kern w:val="0"/>
                <w:sz w:val="22"/>
                <w:szCs w:val="22"/>
                <w:highlight w:val="none"/>
              </w:rPr>
              <w:t>实施效益</w:t>
            </w:r>
          </w:p>
          <w:p w14:paraId="12CB8007">
            <w:pPr>
              <w:widowControl/>
              <w:spacing w:line="0" w:lineRule="atLeast"/>
              <w:jc w:val="center"/>
              <w:rPr>
                <w:highlight w:val="none"/>
              </w:rPr>
            </w:pPr>
            <w:r>
              <w:rPr>
                <w:color w:val="000000"/>
                <w:kern w:val="0"/>
                <w:sz w:val="22"/>
                <w:szCs w:val="22"/>
                <w:highlight w:val="none"/>
              </w:rPr>
              <w:t>（社会效益、经济效益、可持续效益）</w:t>
            </w:r>
          </w:p>
        </w:tc>
        <w:tc>
          <w:tcPr>
            <w:tcW w:w="618" w:type="dxa"/>
            <w:vAlign w:val="center"/>
          </w:tcPr>
          <w:p w14:paraId="49E6268B">
            <w:pPr>
              <w:widowControl/>
              <w:spacing w:line="0" w:lineRule="atLeast"/>
              <w:jc w:val="center"/>
              <w:rPr>
                <w:highlight w:val="none"/>
              </w:rPr>
            </w:pPr>
            <w:r>
              <w:rPr>
                <w:color w:val="000000"/>
                <w:kern w:val="0"/>
                <w:sz w:val="22"/>
                <w:szCs w:val="22"/>
                <w:highlight w:val="none"/>
              </w:rPr>
              <w:t>10</w:t>
            </w:r>
          </w:p>
        </w:tc>
        <w:tc>
          <w:tcPr>
            <w:tcW w:w="883" w:type="dxa"/>
            <w:vAlign w:val="center"/>
          </w:tcPr>
          <w:p w14:paraId="630F7C64">
            <w:pPr>
              <w:widowControl/>
              <w:spacing w:line="0" w:lineRule="atLeast"/>
              <w:jc w:val="center"/>
              <w:rPr>
                <w:highlight w:val="none"/>
              </w:rPr>
            </w:pPr>
            <w:r>
              <w:rPr>
                <w:color w:val="000000"/>
                <w:kern w:val="0"/>
                <w:sz w:val="22"/>
                <w:szCs w:val="22"/>
                <w:highlight w:val="none"/>
              </w:rPr>
              <w:t>有效</w:t>
            </w:r>
          </w:p>
        </w:tc>
        <w:tc>
          <w:tcPr>
            <w:tcW w:w="950" w:type="dxa"/>
            <w:vAlign w:val="center"/>
          </w:tcPr>
          <w:p w14:paraId="09E215CE">
            <w:pPr>
              <w:widowControl/>
              <w:spacing w:line="0" w:lineRule="atLeast"/>
              <w:jc w:val="center"/>
              <w:rPr>
                <w:highlight w:val="none"/>
              </w:rPr>
            </w:pPr>
            <w:r>
              <w:rPr>
                <w:color w:val="000000"/>
                <w:kern w:val="0"/>
                <w:sz w:val="22"/>
                <w:szCs w:val="22"/>
                <w:highlight w:val="none"/>
              </w:rPr>
              <w:t>有效</w:t>
            </w:r>
          </w:p>
        </w:tc>
        <w:tc>
          <w:tcPr>
            <w:tcW w:w="934" w:type="dxa"/>
            <w:vAlign w:val="center"/>
          </w:tcPr>
          <w:p w14:paraId="2AE7B35F">
            <w:pPr>
              <w:widowControl/>
              <w:spacing w:line="0" w:lineRule="atLeast"/>
              <w:jc w:val="center"/>
              <w:rPr>
                <w:highlight w:val="none"/>
              </w:rPr>
            </w:pPr>
            <w:r>
              <w:rPr>
                <w:rFonts w:hint="eastAsia"/>
                <w:color w:val="000000"/>
                <w:kern w:val="0"/>
                <w:sz w:val="22"/>
                <w:szCs w:val="22"/>
                <w:highlight w:val="none"/>
              </w:rPr>
              <w:t>100%</w:t>
            </w:r>
          </w:p>
        </w:tc>
        <w:tc>
          <w:tcPr>
            <w:tcW w:w="899" w:type="dxa"/>
            <w:vAlign w:val="center"/>
          </w:tcPr>
          <w:p w14:paraId="2080A7D4">
            <w:pPr>
              <w:widowControl/>
              <w:spacing w:line="0" w:lineRule="atLeast"/>
              <w:jc w:val="center"/>
              <w:rPr>
                <w:highlight w:val="none"/>
              </w:rPr>
            </w:pPr>
            <w:r>
              <w:rPr>
                <w:rFonts w:hint="eastAsia"/>
                <w:color w:val="000000"/>
                <w:kern w:val="0"/>
                <w:sz w:val="22"/>
                <w:szCs w:val="22"/>
                <w:highlight w:val="none"/>
              </w:rPr>
              <w:t>10</w:t>
            </w:r>
          </w:p>
        </w:tc>
      </w:tr>
      <w:tr w14:paraId="30AA3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Merge w:val="continue"/>
          </w:tcPr>
          <w:p w14:paraId="69FC3BB5">
            <w:pPr>
              <w:rPr>
                <w:highlight w:val="none"/>
              </w:rPr>
            </w:pPr>
          </w:p>
        </w:tc>
        <w:tc>
          <w:tcPr>
            <w:tcW w:w="798" w:type="dxa"/>
            <w:vMerge w:val="continue"/>
          </w:tcPr>
          <w:p w14:paraId="6A417AD2">
            <w:pPr>
              <w:rPr>
                <w:highlight w:val="none"/>
              </w:rPr>
            </w:pPr>
          </w:p>
        </w:tc>
        <w:tc>
          <w:tcPr>
            <w:tcW w:w="1202" w:type="dxa"/>
            <w:vMerge w:val="continue"/>
          </w:tcPr>
          <w:p w14:paraId="677AEE1A">
            <w:pPr>
              <w:rPr>
                <w:highlight w:val="none"/>
              </w:rPr>
            </w:pPr>
          </w:p>
        </w:tc>
        <w:tc>
          <w:tcPr>
            <w:tcW w:w="1332" w:type="dxa"/>
            <w:vAlign w:val="center"/>
          </w:tcPr>
          <w:p w14:paraId="20FD0D56">
            <w:pPr>
              <w:widowControl/>
              <w:spacing w:line="0" w:lineRule="atLeast"/>
              <w:jc w:val="center"/>
              <w:rPr>
                <w:highlight w:val="none"/>
              </w:rPr>
            </w:pPr>
            <w:r>
              <w:rPr>
                <w:color w:val="000000"/>
                <w:kern w:val="0"/>
                <w:sz w:val="22"/>
                <w:szCs w:val="22"/>
                <w:highlight w:val="none"/>
              </w:rPr>
              <w:t>满意度</w:t>
            </w:r>
          </w:p>
        </w:tc>
        <w:tc>
          <w:tcPr>
            <w:tcW w:w="618" w:type="dxa"/>
            <w:vAlign w:val="center"/>
          </w:tcPr>
          <w:p w14:paraId="5B917680">
            <w:pPr>
              <w:widowControl/>
              <w:spacing w:line="0" w:lineRule="atLeast"/>
              <w:jc w:val="center"/>
              <w:rPr>
                <w:highlight w:val="none"/>
              </w:rPr>
            </w:pPr>
            <w:r>
              <w:rPr>
                <w:color w:val="000000"/>
                <w:kern w:val="0"/>
                <w:sz w:val="22"/>
                <w:szCs w:val="22"/>
                <w:highlight w:val="none"/>
              </w:rPr>
              <w:t>10</w:t>
            </w:r>
          </w:p>
        </w:tc>
        <w:tc>
          <w:tcPr>
            <w:tcW w:w="883" w:type="dxa"/>
            <w:vAlign w:val="center"/>
          </w:tcPr>
          <w:p w14:paraId="66FFAE66">
            <w:pPr>
              <w:widowControl/>
              <w:spacing w:line="0" w:lineRule="atLeast"/>
              <w:jc w:val="center"/>
              <w:rPr>
                <w:highlight w:val="none"/>
              </w:rPr>
            </w:pPr>
            <w:r>
              <w:rPr>
                <w:rFonts w:hint="eastAsia"/>
                <w:color w:val="000000"/>
                <w:kern w:val="0"/>
                <w:sz w:val="22"/>
                <w:szCs w:val="22"/>
                <w:highlight w:val="none"/>
              </w:rPr>
              <w:t>≥90%</w:t>
            </w:r>
          </w:p>
        </w:tc>
        <w:tc>
          <w:tcPr>
            <w:tcW w:w="950" w:type="dxa"/>
            <w:vAlign w:val="center"/>
          </w:tcPr>
          <w:p w14:paraId="3D02EAB3">
            <w:pPr>
              <w:widowControl/>
              <w:spacing w:line="0" w:lineRule="atLeast"/>
              <w:jc w:val="center"/>
              <w:rPr>
                <w:highlight w:val="none"/>
              </w:rPr>
            </w:pPr>
            <w:r>
              <w:rPr>
                <w:rFonts w:hint="eastAsia"/>
                <w:color w:val="000000"/>
                <w:kern w:val="0"/>
                <w:sz w:val="22"/>
                <w:szCs w:val="22"/>
                <w:highlight w:val="none"/>
              </w:rPr>
              <w:t>100%</w:t>
            </w:r>
          </w:p>
        </w:tc>
        <w:tc>
          <w:tcPr>
            <w:tcW w:w="934" w:type="dxa"/>
            <w:vAlign w:val="center"/>
          </w:tcPr>
          <w:p w14:paraId="067BADF6">
            <w:pPr>
              <w:widowControl/>
              <w:spacing w:line="0" w:lineRule="atLeast"/>
              <w:jc w:val="center"/>
              <w:rPr>
                <w:highlight w:val="none"/>
              </w:rPr>
            </w:pPr>
            <w:r>
              <w:rPr>
                <w:rFonts w:hint="eastAsia"/>
                <w:color w:val="000000"/>
                <w:kern w:val="0"/>
                <w:sz w:val="22"/>
                <w:szCs w:val="22"/>
                <w:highlight w:val="none"/>
              </w:rPr>
              <w:t>100%</w:t>
            </w:r>
          </w:p>
        </w:tc>
        <w:tc>
          <w:tcPr>
            <w:tcW w:w="899" w:type="dxa"/>
            <w:vAlign w:val="center"/>
          </w:tcPr>
          <w:p w14:paraId="4B14C96C">
            <w:pPr>
              <w:widowControl/>
              <w:spacing w:line="0" w:lineRule="atLeast"/>
              <w:jc w:val="center"/>
              <w:rPr>
                <w:highlight w:val="none"/>
              </w:rPr>
            </w:pPr>
            <w:r>
              <w:rPr>
                <w:rFonts w:hint="eastAsia"/>
                <w:color w:val="000000"/>
                <w:kern w:val="0"/>
                <w:sz w:val="22"/>
                <w:szCs w:val="22"/>
                <w:highlight w:val="none"/>
              </w:rPr>
              <w:t>10</w:t>
            </w:r>
          </w:p>
        </w:tc>
      </w:tr>
    </w:tbl>
    <w:p w14:paraId="6E0DB3D1">
      <w:pPr>
        <w:spacing w:line="560" w:lineRule="exact"/>
        <w:ind w:firstLine="640" w:firstLineChars="200"/>
        <w:rPr>
          <w:rFonts w:eastAsia="黑体"/>
          <w:sz w:val="32"/>
          <w:szCs w:val="32"/>
          <w:highlight w:val="none"/>
        </w:rPr>
      </w:pPr>
      <w:r>
        <w:rPr>
          <w:rFonts w:eastAsia="黑体"/>
          <w:sz w:val="32"/>
          <w:szCs w:val="32"/>
          <w:highlight w:val="none"/>
        </w:rPr>
        <w:t>四、绩效评价指标分析</w:t>
      </w:r>
    </w:p>
    <w:p w14:paraId="20238961">
      <w:pPr>
        <w:pStyle w:val="2"/>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（一）项目决策情况</w:t>
      </w:r>
    </w:p>
    <w:p w14:paraId="15C4B733">
      <w:pPr>
        <w:spacing w:line="360" w:lineRule="auto"/>
        <w:ind w:firstLine="640" w:firstLineChars="200"/>
        <w:jc w:val="left"/>
        <w:rPr>
          <w:rFonts w:eastAsia="仿宋_GB2312"/>
          <w:sz w:val="32"/>
          <w:szCs w:val="32"/>
          <w:highlight w:val="none"/>
        </w:rPr>
      </w:pPr>
      <w:r>
        <w:rPr>
          <w:rFonts w:eastAsia="仿宋_GB2312"/>
          <w:sz w:val="32"/>
          <w:szCs w:val="32"/>
          <w:highlight w:val="none"/>
        </w:rPr>
        <w:t>1、立项依据充分性</w:t>
      </w:r>
    </w:p>
    <w:p w14:paraId="41421B28">
      <w:pPr>
        <w:spacing w:line="360" w:lineRule="auto"/>
        <w:ind w:firstLine="640" w:firstLineChars="200"/>
        <w:rPr>
          <w:rFonts w:eastAsia="仿宋_GB2312"/>
          <w:sz w:val="32"/>
          <w:szCs w:val="32"/>
          <w:highlight w:val="none"/>
        </w:rPr>
      </w:pPr>
      <w:r>
        <w:rPr>
          <w:rFonts w:eastAsia="仿宋_GB2312"/>
          <w:sz w:val="32"/>
          <w:szCs w:val="32"/>
          <w:highlight w:val="none"/>
        </w:rPr>
        <w:t>我院项目立项依据《关于印发做好医疗资源准备工作方案的通知</w:t>
      </w:r>
      <w:r>
        <w:rPr>
          <w:rFonts w:hint="eastAsia" w:eastAsia="仿宋_GB2312"/>
          <w:sz w:val="32"/>
          <w:szCs w:val="32"/>
          <w:highlight w:val="none"/>
          <w:lang w:eastAsia="zh-CN"/>
        </w:rPr>
        <w:t>》《</w:t>
      </w:r>
      <w:r>
        <w:rPr>
          <w:rFonts w:eastAsia="仿宋_GB2312"/>
          <w:sz w:val="32"/>
          <w:szCs w:val="32"/>
          <w:highlight w:val="none"/>
        </w:rPr>
        <w:t>关于加强新型冠状病毒感染的肺炎重症病例医疗救治工作的通知</w:t>
      </w:r>
      <w:r>
        <w:rPr>
          <w:rFonts w:hint="eastAsia" w:eastAsia="仿宋_GB2312"/>
          <w:sz w:val="32"/>
          <w:szCs w:val="32"/>
          <w:highlight w:val="none"/>
          <w:lang w:eastAsia="zh-CN"/>
        </w:rPr>
        <w:t>》《</w:t>
      </w:r>
      <w:r>
        <w:rPr>
          <w:rFonts w:eastAsia="仿宋_GB2312"/>
          <w:sz w:val="32"/>
          <w:szCs w:val="32"/>
          <w:highlight w:val="none"/>
        </w:rPr>
        <w:t>关于印发公共卫生防控救治能力建设方案的通知</w:t>
      </w:r>
      <w:r>
        <w:rPr>
          <w:rFonts w:hint="eastAsia" w:eastAsia="仿宋_GB2312"/>
          <w:sz w:val="32"/>
          <w:szCs w:val="32"/>
          <w:highlight w:val="none"/>
          <w:lang w:eastAsia="zh-CN"/>
        </w:rPr>
        <w:t>》等</w:t>
      </w:r>
      <w:r>
        <w:rPr>
          <w:rFonts w:eastAsia="仿宋_GB2312"/>
          <w:sz w:val="32"/>
          <w:szCs w:val="32"/>
          <w:highlight w:val="none"/>
        </w:rPr>
        <w:t>文件要求，结合我院医疗工作实际情况，制定项目报告。</w:t>
      </w:r>
    </w:p>
    <w:p w14:paraId="3DFE1C0C">
      <w:pPr>
        <w:spacing w:line="360" w:lineRule="auto"/>
        <w:ind w:firstLine="640" w:firstLineChars="200"/>
        <w:rPr>
          <w:rFonts w:eastAsia="仿宋_GB2312"/>
          <w:sz w:val="32"/>
          <w:szCs w:val="32"/>
          <w:highlight w:val="none"/>
        </w:rPr>
      </w:pPr>
      <w:r>
        <w:rPr>
          <w:rFonts w:eastAsia="仿宋_GB2312"/>
          <w:sz w:val="32"/>
          <w:szCs w:val="32"/>
          <w:highlight w:val="none"/>
        </w:rPr>
        <w:t>2、立项程序规范性</w:t>
      </w:r>
    </w:p>
    <w:p w14:paraId="061903A6">
      <w:pPr>
        <w:spacing w:line="360" w:lineRule="auto"/>
        <w:ind w:firstLine="640" w:firstLineChars="200"/>
        <w:rPr>
          <w:rFonts w:eastAsia="仿宋_GB2312"/>
          <w:sz w:val="32"/>
          <w:szCs w:val="32"/>
          <w:highlight w:val="none"/>
        </w:rPr>
      </w:pPr>
      <w:r>
        <w:rPr>
          <w:rFonts w:eastAsia="仿宋_GB2312"/>
          <w:sz w:val="32"/>
          <w:szCs w:val="32"/>
          <w:highlight w:val="none"/>
        </w:rPr>
        <w:t>我院项目立项严格遵守规章制度、遵守有关标准和法律法规，立项前考虑好项目的可行性、经济性和社会效益，提高资金使用效益。</w:t>
      </w:r>
    </w:p>
    <w:p w14:paraId="6D160051">
      <w:pPr>
        <w:spacing w:line="360" w:lineRule="auto"/>
        <w:ind w:firstLine="640" w:firstLineChars="200"/>
        <w:rPr>
          <w:rFonts w:eastAsia="仿宋_GB2312"/>
          <w:sz w:val="32"/>
          <w:szCs w:val="32"/>
          <w:highlight w:val="none"/>
        </w:rPr>
      </w:pPr>
      <w:r>
        <w:rPr>
          <w:rFonts w:eastAsia="仿宋_GB2312"/>
          <w:sz w:val="32"/>
          <w:szCs w:val="32"/>
          <w:highlight w:val="none"/>
        </w:rPr>
        <w:t>3、绩效目标合理性</w:t>
      </w:r>
    </w:p>
    <w:p w14:paraId="3272CDA4">
      <w:pPr>
        <w:spacing w:line="360" w:lineRule="auto"/>
        <w:ind w:firstLine="640" w:firstLineChars="200"/>
        <w:rPr>
          <w:rFonts w:eastAsia="仿宋_GB2312"/>
          <w:sz w:val="32"/>
          <w:szCs w:val="32"/>
          <w:highlight w:val="none"/>
        </w:rPr>
      </w:pPr>
      <w:r>
        <w:rPr>
          <w:rFonts w:eastAsia="仿宋_GB2312"/>
          <w:sz w:val="32"/>
          <w:szCs w:val="32"/>
          <w:highlight w:val="none"/>
        </w:rPr>
        <w:t>我院根据批复文件，严格制定2023年自治区第一批疫情防控补助（重症救治设备购置）项目绩效目标，与重症病例救治工作具有直接相联性，确保项目预期绩效目标完成情况符合正常水平。</w:t>
      </w:r>
    </w:p>
    <w:p w14:paraId="7CFCD307">
      <w:pPr>
        <w:spacing w:line="360" w:lineRule="auto"/>
        <w:ind w:firstLine="640" w:firstLineChars="200"/>
        <w:rPr>
          <w:rFonts w:eastAsia="仿宋_GB2312"/>
          <w:sz w:val="32"/>
          <w:szCs w:val="32"/>
          <w:highlight w:val="none"/>
        </w:rPr>
      </w:pPr>
      <w:r>
        <w:rPr>
          <w:rFonts w:eastAsia="仿宋_GB2312"/>
          <w:sz w:val="32"/>
          <w:szCs w:val="32"/>
          <w:highlight w:val="none"/>
        </w:rPr>
        <w:t>4、绩效指标明确性</w:t>
      </w:r>
    </w:p>
    <w:p w14:paraId="53E3F7A7">
      <w:pPr>
        <w:spacing w:line="360" w:lineRule="auto"/>
        <w:ind w:firstLine="640" w:firstLineChars="200"/>
        <w:rPr>
          <w:rFonts w:eastAsia="仿宋_GB2312"/>
          <w:sz w:val="32"/>
          <w:szCs w:val="32"/>
          <w:highlight w:val="none"/>
        </w:rPr>
      </w:pPr>
      <w:bookmarkStart w:id="2" w:name="_Hlk68699917"/>
      <w:r>
        <w:rPr>
          <w:rFonts w:eastAsia="仿宋_GB2312"/>
          <w:sz w:val="32"/>
          <w:szCs w:val="32"/>
          <w:highlight w:val="none"/>
        </w:rPr>
        <w:t>我院将2023年自治区第一批疫情防控补助（重症救治设备购置）项目绩效目标细化分解为具体的绩效指标，一级指标共4条，二级指标共6条，三级指标共7条，其中量化指标条数共6条，所有绩效指标均通过清晰、可衡量的指标值予以体现，并且做到了与项目建设内容相对应。</w:t>
      </w:r>
      <w:bookmarkEnd w:id="2"/>
    </w:p>
    <w:p w14:paraId="799D5E04">
      <w:pPr>
        <w:spacing w:line="360" w:lineRule="auto"/>
        <w:ind w:firstLine="640" w:firstLineChars="200"/>
        <w:rPr>
          <w:rFonts w:eastAsia="仿宋_GB2312"/>
          <w:sz w:val="32"/>
          <w:szCs w:val="32"/>
          <w:highlight w:val="none"/>
        </w:rPr>
      </w:pPr>
      <w:r>
        <w:rPr>
          <w:rFonts w:eastAsia="仿宋_GB2312"/>
          <w:sz w:val="32"/>
          <w:szCs w:val="32"/>
          <w:highlight w:val="none"/>
        </w:rPr>
        <w:t>5、预算编制科学性</w:t>
      </w:r>
    </w:p>
    <w:p w14:paraId="2874DFB6">
      <w:pPr>
        <w:spacing w:line="360" w:lineRule="auto"/>
        <w:ind w:firstLine="640" w:firstLineChars="200"/>
        <w:rPr>
          <w:rFonts w:eastAsia="仿宋_GB2312"/>
          <w:sz w:val="32"/>
          <w:szCs w:val="32"/>
          <w:highlight w:val="none"/>
        </w:rPr>
      </w:pPr>
      <w:r>
        <w:rPr>
          <w:rFonts w:eastAsia="仿宋_GB2312"/>
          <w:sz w:val="32"/>
          <w:szCs w:val="32"/>
          <w:highlight w:val="none"/>
        </w:rPr>
        <w:t>根据我院《新疆医科大学第七附属医院专项资金管理办法》，预算编制经过科学论证，预算内容与项目内容匹配，预算额度测算依据充分，按照批复规定编制，预算确定的项目投资额与工作任务相匹配。</w:t>
      </w:r>
    </w:p>
    <w:p w14:paraId="6F81A291">
      <w:pPr>
        <w:spacing w:line="360" w:lineRule="auto"/>
        <w:ind w:firstLine="640" w:firstLineChars="200"/>
        <w:rPr>
          <w:rFonts w:eastAsia="仿宋_GB2312"/>
          <w:sz w:val="32"/>
          <w:szCs w:val="32"/>
          <w:highlight w:val="none"/>
        </w:rPr>
      </w:pPr>
      <w:r>
        <w:rPr>
          <w:rFonts w:eastAsia="仿宋_GB2312"/>
          <w:sz w:val="32"/>
          <w:szCs w:val="32"/>
          <w:highlight w:val="none"/>
        </w:rPr>
        <w:t>6、资金分配合理性</w:t>
      </w:r>
    </w:p>
    <w:p w14:paraId="17517619">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资金分配额度与项目单位实际工作内容相适应，资金分配额度合理，资金分配依据充分。</w:t>
      </w:r>
    </w:p>
    <w:p w14:paraId="2685EE6E">
      <w:pPr>
        <w:pStyle w:val="2"/>
        <w:numPr>
          <w:ilvl w:val="0"/>
          <w:numId w:val="5"/>
        </w:numPr>
        <w:spacing w:before="0" w:after="0" w:line="560" w:lineRule="exact"/>
        <w:ind w:firstLine="643" w:firstLineChars="200"/>
        <w:jc w:val="both"/>
        <w:rPr>
          <w:rFonts w:ascii="Times New Roman" w:hAnsi="Times New Roman" w:eastAsia="仿宋_GB2312"/>
          <w:highlight w:val="none"/>
        </w:rPr>
      </w:pPr>
      <w:r>
        <w:rPr>
          <w:rFonts w:ascii="Times New Roman" w:hAnsi="Times New Roman" w:eastAsia="仿宋_GB2312"/>
          <w:highlight w:val="none"/>
        </w:rPr>
        <w:t>项目过程情况</w:t>
      </w:r>
    </w:p>
    <w:p w14:paraId="70144A7B">
      <w:pPr>
        <w:pStyle w:val="20"/>
        <w:spacing w:line="560" w:lineRule="exact"/>
        <w:ind w:firstLine="64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1.资金管理</w:t>
      </w:r>
    </w:p>
    <w:p w14:paraId="365A20A3">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（1）资金到位率</w:t>
      </w:r>
    </w:p>
    <w:p w14:paraId="02363208">
      <w:pPr>
        <w:spacing w:line="600" w:lineRule="exact"/>
        <w:ind w:firstLine="640" w:firstLineChars="200"/>
        <w:outlineLvl w:val="0"/>
        <w:rPr>
          <w:rFonts w:eastAsia="仿宋_GB2312"/>
          <w:sz w:val="32"/>
          <w:szCs w:val="32"/>
          <w:highlight w:val="none"/>
        </w:rPr>
      </w:pPr>
      <w:r>
        <w:rPr>
          <w:rFonts w:eastAsia="仿宋_GB2312"/>
          <w:sz w:val="32"/>
          <w:szCs w:val="32"/>
          <w:highlight w:val="none"/>
        </w:rPr>
        <w:t>本项目总投资1920万元，财政资金及时足额到位，到位率100%，预算资金按计划进度执行。</w:t>
      </w:r>
    </w:p>
    <w:p w14:paraId="717C84BD">
      <w:pPr>
        <w:spacing w:line="600" w:lineRule="exact"/>
        <w:ind w:firstLine="640" w:firstLineChars="200"/>
        <w:outlineLvl w:val="0"/>
        <w:rPr>
          <w:rFonts w:eastAsia="仿宋_GB2312"/>
          <w:sz w:val="32"/>
          <w:szCs w:val="32"/>
          <w:highlight w:val="none"/>
        </w:rPr>
      </w:pPr>
      <w:r>
        <w:rPr>
          <w:rFonts w:eastAsia="仿宋_GB2312"/>
          <w:sz w:val="32"/>
          <w:szCs w:val="32"/>
          <w:highlight w:val="none"/>
        </w:rPr>
        <w:t>（2）预算执行率</w:t>
      </w:r>
    </w:p>
    <w:p w14:paraId="0B6BB0A6">
      <w:pPr>
        <w:spacing w:line="600" w:lineRule="exact"/>
        <w:ind w:firstLine="640" w:firstLineChars="200"/>
        <w:outlineLvl w:val="0"/>
        <w:rPr>
          <w:rFonts w:eastAsia="仿宋_GB2312"/>
          <w:sz w:val="32"/>
          <w:szCs w:val="32"/>
          <w:highlight w:val="none"/>
        </w:rPr>
      </w:pPr>
      <w:r>
        <w:rPr>
          <w:rFonts w:eastAsia="仿宋_GB2312"/>
          <w:sz w:val="32"/>
          <w:szCs w:val="32"/>
          <w:highlight w:val="none"/>
        </w:rPr>
        <w:t>预算编制较为详细，项目资金支出总体能够按照预算执行，预算资金支出1920万元，预算执行率为100%。</w:t>
      </w:r>
    </w:p>
    <w:p w14:paraId="3FC2A66B">
      <w:pPr>
        <w:spacing w:line="600" w:lineRule="exact"/>
        <w:ind w:firstLine="640" w:firstLineChars="200"/>
        <w:outlineLvl w:val="0"/>
        <w:rPr>
          <w:rFonts w:eastAsia="仿宋_GB2312"/>
          <w:sz w:val="32"/>
          <w:szCs w:val="32"/>
          <w:highlight w:val="none"/>
        </w:rPr>
      </w:pPr>
      <w:r>
        <w:rPr>
          <w:rFonts w:eastAsia="仿宋_GB2312"/>
          <w:sz w:val="32"/>
          <w:szCs w:val="32"/>
          <w:highlight w:val="none"/>
        </w:rPr>
        <w:t>（3）资金使用合规性</w:t>
      </w:r>
    </w:p>
    <w:p w14:paraId="1A90E7E0">
      <w:pPr>
        <w:spacing w:line="600" w:lineRule="exact"/>
        <w:ind w:firstLine="640" w:firstLineChars="200"/>
        <w:outlineLvl w:val="0"/>
        <w:rPr>
          <w:rFonts w:ascii="仿宋_GB2312" w:hAnsi="仿宋_GB2312" w:eastAsia="仿宋_GB2312" w:cs="仿宋_GB2312"/>
          <w:sz w:val="32"/>
          <w:szCs w:val="32"/>
          <w:highlight w:val="none"/>
        </w:rPr>
      </w:pPr>
      <w:r>
        <w:rPr>
          <w:rFonts w:eastAsia="仿宋_GB2312"/>
          <w:sz w:val="32"/>
          <w:szCs w:val="32"/>
          <w:highlight w:val="none"/>
        </w:rPr>
        <w:t>项目严格按照预期绩效目标执行预</w:t>
      </w:r>
      <w:r>
        <w:rPr>
          <w:rFonts w:hint="eastAsia" w:ascii="仿宋_GB2312" w:hAnsi="仿宋_GB2312" w:eastAsia="仿宋_GB2312" w:cs="仿宋_GB2312"/>
          <w:sz w:val="32"/>
          <w:szCs w:val="32"/>
          <w:highlight w:val="none"/>
        </w:rPr>
        <w:t>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0C3C4AA9">
      <w:pPr>
        <w:pStyle w:val="20"/>
        <w:spacing w:line="560" w:lineRule="exact"/>
        <w:ind w:firstLine="64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2.组织实施</w:t>
      </w:r>
    </w:p>
    <w:p w14:paraId="56EC1269">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（1）管理制度健全性</w:t>
      </w:r>
    </w:p>
    <w:p w14:paraId="294D6138">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32A8C159">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（2）制度执行有效性</w:t>
      </w:r>
    </w:p>
    <w:p w14:paraId="28219277">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对资金使用的合法合规性进行监督，年末对资金使用效果进行评价。项目管理、实施人员落实到位，有效按照计划执行。项目执行情况等资料齐全，项目相关手续完备，及时进行归档。</w:t>
      </w:r>
    </w:p>
    <w:p w14:paraId="5AA087E8">
      <w:pPr>
        <w:pStyle w:val="12"/>
        <w:numPr>
          <w:ilvl w:val="0"/>
          <w:numId w:val="5"/>
        </w:numPr>
        <w:spacing w:line="560" w:lineRule="exact"/>
        <w:ind w:firstLine="643"/>
        <w:rPr>
          <w:rFonts w:eastAsia="楷体_GB2312"/>
          <w:b/>
          <w:bCs/>
          <w:sz w:val="32"/>
          <w:szCs w:val="32"/>
          <w:highlight w:val="none"/>
        </w:rPr>
      </w:pPr>
      <w:r>
        <w:rPr>
          <w:rFonts w:eastAsia="楷体_GB2312"/>
          <w:b/>
          <w:bCs/>
          <w:sz w:val="32"/>
          <w:szCs w:val="32"/>
          <w:highlight w:val="none"/>
        </w:rPr>
        <w:t>项目产出</w:t>
      </w:r>
    </w:p>
    <w:p w14:paraId="20CD836C">
      <w:pPr>
        <w:spacing w:line="360" w:lineRule="auto"/>
        <w:ind w:firstLine="602" w:firstLineChars="200"/>
        <w:rPr>
          <w:rFonts w:eastAsia="仿宋_GB2312"/>
          <w:b/>
          <w:bCs/>
          <w:sz w:val="30"/>
          <w:highlight w:val="none"/>
        </w:rPr>
      </w:pPr>
      <w:r>
        <w:rPr>
          <w:rFonts w:hint="eastAsia" w:eastAsia="仿宋_GB2312"/>
          <w:b/>
          <w:bCs/>
          <w:sz w:val="30"/>
          <w:highlight w:val="none"/>
        </w:rPr>
        <w:t>数量指标方面：</w:t>
      </w:r>
    </w:p>
    <w:p w14:paraId="0C25C470">
      <w:pPr>
        <w:spacing w:line="360" w:lineRule="auto"/>
        <w:ind w:firstLine="640" w:firstLineChars="200"/>
        <w:rPr>
          <w:rFonts w:eastAsia="仿宋_GB2312"/>
          <w:sz w:val="32"/>
          <w:szCs w:val="32"/>
          <w:highlight w:val="none"/>
        </w:rPr>
      </w:pPr>
      <w:r>
        <w:rPr>
          <w:rFonts w:eastAsia="仿宋_GB2312"/>
          <w:sz w:val="32"/>
          <w:szCs w:val="32"/>
          <w:highlight w:val="none"/>
        </w:rPr>
        <w:t>指标1：配置ICU床位数量及配套设备数量，指标值：≥31床（套），实际完成值：31床（套），指标完成率100 %。</w:t>
      </w:r>
    </w:p>
    <w:p w14:paraId="0B634199">
      <w:pPr>
        <w:spacing w:line="560" w:lineRule="exact"/>
        <w:ind w:firstLine="643" w:firstLineChars="200"/>
        <w:rPr>
          <w:rStyle w:val="19"/>
          <w:rFonts w:ascii="Times New Roman" w:hAnsi="Times New Roman" w:cs="Times New Roman"/>
          <w:b/>
          <w:bCs/>
          <w:color w:val="auto"/>
          <w:highlight w:val="none"/>
        </w:rPr>
      </w:pPr>
      <w:r>
        <w:rPr>
          <w:rStyle w:val="19"/>
          <w:rFonts w:ascii="Times New Roman" w:hAnsi="Times New Roman" w:cs="Times New Roman"/>
          <w:b/>
          <w:bCs/>
          <w:color w:val="auto"/>
          <w:highlight w:val="none"/>
        </w:rPr>
        <w:t>质量指标方面：</w:t>
      </w:r>
    </w:p>
    <w:p w14:paraId="6A928A15">
      <w:pPr>
        <w:spacing w:line="360" w:lineRule="auto"/>
        <w:ind w:firstLine="640" w:firstLineChars="200"/>
        <w:rPr>
          <w:rFonts w:eastAsia="仿宋_GB2312"/>
          <w:sz w:val="32"/>
          <w:szCs w:val="32"/>
          <w:highlight w:val="none"/>
        </w:rPr>
      </w:pPr>
      <w:r>
        <w:rPr>
          <w:rFonts w:eastAsia="仿宋_GB2312"/>
          <w:sz w:val="32"/>
          <w:szCs w:val="32"/>
          <w:highlight w:val="none"/>
        </w:rPr>
        <w:t>指标1：设备质量合格率，指标值：</w:t>
      </w:r>
      <w:r>
        <w:rPr>
          <w:rFonts w:hint="eastAsia" w:eastAsia="仿宋_GB2312"/>
          <w:sz w:val="32"/>
          <w:szCs w:val="32"/>
          <w:highlight w:val="none"/>
        </w:rPr>
        <w:t>＞</w:t>
      </w:r>
      <w:r>
        <w:rPr>
          <w:rFonts w:eastAsia="仿宋_GB2312"/>
          <w:sz w:val="32"/>
          <w:szCs w:val="32"/>
          <w:highlight w:val="none"/>
        </w:rPr>
        <w:t>95%以上 ，实际完成值：100%，指标完成率100%。</w:t>
      </w:r>
    </w:p>
    <w:p w14:paraId="48E1FB0E">
      <w:pPr>
        <w:spacing w:line="360" w:lineRule="auto"/>
        <w:ind w:firstLine="640" w:firstLineChars="200"/>
        <w:rPr>
          <w:rFonts w:eastAsia="仿宋_GB2312"/>
          <w:sz w:val="32"/>
          <w:szCs w:val="32"/>
          <w:highlight w:val="none"/>
        </w:rPr>
      </w:pPr>
      <w:r>
        <w:rPr>
          <w:rFonts w:eastAsia="仿宋_GB2312"/>
          <w:sz w:val="32"/>
          <w:szCs w:val="32"/>
          <w:highlight w:val="none"/>
        </w:rPr>
        <w:t>指标2：设备验收合格率，指标值：</w:t>
      </w:r>
      <w:r>
        <w:rPr>
          <w:rFonts w:hint="eastAsia" w:eastAsia="仿宋_GB2312"/>
          <w:sz w:val="32"/>
          <w:szCs w:val="32"/>
          <w:highlight w:val="none"/>
        </w:rPr>
        <w:t>＞</w:t>
      </w:r>
      <w:r>
        <w:rPr>
          <w:rFonts w:eastAsia="仿宋_GB2312"/>
          <w:sz w:val="32"/>
          <w:szCs w:val="32"/>
          <w:highlight w:val="none"/>
        </w:rPr>
        <w:t>95%以上 ，实际完成值：100%，指标完成率100%。</w:t>
      </w:r>
    </w:p>
    <w:p w14:paraId="332C4A7F">
      <w:pPr>
        <w:spacing w:line="560" w:lineRule="exact"/>
        <w:ind w:firstLine="643" w:firstLineChars="200"/>
        <w:rPr>
          <w:rStyle w:val="19"/>
          <w:rFonts w:ascii="Times New Roman" w:hAnsi="Times New Roman" w:cs="Times New Roman"/>
          <w:b/>
          <w:bCs/>
          <w:color w:val="auto"/>
          <w:highlight w:val="none"/>
        </w:rPr>
      </w:pPr>
      <w:r>
        <w:rPr>
          <w:rStyle w:val="19"/>
          <w:rFonts w:ascii="Times New Roman" w:hAnsi="Times New Roman" w:cs="Times New Roman"/>
          <w:b/>
          <w:bCs/>
          <w:color w:val="auto"/>
          <w:highlight w:val="none"/>
        </w:rPr>
        <w:t>时效指标方面：</w:t>
      </w:r>
    </w:p>
    <w:p w14:paraId="0432C5C1">
      <w:pPr>
        <w:spacing w:line="360" w:lineRule="auto"/>
        <w:ind w:firstLine="640" w:firstLineChars="200"/>
        <w:rPr>
          <w:rFonts w:eastAsia="仿宋_GB2312"/>
          <w:sz w:val="32"/>
          <w:szCs w:val="32"/>
          <w:highlight w:val="none"/>
        </w:rPr>
      </w:pPr>
      <w:r>
        <w:rPr>
          <w:rFonts w:eastAsia="仿宋_GB2312"/>
          <w:sz w:val="32"/>
          <w:szCs w:val="32"/>
          <w:highlight w:val="none"/>
        </w:rPr>
        <w:t>指标1：床位改造完成时间，指标值：2023年12月31日前，实际完成值：2023年12月31日 ，指标完成率100%。</w:t>
      </w:r>
    </w:p>
    <w:p w14:paraId="3312A8D3">
      <w:pPr>
        <w:pStyle w:val="2"/>
        <w:spacing w:before="0" w:after="0" w:line="560" w:lineRule="exact"/>
        <w:ind w:firstLine="643" w:firstLineChars="200"/>
        <w:jc w:val="both"/>
        <w:rPr>
          <w:rStyle w:val="19"/>
          <w:rFonts w:ascii="Times New Roman" w:hAnsi="Times New Roman" w:cs="Times New Roman"/>
          <w:color w:val="auto"/>
          <w:highlight w:val="none"/>
        </w:rPr>
      </w:pPr>
      <w:r>
        <w:rPr>
          <w:rStyle w:val="19"/>
          <w:rFonts w:ascii="Times New Roman" w:hAnsi="Times New Roman" w:cs="Times New Roman"/>
          <w:color w:val="auto"/>
          <w:highlight w:val="none"/>
        </w:rPr>
        <w:t>成本指标方面：</w:t>
      </w:r>
    </w:p>
    <w:p w14:paraId="5570B591">
      <w:pPr>
        <w:spacing w:line="360" w:lineRule="auto"/>
        <w:ind w:firstLine="640" w:firstLineChars="200"/>
        <w:rPr>
          <w:rFonts w:eastAsia="仿宋_GB2312"/>
          <w:sz w:val="32"/>
          <w:szCs w:val="32"/>
          <w:highlight w:val="none"/>
        </w:rPr>
      </w:pPr>
      <w:r>
        <w:rPr>
          <w:rFonts w:eastAsia="仿宋_GB2312"/>
          <w:sz w:val="32"/>
          <w:szCs w:val="32"/>
          <w:highlight w:val="none"/>
        </w:rPr>
        <w:t>指标1：设备采购成本控制数，指标值：</w:t>
      </w:r>
      <w:r>
        <w:rPr>
          <w:rFonts w:hint="eastAsia" w:eastAsia="仿宋_GB2312"/>
          <w:sz w:val="32"/>
          <w:szCs w:val="32"/>
          <w:highlight w:val="none"/>
        </w:rPr>
        <w:t>≤</w:t>
      </w:r>
      <w:r>
        <w:rPr>
          <w:rFonts w:eastAsia="仿宋_GB2312"/>
          <w:sz w:val="32"/>
          <w:szCs w:val="32"/>
          <w:highlight w:val="none"/>
        </w:rPr>
        <w:t>61万元</w:t>
      </w:r>
      <w:r>
        <w:rPr>
          <w:rFonts w:hint="eastAsia" w:eastAsia="仿宋_GB2312"/>
          <w:sz w:val="32"/>
          <w:szCs w:val="32"/>
          <w:highlight w:val="none"/>
        </w:rPr>
        <w:t>/床</w:t>
      </w:r>
      <w:r>
        <w:rPr>
          <w:rFonts w:eastAsia="仿宋_GB2312"/>
          <w:sz w:val="32"/>
          <w:szCs w:val="32"/>
          <w:highlight w:val="none"/>
        </w:rPr>
        <w:t>，实际完成值：61.9万元/床，指标完成率101%。</w:t>
      </w:r>
    </w:p>
    <w:p w14:paraId="49753952">
      <w:pPr>
        <w:pStyle w:val="12"/>
        <w:numPr>
          <w:ilvl w:val="0"/>
          <w:numId w:val="5"/>
        </w:numPr>
        <w:spacing w:line="560" w:lineRule="exact"/>
        <w:ind w:firstLine="643"/>
        <w:rPr>
          <w:rFonts w:eastAsia="楷体_GB2312"/>
          <w:b/>
          <w:bCs/>
          <w:sz w:val="32"/>
          <w:szCs w:val="32"/>
          <w:highlight w:val="none"/>
        </w:rPr>
      </w:pPr>
      <w:r>
        <w:rPr>
          <w:rFonts w:eastAsia="楷体_GB2312"/>
          <w:b/>
          <w:bCs/>
          <w:sz w:val="32"/>
          <w:szCs w:val="32"/>
          <w:highlight w:val="none"/>
        </w:rPr>
        <w:t>效益情况</w:t>
      </w:r>
    </w:p>
    <w:p w14:paraId="6863FF23">
      <w:pPr>
        <w:spacing w:line="560" w:lineRule="exact"/>
        <w:ind w:firstLine="643" w:firstLineChars="200"/>
        <w:rPr>
          <w:rStyle w:val="19"/>
          <w:rFonts w:cs="Times New Roman"/>
          <w:b/>
          <w:bCs/>
          <w:color w:val="auto"/>
          <w:highlight w:val="none"/>
        </w:rPr>
      </w:pPr>
      <w:r>
        <w:rPr>
          <w:rStyle w:val="19"/>
          <w:rFonts w:hint="eastAsia" w:cs="Times New Roman"/>
          <w:b/>
          <w:bCs/>
          <w:color w:val="auto"/>
          <w:highlight w:val="none"/>
        </w:rPr>
        <w:t>经济效益指标方面：</w:t>
      </w:r>
    </w:p>
    <w:p w14:paraId="79AEFF40">
      <w:pPr>
        <w:spacing w:line="360" w:lineRule="auto"/>
        <w:ind w:firstLine="600" w:firstLineChars="200"/>
        <w:rPr>
          <w:rFonts w:eastAsia="仿宋_GB2312"/>
          <w:sz w:val="30"/>
          <w:highlight w:val="none"/>
        </w:rPr>
      </w:pPr>
      <w:r>
        <w:rPr>
          <w:rFonts w:hint="eastAsia" w:eastAsia="仿宋_GB2312"/>
          <w:sz w:val="30"/>
          <w:highlight w:val="none"/>
        </w:rPr>
        <w:t>指标1：设备利用率，指标值：＞70%，实际完成值：81%，指标完成率100%。</w:t>
      </w:r>
    </w:p>
    <w:p w14:paraId="7283FC91">
      <w:pPr>
        <w:spacing w:line="560" w:lineRule="exact"/>
        <w:ind w:firstLine="643" w:firstLineChars="200"/>
        <w:rPr>
          <w:rStyle w:val="19"/>
          <w:rFonts w:ascii="Times New Roman" w:hAnsi="Times New Roman" w:cs="Times New Roman"/>
          <w:b/>
          <w:bCs/>
          <w:color w:val="auto"/>
          <w:highlight w:val="none"/>
        </w:rPr>
      </w:pPr>
      <w:r>
        <w:rPr>
          <w:rStyle w:val="19"/>
          <w:rFonts w:ascii="Times New Roman" w:hAnsi="Times New Roman" w:cs="Times New Roman"/>
          <w:b/>
          <w:bCs/>
          <w:color w:val="auto"/>
          <w:highlight w:val="none"/>
        </w:rPr>
        <w:t>满意度指标方面：</w:t>
      </w:r>
    </w:p>
    <w:p w14:paraId="37CD0342">
      <w:pPr>
        <w:spacing w:line="360" w:lineRule="auto"/>
        <w:ind w:firstLine="600" w:firstLineChars="200"/>
        <w:rPr>
          <w:rFonts w:eastAsia="仿宋_GB2312"/>
          <w:sz w:val="30"/>
          <w:highlight w:val="none"/>
        </w:rPr>
      </w:pPr>
      <w:r>
        <w:rPr>
          <w:rFonts w:hint="eastAsia" w:eastAsia="仿宋_GB2312"/>
          <w:sz w:val="30"/>
          <w:highlight w:val="none"/>
        </w:rPr>
        <w:t>指标1：使用人员满意度，指标值：＞90%，实际完成值：92%，指标完成率100%。</w:t>
      </w:r>
    </w:p>
    <w:p w14:paraId="7A182B69">
      <w:pPr>
        <w:spacing w:line="560" w:lineRule="exact"/>
        <w:ind w:firstLine="640" w:firstLineChars="200"/>
        <w:rPr>
          <w:rFonts w:eastAsia="黑体"/>
          <w:sz w:val="32"/>
          <w:szCs w:val="32"/>
          <w:highlight w:val="none"/>
        </w:rPr>
      </w:pPr>
      <w:r>
        <w:rPr>
          <w:rFonts w:eastAsia="黑体"/>
          <w:sz w:val="32"/>
          <w:szCs w:val="32"/>
          <w:highlight w:val="none"/>
        </w:rPr>
        <w:t>五、</w:t>
      </w:r>
      <w:r>
        <w:rPr>
          <w:rFonts w:hint="eastAsia" w:eastAsia="黑体"/>
          <w:sz w:val="32"/>
          <w:szCs w:val="32"/>
          <w:highlight w:val="none"/>
        </w:rPr>
        <w:t>预算执行进度与绩效指标总体完成率偏差</w:t>
      </w:r>
    </w:p>
    <w:p w14:paraId="2775DC53">
      <w:pPr>
        <w:pStyle w:val="20"/>
        <w:spacing w:line="560" w:lineRule="exact"/>
        <w:ind w:firstLine="640"/>
        <w:rPr>
          <w:rFonts w:eastAsia="仿宋_GB2312"/>
          <w:kern w:val="2"/>
          <w:sz w:val="32"/>
          <w:szCs w:val="32"/>
          <w:highlight w:val="none"/>
        </w:rPr>
      </w:pPr>
      <w:r>
        <w:rPr>
          <w:rFonts w:hint="eastAsia" w:eastAsia="仿宋_GB2312"/>
          <w:kern w:val="2"/>
          <w:sz w:val="32"/>
          <w:szCs w:val="32"/>
          <w:highlight w:val="none"/>
        </w:rPr>
        <w:t>2023年自治区第一批疫情防控补助（重症救治设备购置）项目年初预算1920万元，全年预算1920万元，实际支出1920万元，预算执行率为100%。项目绩效指标总体完成率为100.14%，</w:t>
      </w:r>
      <w:r>
        <w:rPr>
          <w:rFonts w:hint="eastAsia" w:eastAsia="仿宋_GB2312"/>
          <w:kern w:val="2"/>
          <w:sz w:val="32"/>
          <w:szCs w:val="32"/>
          <w:highlight w:val="none"/>
          <w:lang w:eastAsia="zh-Hans"/>
        </w:rPr>
        <w:t>总体</w:t>
      </w:r>
      <w:r>
        <w:rPr>
          <w:rFonts w:hint="eastAsia" w:eastAsia="仿宋_GB2312"/>
          <w:kern w:val="2"/>
          <w:sz w:val="32"/>
          <w:szCs w:val="32"/>
          <w:highlight w:val="none"/>
        </w:rPr>
        <w:t>偏差率为0.14%，</w:t>
      </w:r>
      <w:r>
        <w:rPr>
          <w:rFonts w:hint="eastAsia" w:eastAsia="仿宋_GB2312"/>
          <w:kern w:val="2"/>
          <w:sz w:val="32"/>
          <w:szCs w:val="32"/>
          <w:highlight w:val="none"/>
          <w:lang w:eastAsia="zh-Hans"/>
        </w:rPr>
        <w:t>改进</w:t>
      </w:r>
      <w:r>
        <w:rPr>
          <w:rFonts w:hint="eastAsia" w:eastAsia="仿宋_GB2312"/>
          <w:kern w:val="2"/>
          <w:sz w:val="32"/>
          <w:szCs w:val="32"/>
          <w:highlight w:val="none"/>
        </w:rPr>
        <w:t>措施</w:t>
      </w:r>
      <w:r>
        <w:rPr>
          <w:rFonts w:hint="eastAsia" w:eastAsia="仿宋_GB2312"/>
          <w:kern w:val="2"/>
          <w:sz w:val="32"/>
          <w:szCs w:val="32"/>
          <w:highlight w:val="none"/>
          <w:lang w:eastAsia="zh-CN"/>
        </w:rPr>
        <w:t>：</w:t>
      </w:r>
      <w:r>
        <w:rPr>
          <w:rFonts w:hint="eastAsia" w:eastAsia="仿宋_GB2312"/>
          <w:kern w:val="2"/>
          <w:sz w:val="32"/>
          <w:szCs w:val="32"/>
          <w:highlight w:val="none"/>
        </w:rPr>
        <w:t>在后期制定绩效目标工作中，结合医院实际情况</w:t>
      </w:r>
      <w:r>
        <w:rPr>
          <w:rFonts w:hint="eastAsia" w:eastAsia="仿宋_GB2312"/>
          <w:kern w:val="2"/>
          <w:sz w:val="32"/>
          <w:szCs w:val="32"/>
          <w:highlight w:val="none"/>
          <w:lang w:eastAsia="zh-CN"/>
        </w:rPr>
        <w:t>加大</w:t>
      </w:r>
      <w:r>
        <w:rPr>
          <w:rFonts w:hint="eastAsia" w:eastAsia="仿宋_GB2312"/>
          <w:kern w:val="2"/>
          <w:sz w:val="32"/>
          <w:szCs w:val="32"/>
          <w:highlight w:val="none"/>
        </w:rPr>
        <w:t>相关成本调研力度，考虑数量指标增减幅度，做好成本测算工作，控制成本变动幅度在设定指标值范围内，保证绩效目标顺利完成。</w:t>
      </w:r>
    </w:p>
    <w:p w14:paraId="736D1894">
      <w:pPr>
        <w:spacing w:line="560" w:lineRule="exact"/>
        <w:ind w:firstLine="640" w:firstLineChars="200"/>
        <w:rPr>
          <w:rStyle w:val="19"/>
          <w:rFonts w:ascii="Times New Roman" w:hAnsi="Times New Roman" w:cs="Times New Roman"/>
          <w:color w:val="auto"/>
          <w:highlight w:val="none"/>
        </w:rPr>
      </w:pPr>
      <w:r>
        <w:rPr>
          <w:rFonts w:hint="eastAsia" w:eastAsia="黑体"/>
          <w:sz w:val="32"/>
          <w:szCs w:val="32"/>
          <w:highlight w:val="none"/>
        </w:rPr>
        <w:t>六</w:t>
      </w:r>
      <w:r>
        <w:rPr>
          <w:rFonts w:eastAsia="黑体"/>
          <w:sz w:val="32"/>
          <w:szCs w:val="32"/>
          <w:highlight w:val="none"/>
        </w:rPr>
        <w:t>、主要经验及做法、存在的问题及原因分析</w:t>
      </w:r>
    </w:p>
    <w:p w14:paraId="58D0BDF5">
      <w:pPr>
        <w:spacing w:line="56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14:paraId="18C772CB">
      <w:pPr>
        <w:spacing w:line="560" w:lineRule="exact"/>
        <w:ind w:firstLine="640" w:firstLineChars="200"/>
        <w:rPr>
          <w:rFonts w:eastAsia="仿宋_GB2312"/>
          <w:sz w:val="32"/>
          <w:szCs w:val="32"/>
          <w:highlight w:val="none"/>
        </w:rPr>
      </w:pPr>
      <w:r>
        <w:rPr>
          <w:rFonts w:eastAsia="仿宋_GB2312"/>
          <w:sz w:val="32"/>
          <w:szCs w:val="32"/>
          <w:highlight w:val="none"/>
        </w:rPr>
        <w:t>为确保项目顺利进行，</w:t>
      </w:r>
      <w:r>
        <w:rPr>
          <w:rFonts w:hint="eastAsia" w:eastAsia="仿宋_GB2312"/>
          <w:sz w:val="32"/>
          <w:szCs w:val="32"/>
          <w:highlight w:val="none"/>
        </w:rPr>
        <w:t>上级拨付的专项资金，严格按照批复文件有关要求、专项经费的用途和使用期限执行，为提高专项经费的使用效益，做到专款专用，由专项项目归口管理部门负责编制项目支出预算，经院党委批准，按照我院资产使用审批程序执行</w:t>
      </w:r>
      <w:r>
        <w:rPr>
          <w:rFonts w:eastAsia="仿宋_GB2312"/>
          <w:sz w:val="32"/>
          <w:szCs w:val="32"/>
          <w:highlight w:val="none"/>
        </w:rPr>
        <w:t>。</w:t>
      </w:r>
      <w:r>
        <w:rPr>
          <w:rFonts w:hint="eastAsia" w:eastAsia="仿宋_GB2312"/>
          <w:sz w:val="32"/>
          <w:szCs w:val="32"/>
          <w:highlight w:val="none"/>
        </w:rPr>
        <w:t>同时</w:t>
      </w:r>
      <w:r>
        <w:rPr>
          <w:rFonts w:eastAsia="仿宋_GB2312"/>
          <w:sz w:val="32"/>
          <w:szCs w:val="32"/>
          <w:highlight w:val="none"/>
        </w:rPr>
        <w:t>按照</w:t>
      </w:r>
      <w:r>
        <w:rPr>
          <w:rFonts w:hint="eastAsia" w:eastAsia="仿宋_GB2312"/>
          <w:sz w:val="32"/>
          <w:szCs w:val="32"/>
          <w:highlight w:val="none"/>
        </w:rPr>
        <w:t>预期绩效目标</w:t>
      </w:r>
      <w:r>
        <w:rPr>
          <w:rFonts w:eastAsia="仿宋_GB2312"/>
          <w:sz w:val="32"/>
          <w:szCs w:val="32"/>
          <w:highlight w:val="none"/>
        </w:rPr>
        <w:t>，在项目资金使用过程中严格把关，按照项目资金使用范围做好审核工作，让项目资金</w:t>
      </w:r>
      <w:r>
        <w:rPr>
          <w:rFonts w:hint="eastAsia" w:eastAsia="仿宋_GB2312"/>
          <w:sz w:val="32"/>
          <w:szCs w:val="32"/>
          <w:highlight w:val="none"/>
          <w:lang w:eastAsia="zh-CN"/>
        </w:rPr>
        <w:t>落到实处</w:t>
      </w:r>
      <w:r>
        <w:rPr>
          <w:rFonts w:eastAsia="仿宋_GB2312"/>
          <w:sz w:val="32"/>
          <w:szCs w:val="32"/>
          <w:highlight w:val="none"/>
        </w:rPr>
        <w:t>。在项目完成后，做好受益群众民意调查工作。</w:t>
      </w:r>
    </w:p>
    <w:p w14:paraId="4595CB6B">
      <w:pPr>
        <w:keepNext/>
        <w:keepLines/>
        <w:numPr>
          <w:ilvl w:val="0"/>
          <w:numId w:val="6"/>
        </w:numPr>
        <w:spacing w:line="560" w:lineRule="exact"/>
        <w:ind w:firstLine="643" w:firstLineChars="200"/>
        <w:rPr>
          <w:rFonts w:eastAsia="楷体_GB2312"/>
          <w:b/>
          <w:bCs/>
          <w:sz w:val="32"/>
          <w:szCs w:val="32"/>
          <w:highlight w:val="none"/>
        </w:rPr>
      </w:pPr>
      <w:r>
        <w:rPr>
          <w:rFonts w:eastAsia="楷体_GB2312"/>
          <w:b/>
          <w:bCs/>
          <w:sz w:val="32"/>
          <w:szCs w:val="32"/>
          <w:highlight w:val="none"/>
        </w:rPr>
        <w:t>存在的问题及原因分析</w:t>
      </w:r>
    </w:p>
    <w:p w14:paraId="2592B24A">
      <w:pPr>
        <w:pStyle w:val="2"/>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rPr>
        <w:t>本项目</w:t>
      </w:r>
      <w:r>
        <w:rPr>
          <w:rFonts w:ascii="Times New Roman" w:hAnsi="Times New Roman" w:eastAsia="仿宋_GB2312"/>
          <w:b w:val="0"/>
          <w:bCs w:val="0"/>
          <w:kern w:val="2"/>
          <w:highlight w:val="none"/>
        </w:rPr>
        <w:t>202</w:t>
      </w:r>
      <w:r>
        <w:rPr>
          <w:rFonts w:hint="eastAsia" w:ascii="Times New Roman" w:hAnsi="Times New Roman" w:eastAsia="仿宋_GB2312"/>
          <w:b w:val="0"/>
          <w:bCs w:val="0"/>
          <w:kern w:val="2"/>
          <w:highlight w:val="none"/>
        </w:rPr>
        <w:t>3年度无</w:t>
      </w:r>
      <w:r>
        <w:rPr>
          <w:rFonts w:ascii="Times New Roman" w:hAnsi="Times New Roman" w:eastAsia="仿宋_GB2312"/>
          <w:b w:val="0"/>
          <w:bCs w:val="0"/>
          <w:kern w:val="2"/>
          <w:highlight w:val="none"/>
        </w:rPr>
        <w:t>存在的问题</w:t>
      </w:r>
      <w:r>
        <w:rPr>
          <w:rFonts w:hint="eastAsia" w:ascii="Times New Roman" w:hAnsi="Times New Roman" w:eastAsia="仿宋_GB2312"/>
          <w:b w:val="0"/>
          <w:bCs w:val="0"/>
          <w:kern w:val="2"/>
          <w:highlight w:val="none"/>
        </w:rPr>
        <w:t>。</w:t>
      </w:r>
    </w:p>
    <w:p w14:paraId="6E7C0791">
      <w:pPr>
        <w:spacing w:line="560" w:lineRule="exact"/>
        <w:ind w:firstLine="640" w:firstLineChars="200"/>
        <w:rPr>
          <w:rFonts w:eastAsia="黑体"/>
          <w:sz w:val="32"/>
          <w:szCs w:val="32"/>
          <w:highlight w:val="none"/>
        </w:rPr>
      </w:pPr>
      <w:r>
        <w:rPr>
          <w:rFonts w:hint="eastAsia" w:eastAsia="黑体"/>
          <w:sz w:val="32"/>
          <w:szCs w:val="32"/>
          <w:highlight w:val="none"/>
        </w:rPr>
        <w:t>七、</w:t>
      </w:r>
      <w:r>
        <w:rPr>
          <w:rFonts w:eastAsia="黑体"/>
          <w:sz w:val="32"/>
          <w:szCs w:val="32"/>
          <w:highlight w:val="none"/>
        </w:rPr>
        <w:t>有关建议</w:t>
      </w:r>
    </w:p>
    <w:p w14:paraId="5E86C624">
      <w:pPr>
        <w:spacing w:line="560" w:lineRule="exact"/>
        <w:ind w:firstLine="640" w:firstLineChars="200"/>
        <w:rPr>
          <w:rFonts w:eastAsia="仿宋_GB2312"/>
          <w:highlight w:val="none"/>
        </w:rPr>
      </w:pPr>
      <w:r>
        <w:rPr>
          <w:rFonts w:hint="eastAsia" w:ascii="仿宋_GB2312" w:hAnsi="仿宋_GB2312" w:eastAsia="仿宋_GB2312" w:cs="仿宋_GB2312"/>
          <w:sz w:val="32"/>
          <w:szCs w:val="28"/>
          <w:highlight w:val="none"/>
        </w:rPr>
        <w:t>进一步加强绩效目标前期调研工作，提高对预算绩效管理工作重要性的认识，总结经验查找问题，研究制定更全面更完善的绩效管理办法，加大全局对全面实施预算绩效管理和绩效管理工作的学习力度。</w:t>
      </w:r>
    </w:p>
    <w:p w14:paraId="61949CE5">
      <w:pPr>
        <w:spacing w:line="560" w:lineRule="exact"/>
        <w:ind w:firstLine="640" w:firstLineChars="200"/>
        <w:rPr>
          <w:rFonts w:eastAsia="黑体"/>
          <w:sz w:val="32"/>
          <w:szCs w:val="32"/>
          <w:highlight w:val="none"/>
        </w:rPr>
      </w:pPr>
      <w:r>
        <w:rPr>
          <w:rFonts w:hint="eastAsia" w:eastAsia="黑体"/>
          <w:sz w:val="32"/>
          <w:szCs w:val="32"/>
          <w:highlight w:val="none"/>
        </w:rPr>
        <w:t>八、</w:t>
      </w:r>
      <w:r>
        <w:rPr>
          <w:rFonts w:eastAsia="黑体"/>
          <w:sz w:val="32"/>
          <w:szCs w:val="32"/>
          <w:highlight w:val="none"/>
        </w:rPr>
        <w:t>其他需要说</w:t>
      </w:r>
      <w:bookmarkStart w:id="3" w:name="page8"/>
      <w:bookmarkEnd w:id="3"/>
      <w:r>
        <w:rPr>
          <w:rFonts w:eastAsia="黑体"/>
          <w:sz w:val="32"/>
          <w:szCs w:val="32"/>
          <w:highlight w:val="none"/>
        </w:rPr>
        <w:t>明的问题</w:t>
      </w:r>
    </w:p>
    <w:p w14:paraId="1959B698">
      <w:pPr>
        <w:pStyle w:val="13"/>
        <w:spacing w:after="0" w:line="560" w:lineRule="exact"/>
        <w:ind w:left="0" w:leftChars="0" w:firstLine="64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本项目无其他需说明的问题。</w:t>
      </w:r>
    </w:p>
    <w:p w14:paraId="32E8E07F">
      <w:pPr>
        <w:pStyle w:val="2"/>
        <w:jc w:val="both"/>
        <w:rPr>
          <w:rFonts w:ascii="Times New Roman" w:hAnsi="Times New Roman"/>
          <w:highlight w:val="none"/>
        </w:rPr>
        <w:sectPr>
          <w:footerReference r:id="rId3" w:type="default"/>
          <w:pgSz w:w="11906" w:h="16838"/>
          <w:pgMar w:top="1440" w:right="1558" w:bottom="1440" w:left="1800" w:header="851" w:footer="992" w:gutter="0"/>
          <w:cols w:space="425" w:num="1"/>
          <w:docGrid w:type="lines" w:linePitch="312" w:charSpace="0"/>
        </w:sectPr>
      </w:pPr>
    </w:p>
    <w:tbl>
      <w:tblPr>
        <w:tblStyle w:val="14"/>
        <w:tblW w:w="5000" w:type="pct"/>
        <w:tblInd w:w="0" w:type="dxa"/>
        <w:tblLayout w:type="autofit"/>
        <w:tblCellMar>
          <w:top w:w="0" w:type="dxa"/>
          <w:left w:w="0" w:type="dxa"/>
          <w:bottom w:w="0" w:type="dxa"/>
          <w:right w:w="0" w:type="dxa"/>
        </w:tblCellMar>
      </w:tblPr>
      <w:tblGrid>
        <w:gridCol w:w="581"/>
        <w:gridCol w:w="582"/>
        <w:gridCol w:w="582"/>
        <w:gridCol w:w="1055"/>
        <w:gridCol w:w="663"/>
        <w:gridCol w:w="1083"/>
        <w:gridCol w:w="856"/>
        <w:gridCol w:w="613"/>
        <w:gridCol w:w="691"/>
        <w:gridCol w:w="1928"/>
        <w:gridCol w:w="929"/>
        <w:gridCol w:w="1116"/>
        <w:gridCol w:w="993"/>
        <w:gridCol w:w="2316"/>
      </w:tblGrid>
      <w:tr w14:paraId="5D1EC3D8">
        <w:tblPrEx>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67D9D1D1">
            <w:pPr>
              <w:widowControl/>
              <w:jc w:val="center"/>
              <w:textAlignment w:val="center"/>
              <w:rPr>
                <w:rFonts w:ascii="宋体" w:hAnsi="宋体" w:cs="宋体"/>
                <w:b/>
                <w:color w:val="000000"/>
                <w:sz w:val="32"/>
                <w:szCs w:val="32"/>
                <w:highlight w:val="none"/>
              </w:rPr>
            </w:pPr>
            <w:r>
              <w:rPr>
                <w:rFonts w:hint="eastAsia" w:ascii="宋体" w:hAnsi="宋体" w:cs="宋体"/>
                <w:b/>
                <w:color w:val="000000"/>
                <w:kern w:val="0"/>
                <w:sz w:val="32"/>
                <w:szCs w:val="32"/>
                <w:highlight w:val="none"/>
                <w:lang w:bidi="ar"/>
              </w:rPr>
              <w:t>项目支出绩效自评表</w:t>
            </w:r>
          </w:p>
        </w:tc>
      </w:tr>
      <w:tr w14:paraId="523A3351">
        <w:tblPrEx>
          <w:tblCellMar>
            <w:top w:w="0" w:type="dxa"/>
            <w:left w:w="0" w:type="dxa"/>
            <w:bottom w:w="0" w:type="dxa"/>
            <w:right w:w="0"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6B351">
            <w:pPr>
              <w:widowControl/>
              <w:jc w:val="center"/>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lang w:eastAsia="zh-CN" w:bidi="ar"/>
              </w:rPr>
              <w:t>（</w:t>
            </w:r>
            <w:r>
              <w:rPr>
                <w:rFonts w:hint="eastAsia" w:ascii="宋体" w:hAnsi="宋体" w:cs="宋体"/>
                <w:color w:val="000000"/>
                <w:kern w:val="0"/>
                <w:sz w:val="22"/>
                <w:szCs w:val="22"/>
                <w:highlight w:val="none"/>
                <w:lang w:bidi="ar"/>
              </w:rPr>
              <w:t>2023年度</w:t>
            </w:r>
            <w:r>
              <w:rPr>
                <w:rFonts w:hint="eastAsia" w:ascii="宋体" w:hAnsi="宋体" w:cs="宋体"/>
                <w:color w:val="000000"/>
                <w:kern w:val="0"/>
                <w:sz w:val="22"/>
                <w:szCs w:val="22"/>
                <w:highlight w:val="none"/>
                <w:lang w:eastAsia="zh-CN" w:bidi="ar"/>
              </w:rPr>
              <w:t>）</w:t>
            </w:r>
          </w:p>
        </w:tc>
      </w:tr>
      <w:tr w14:paraId="19511CEB">
        <w:tblPrEx>
          <w:tblCellMar>
            <w:top w:w="0" w:type="dxa"/>
            <w:left w:w="0" w:type="dxa"/>
            <w:bottom w:w="0" w:type="dxa"/>
            <w:right w:w="0"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9F703">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34178">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自治区2023年第一批疫情防控补助资金（自治区本级医疗机构重症床位设备配置经费）</w:t>
            </w:r>
          </w:p>
        </w:tc>
      </w:tr>
      <w:tr w14:paraId="4224D45A">
        <w:tblPrEx>
          <w:tblCellMar>
            <w:top w:w="0" w:type="dxa"/>
            <w:left w:w="0" w:type="dxa"/>
            <w:bottom w:w="0" w:type="dxa"/>
            <w:right w:w="0"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E85BF">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主管部门</w:t>
            </w:r>
          </w:p>
        </w:tc>
        <w:tc>
          <w:tcPr>
            <w:tcW w:w="151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3500F">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新疆医科大学第七附属医院</w:t>
            </w:r>
          </w:p>
        </w:tc>
        <w:tc>
          <w:tcPr>
            <w:tcW w:w="4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03B4D">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实施单位</w:t>
            </w:r>
          </w:p>
        </w:tc>
        <w:tc>
          <w:tcPr>
            <w:tcW w:w="2602"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C8329">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新疆医科大学第七附属医院</w:t>
            </w:r>
          </w:p>
        </w:tc>
      </w:tr>
      <w:tr w14:paraId="5FC56549">
        <w:tblPrEx>
          <w:tblCellMar>
            <w:top w:w="0" w:type="dxa"/>
            <w:left w:w="0" w:type="dxa"/>
            <w:bottom w:w="0" w:type="dxa"/>
            <w:right w:w="0" w:type="dxa"/>
          </w:tblCellMar>
        </w:tblPrEx>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4B342">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项目资金</w:t>
            </w:r>
            <w:r>
              <w:rPr>
                <w:rFonts w:hint="eastAsia" w:ascii="宋体" w:hAnsi="宋体" w:cs="宋体"/>
                <w:b/>
                <w:color w:val="000000"/>
                <w:kern w:val="0"/>
                <w:sz w:val="18"/>
                <w:szCs w:val="18"/>
                <w:highlight w:val="none"/>
                <w:lang w:bidi="ar"/>
              </w:rPr>
              <w:br w:type="textWrapping"/>
            </w:r>
            <w:r>
              <w:rPr>
                <w:rFonts w:hint="eastAsia" w:ascii="宋体" w:hAnsi="宋体" w:cs="宋体"/>
                <w:b/>
                <w:color w:val="000000"/>
                <w:kern w:val="0"/>
                <w:sz w:val="18"/>
                <w:szCs w:val="18"/>
                <w:highlight w:val="none"/>
                <w:lang w:bidi="ar"/>
              </w:rPr>
              <w:t>（万元）</w:t>
            </w:r>
          </w:p>
        </w:tc>
        <w:tc>
          <w:tcPr>
            <w:tcW w:w="58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BE2EC">
            <w:pPr>
              <w:jc w:val="center"/>
              <w:rPr>
                <w:rFonts w:ascii="宋体" w:hAnsi="宋体" w:cs="宋体"/>
                <w:b/>
                <w:color w:val="000000"/>
                <w:sz w:val="18"/>
                <w:szCs w:val="18"/>
                <w:highlight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45704">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年初预算数</w:t>
            </w:r>
          </w:p>
        </w:tc>
        <w:tc>
          <w:tcPr>
            <w:tcW w:w="69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B5264">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全年预算数</w:t>
            </w:r>
          </w:p>
        </w:tc>
        <w:tc>
          <w:tcPr>
            <w:tcW w:w="4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E0E2A">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全年执行数</w:t>
            </w:r>
          </w:p>
        </w:tc>
        <w:tc>
          <w:tcPr>
            <w:tcW w:w="10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E7F02">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F9F82">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77C8D">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得分</w:t>
            </w:r>
          </w:p>
        </w:tc>
      </w:tr>
      <w:tr w14:paraId="29FC26D5">
        <w:tblPrEx>
          <w:tblCellMar>
            <w:top w:w="0" w:type="dxa"/>
            <w:left w:w="0" w:type="dxa"/>
            <w:bottom w:w="0" w:type="dxa"/>
            <w:right w:w="0"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0DEEA">
            <w:pPr>
              <w:jc w:val="center"/>
              <w:rPr>
                <w:rFonts w:ascii="宋体" w:hAnsi="宋体" w:cs="宋体"/>
                <w:b/>
                <w:color w:val="000000"/>
                <w:sz w:val="18"/>
                <w:szCs w:val="18"/>
                <w:highlight w:val="none"/>
              </w:rPr>
            </w:pPr>
          </w:p>
        </w:tc>
        <w:tc>
          <w:tcPr>
            <w:tcW w:w="58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39BCF">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年度资金总额</w:t>
            </w: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25998">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1920.00</w:t>
            </w:r>
          </w:p>
        </w:tc>
        <w:tc>
          <w:tcPr>
            <w:tcW w:w="69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C1556">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1920</w:t>
            </w:r>
          </w:p>
        </w:tc>
        <w:tc>
          <w:tcPr>
            <w:tcW w:w="4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E6E50">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1920.00</w:t>
            </w:r>
          </w:p>
        </w:tc>
        <w:tc>
          <w:tcPr>
            <w:tcW w:w="10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EA245">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6577C">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100.00%</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54586">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10.00分</w:t>
            </w:r>
          </w:p>
        </w:tc>
      </w:tr>
      <w:tr w14:paraId="254B15C7">
        <w:tblPrEx>
          <w:tblCellMar>
            <w:top w:w="0" w:type="dxa"/>
            <w:left w:w="0" w:type="dxa"/>
            <w:bottom w:w="0" w:type="dxa"/>
            <w:right w:w="0"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1F37B">
            <w:pPr>
              <w:jc w:val="center"/>
              <w:rPr>
                <w:rFonts w:ascii="宋体" w:hAnsi="宋体" w:cs="宋体"/>
                <w:b/>
                <w:color w:val="000000"/>
                <w:sz w:val="18"/>
                <w:szCs w:val="18"/>
                <w:highlight w:val="none"/>
              </w:rPr>
            </w:pPr>
          </w:p>
        </w:tc>
        <w:tc>
          <w:tcPr>
            <w:tcW w:w="58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18C13">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其中：当年财政拨款</w:t>
            </w: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2B1A7">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1920.00</w:t>
            </w:r>
          </w:p>
        </w:tc>
        <w:tc>
          <w:tcPr>
            <w:tcW w:w="69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CC1B5">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1920.00</w:t>
            </w:r>
          </w:p>
        </w:tc>
        <w:tc>
          <w:tcPr>
            <w:tcW w:w="4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19C7B">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1920</w:t>
            </w:r>
          </w:p>
        </w:tc>
        <w:tc>
          <w:tcPr>
            <w:tcW w:w="10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C9B7F">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BD9E0">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E33E8">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r>
      <w:tr w14:paraId="0333FAF7">
        <w:tblPrEx>
          <w:tblCellMar>
            <w:top w:w="0" w:type="dxa"/>
            <w:left w:w="0" w:type="dxa"/>
            <w:bottom w:w="0" w:type="dxa"/>
            <w:right w:w="0"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F02A0">
            <w:pPr>
              <w:jc w:val="center"/>
              <w:rPr>
                <w:rFonts w:ascii="宋体" w:hAnsi="宋体" w:cs="宋体"/>
                <w:b/>
                <w:color w:val="000000"/>
                <w:sz w:val="18"/>
                <w:szCs w:val="18"/>
                <w:highlight w:val="none"/>
              </w:rPr>
            </w:pPr>
          </w:p>
        </w:tc>
        <w:tc>
          <w:tcPr>
            <w:tcW w:w="58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392FE">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 xml:space="preserve">  其他资金</w:t>
            </w: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00664">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0.00</w:t>
            </w:r>
          </w:p>
        </w:tc>
        <w:tc>
          <w:tcPr>
            <w:tcW w:w="69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CC79B">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0.00</w:t>
            </w:r>
          </w:p>
        </w:tc>
        <w:tc>
          <w:tcPr>
            <w:tcW w:w="4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2364B">
            <w:pPr>
              <w:jc w:val="center"/>
              <w:rPr>
                <w:rFonts w:ascii="宋体" w:hAnsi="宋体" w:cs="宋体"/>
                <w:color w:val="000000"/>
                <w:sz w:val="18"/>
                <w:szCs w:val="18"/>
                <w:highlight w:val="none"/>
              </w:rPr>
            </w:pPr>
          </w:p>
        </w:tc>
        <w:tc>
          <w:tcPr>
            <w:tcW w:w="10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090A0">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F82A5">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45E85">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r>
      <w:tr w14:paraId="02BDAB40">
        <w:tblPrEx>
          <w:tblCellMar>
            <w:top w:w="0" w:type="dxa"/>
            <w:left w:w="0" w:type="dxa"/>
            <w:bottom w:w="0" w:type="dxa"/>
            <w:right w:w="0"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53B71">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年度总体目标</w:t>
            </w:r>
          </w:p>
        </w:tc>
        <w:tc>
          <w:tcPr>
            <w:tcW w:w="1723"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89FF8">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预期目标</w:t>
            </w:r>
          </w:p>
        </w:tc>
        <w:tc>
          <w:tcPr>
            <w:tcW w:w="3068"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BA0E8">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实际完成情况</w:t>
            </w:r>
          </w:p>
        </w:tc>
      </w:tr>
      <w:tr w14:paraId="359CDF8E">
        <w:tblPrEx>
          <w:tblCellMar>
            <w:top w:w="0" w:type="dxa"/>
            <w:left w:w="0" w:type="dxa"/>
            <w:bottom w:w="0" w:type="dxa"/>
            <w:right w:w="0" w:type="dxa"/>
          </w:tblCellMar>
        </w:tblPrEx>
        <w:trPr>
          <w:trHeight w:val="70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EBD59">
            <w:pPr>
              <w:jc w:val="center"/>
              <w:rPr>
                <w:rFonts w:ascii="宋体" w:hAnsi="宋体" w:cs="宋体"/>
                <w:b/>
                <w:color w:val="000000"/>
                <w:sz w:val="18"/>
                <w:szCs w:val="18"/>
                <w:highlight w:val="none"/>
              </w:rPr>
            </w:pPr>
          </w:p>
        </w:tc>
        <w:tc>
          <w:tcPr>
            <w:tcW w:w="1723"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74341">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按照国务院联防联控机制《关于印发做好医疗资源准备工作方案的通知》（联防联控机制综发</w:t>
            </w:r>
            <w:r>
              <w:rPr>
                <w:rFonts w:hint="eastAsia" w:ascii="宋体" w:hAnsi="宋体" w:cs="宋体"/>
                <w:color w:val="000000"/>
                <w:kern w:val="0"/>
                <w:sz w:val="18"/>
                <w:szCs w:val="18"/>
                <w:highlight w:val="none"/>
                <w:lang w:eastAsia="zh-CN" w:bidi="ar"/>
              </w:rPr>
              <w:t>〔</w:t>
            </w:r>
            <w:r>
              <w:rPr>
                <w:rFonts w:hint="eastAsia" w:ascii="宋体" w:hAnsi="宋体" w:cs="宋体"/>
                <w:color w:val="000000"/>
                <w:kern w:val="0"/>
                <w:sz w:val="18"/>
                <w:szCs w:val="18"/>
                <w:highlight w:val="none"/>
                <w:lang w:bidi="ar"/>
              </w:rPr>
              <w:t>2022</w:t>
            </w:r>
            <w:r>
              <w:rPr>
                <w:rFonts w:hint="eastAsia" w:ascii="宋体" w:hAnsi="宋体" w:cs="宋体"/>
                <w:color w:val="000000"/>
                <w:kern w:val="0"/>
                <w:sz w:val="18"/>
                <w:szCs w:val="18"/>
                <w:highlight w:val="none"/>
                <w:lang w:eastAsia="zh-CN" w:bidi="ar"/>
              </w:rPr>
              <w:t>〕</w:t>
            </w:r>
            <w:r>
              <w:rPr>
                <w:rFonts w:hint="eastAsia" w:ascii="宋体" w:hAnsi="宋体" w:cs="宋体"/>
                <w:color w:val="000000"/>
                <w:kern w:val="0"/>
                <w:sz w:val="18"/>
                <w:szCs w:val="18"/>
                <w:highlight w:val="none"/>
                <w:lang w:bidi="ar"/>
              </w:rPr>
              <w:t>112号）要求和新冠病毒感染疫情乙类乙管工作要求，有效提升医疗机构重症救治资源储备，扩充ICU床位数和可转化ICU床位数，补齐设备缺口，有效开展疫情期间重症病例救治工作。</w:t>
            </w:r>
          </w:p>
        </w:tc>
        <w:tc>
          <w:tcPr>
            <w:tcW w:w="3068"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51BA6">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我院在收到拨付的专项资金后，及时开展重症救治设备和床位改造工作，全力提升我院重症救治能力和医疗服务水平，补齐短板。我院医教综合楼在2023年9月投入使用后，病人量逐渐增加，设备使用频次随之增长，大大提高国有资产使用效益。</w:t>
            </w:r>
          </w:p>
        </w:tc>
      </w:tr>
      <w:tr w14:paraId="3F689423">
        <w:tblPrEx>
          <w:tblCellMar>
            <w:top w:w="0" w:type="dxa"/>
            <w:left w:w="0" w:type="dxa"/>
            <w:bottom w:w="0" w:type="dxa"/>
            <w:right w:w="0" w:type="dxa"/>
          </w:tblCellMar>
        </w:tblPrEx>
        <w:trPr>
          <w:trHeight w:val="312"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2054C">
            <w:pPr>
              <w:jc w:val="center"/>
              <w:rPr>
                <w:rFonts w:ascii="宋体" w:hAnsi="宋体" w:cs="宋体"/>
                <w:color w:val="000000"/>
                <w:sz w:val="18"/>
                <w:szCs w:val="18"/>
                <w:highlight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B016B">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82852">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二级指标</w:t>
            </w:r>
          </w:p>
        </w:tc>
        <w:tc>
          <w:tcPr>
            <w:tcW w:w="37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1F9CC">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三级指标</w:t>
            </w:r>
          </w:p>
        </w:tc>
        <w:tc>
          <w:tcPr>
            <w:tcW w:w="23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FDBA8">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权重</w:t>
            </w:r>
          </w:p>
        </w:tc>
        <w:tc>
          <w:tcPr>
            <w:tcW w:w="38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B4103">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目标值</w:t>
            </w:r>
          </w:p>
        </w:tc>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A46B0">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业绩值</w:t>
            </w:r>
          </w:p>
        </w:tc>
        <w:tc>
          <w:tcPr>
            <w:tcW w:w="21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C9A90">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完成率</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942C0">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指标得分</w:t>
            </w:r>
          </w:p>
        </w:tc>
        <w:tc>
          <w:tcPr>
            <w:tcW w:w="68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FD69D">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77BBC">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D8117">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A7505">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6BDB4">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偏差原因分析及改进措施</w:t>
            </w:r>
          </w:p>
        </w:tc>
      </w:tr>
      <w:tr w14:paraId="219BABB6">
        <w:tblPrEx>
          <w:tblCellMar>
            <w:top w:w="0" w:type="dxa"/>
            <w:left w:w="0" w:type="dxa"/>
            <w:bottom w:w="0" w:type="dxa"/>
            <w:right w:w="0" w:type="dxa"/>
          </w:tblCellMar>
        </w:tblPrEx>
        <w:trPr>
          <w:trHeight w:val="31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2F576">
            <w:pPr>
              <w:jc w:val="center"/>
              <w:rPr>
                <w:rFonts w:ascii="宋体" w:hAnsi="宋体" w:cs="宋体"/>
                <w:color w:val="000000"/>
                <w:sz w:val="18"/>
                <w:szCs w:val="18"/>
                <w:highlight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1E4B7">
            <w:pPr>
              <w:jc w:val="center"/>
              <w:rPr>
                <w:rFonts w:ascii="宋体" w:hAnsi="宋体" w:cs="宋体"/>
                <w:b/>
                <w:color w:val="000000"/>
                <w:sz w:val="18"/>
                <w:szCs w:val="18"/>
                <w:highlight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45233">
            <w:pPr>
              <w:jc w:val="center"/>
              <w:rPr>
                <w:rFonts w:ascii="宋体" w:hAnsi="宋体" w:cs="宋体"/>
                <w:b/>
                <w:color w:val="000000"/>
                <w:sz w:val="18"/>
                <w:szCs w:val="18"/>
                <w:highlight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7E6E8">
            <w:pPr>
              <w:jc w:val="center"/>
              <w:rPr>
                <w:rFonts w:ascii="宋体" w:hAnsi="宋体" w:cs="宋体"/>
                <w:b/>
                <w:color w:val="000000"/>
                <w:sz w:val="18"/>
                <w:szCs w:val="18"/>
                <w:highlight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D8D41">
            <w:pPr>
              <w:jc w:val="center"/>
              <w:rPr>
                <w:rFonts w:ascii="宋体" w:hAnsi="宋体" w:cs="宋体"/>
                <w:b/>
                <w:color w:val="000000"/>
                <w:sz w:val="18"/>
                <w:szCs w:val="18"/>
                <w:highlight w:val="none"/>
              </w:rPr>
            </w:pPr>
          </w:p>
        </w:tc>
        <w:tc>
          <w:tcPr>
            <w:tcW w:w="3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25BBC">
            <w:pPr>
              <w:jc w:val="center"/>
              <w:rPr>
                <w:rFonts w:ascii="宋体" w:hAnsi="宋体" w:cs="宋体"/>
                <w:b/>
                <w:color w:val="000000"/>
                <w:sz w:val="18"/>
                <w:szCs w:val="18"/>
                <w:highlight w:val="none"/>
              </w:rPr>
            </w:pPr>
          </w:p>
        </w:tc>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2DB6E">
            <w:pPr>
              <w:jc w:val="center"/>
              <w:rPr>
                <w:rFonts w:ascii="宋体" w:hAnsi="宋体" w:cs="宋体"/>
                <w:b/>
                <w:color w:val="000000"/>
                <w:sz w:val="18"/>
                <w:szCs w:val="18"/>
                <w:highlight w:val="none"/>
              </w:rPr>
            </w:pPr>
          </w:p>
        </w:tc>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F1F56">
            <w:pPr>
              <w:jc w:val="center"/>
              <w:rPr>
                <w:rFonts w:ascii="宋体" w:hAnsi="宋体" w:cs="宋体"/>
                <w:b/>
                <w:color w:val="000000"/>
                <w:sz w:val="18"/>
                <w:szCs w:val="18"/>
                <w:highlight w:val="none"/>
              </w:rPr>
            </w:pP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69E9C">
            <w:pPr>
              <w:jc w:val="center"/>
              <w:rPr>
                <w:rFonts w:ascii="宋体" w:hAnsi="宋体" w:cs="宋体"/>
                <w:b/>
                <w:color w:val="000000"/>
                <w:sz w:val="18"/>
                <w:szCs w:val="18"/>
                <w:highlight w:val="none"/>
              </w:rPr>
            </w:pPr>
          </w:p>
        </w:tc>
        <w:tc>
          <w:tcPr>
            <w:tcW w:w="6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EF182">
            <w:pPr>
              <w:jc w:val="center"/>
              <w:rPr>
                <w:rFonts w:ascii="宋体" w:hAnsi="宋体" w:cs="宋体"/>
                <w:b/>
                <w:color w:val="000000"/>
                <w:sz w:val="18"/>
                <w:szCs w:val="18"/>
                <w:highlight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38A1B">
            <w:pPr>
              <w:jc w:val="center"/>
              <w:rPr>
                <w:rFonts w:ascii="宋体" w:hAnsi="宋体" w:cs="宋体"/>
                <w:b/>
                <w:color w:val="000000"/>
                <w:sz w:val="18"/>
                <w:szCs w:val="18"/>
                <w:highlight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224B0">
            <w:pPr>
              <w:jc w:val="center"/>
              <w:rPr>
                <w:rFonts w:ascii="宋体" w:hAnsi="宋体" w:cs="宋体"/>
                <w:b/>
                <w:color w:val="000000"/>
                <w:sz w:val="18"/>
                <w:szCs w:val="18"/>
                <w:highlight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D8D57">
            <w:pPr>
              <w:jc w:val="center"/>
              <w:rPr>
                <w:rFonts w:ascii="宋体" w:hAnsi="宋体" w:cs="宋体"/>
                <w:b/>
                <w:color w:val="000000"/>
                <w:sz w:val="18"/>
                <w:szCs w:val="18"/>
                <w:highlight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A9CCC">
            <w:pPr>
              <w:jc w:val="center"/>
              <w:rPr>
                <w:rFonts w:ascii="宋体" w:hAnsi="宋体" w:cs="宋体"/>
                <w:b/>
                <w:color w:val="000000"/>
                <w:sz w:val="18"/>
                <w:szCs w:val="18"/>
                <w:highlight w:val="none"/>
              </w:rPr>
            </w:pPr>
          </w:p>
        </w:tc>
      </w:tr>
      <w:tr w14:paraId="744CF50F">
        <w:tblPrEx>
          <w:tblCellMar>
            <w:top w:w="0" w:type="dxa"/>
            <w:left w:w="0" w:type="dxa"/>
            <w:bottom w:w="0" w:type="dxa"/>
            <w:right w:w="0"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EF601">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581EC">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D56F7">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D623E">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配备ICU床位数量及配套设备数量</w:t>
            </w: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7BCCA">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25</w:t>
            </w:r>
          </w:p>
        </w:tc>
        <w:tc>
          <w:tcPr>
            <w:tcW w:w="3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DF907">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&gt;=31床（套）</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D6271">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=31床（套）</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03312">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2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DCFA9">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25</w:t>
            </w:r>
          </w:p>
        </w:tc>
        <w:tc>
          <w:tcPr>
            <w:tcW w:w="6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43BB2">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FD32E">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AB23D">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7CA9D">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37A33">
            <w:pPr>
              <w:jc w:val="center"/>
              <w:rPr>
                <w:rFonts w:ascii="宋体" w:hAnsi="宋体" w:cs="宋体"/>
                <w:color w:val="000000"/>
                <w:sz w:val="18"/>
                <w:szCs w:val="18"/>
                <w:highlight w:val="none"/>
              </w:rPr>
            </w:pPr>
          </w:p>
        </w:tc>
      </w:tr>
      <w:tr w14:paraId="3C20C49D">
        <w:tblPrEx>
          <w:tblCellMar>
            <w:top w:w="0" w:type="dxa"/>
            <w:left w:w="0" w:type="dxa"/>
            <w:bottom w:w="0" w:type="dxa"/>
            <w:right w:w="0"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C447E">
            <w:pPr>
              <w:jc w:val="center"/>
              <w:rPr>
                <w:rFonts w:ascii="宋体" w:hAnsi="宋体" w:cs="宋体"/>
                <w:b/>
                <w:color w:val="000000"/>
                <w:sz w:val="18"/>
                <w:szCs w:val="18"/>
                <w:highlight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5E0A5">
            <w:pPr>
              <w:jc w:val="center"/>
              <w:rPr>
                <w:rFonts w:ascii="宋体" w:hAnsi="宋体" w:cs="宋体"/>
                <w:color w:val="000000"/>
                <w:sz w:val="18"/>
                <w:szCs w:val="18"/>
                <w:highlight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1A095">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362F0">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设备质量合格率</w:t>
            </w: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21E73">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3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61708">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&gt;95百分比</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AE54F">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=100百分比</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32113">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2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5904C">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6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8C291">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5549C">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43CB0">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098EA">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C0B35">
            <w:pPr>
              <w:jc w:val="center"/>
              <w:rPr>
                <w:rFonts w:ascii="宋体" w:hAnsi="宋体" w:cs="宋体"/>
                <w:color w:val="000000"/>
                <w:sz w:val="18"/>
                <w:szCs w:val="18"/>
                <w:highlight w:val="none"/>
              </w:rPr>
            </w:pPr>
          </w:p>
        </w:tc>
      </w:tr>
      <w:tr w14:paraId="5F8F725B">
        <w:tblPrEx>
          <w:tblCellMar>
            <w:top w:w="0" w:type="dxa"/>
            <w:left w:w="0" w:type="dxa"/>
            <w:bottom w:w="0" w:type="dxa"/>
            <w:right w:w="0"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B82D4">
            <w:pPr>
              <w:jc w:val="center"/>
              <w:rPr>
                <w:rFonts w:ascii="宋体" w:hAnsi="宋体" w:cs="宋体"/>
                <w:b/>
                <w:color w:val="000000"/>
                <w:sz w:val="18"/>
                <w:szCs w:val="18"/>
                <w:highlight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73A7D">
            <w:pPr>
              <w:jc w:val="center"/>
              <w:rPr>
                <w:rFonts w:ascii="宋体" w:hAnsi="宋体" w:cs="宋体"/>
                <w:color w:val="000000"/>
                <w:sz w:val="18"/>
                <w:szCs w:val="18"/>
                <w:highlight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62E40">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D1C09">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设备验收合格率</w:t>
            </w: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5FE30">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3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0ADFE">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&gt;95百分比</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C5528">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=100百分比</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E3F01">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2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A7AC1">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6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C4688">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88061">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9D439">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4D33A">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E5FEA">
            <w:pPr>
              <w:jc w:val="center"/>
              <w:rPr>
                <w:rFonts w:ascii="宋体" w:hAnsi="宋体" w:cs="宋体"/>
                <w:color w:val="000000"/>
                <w:sz w:val="18"/>
                <w:szCs w:val="18"/>
                <w:highlight w:val="none"/>
              </w:rPr>
            </w:pPr>
          </w:p>
        </w:tc>
      </w:tr>
      <w:tr w14:paraId="4E480E20">
        <w:tblPrEx>
          <w:tblCellMar>
            <w:top w:w="0" w:type="dxa"/>
            <w:left w:w="0" w:type="dxa"/>
            <w:bottom w:w="0" w:type="dxa"/>
            <w:right w:w="0"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D4ABA">
            <w:pPr>
              <w:jc w:val="center"/>
              <w:rPr>
                <w:rFonts w:ascii="宋体" w:hAnsi="宋体" w:cs="宋体"/>
                <w:b/>
                <w:color w:val="000000"/>
                <w:sz w:val="18"/>
                <w:szCs w:val="18"/>
                <w:highlight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A7A1F">
            <w:pPr>
              <w:jc w:val="center"/>
              <w:rPr>
                <w:rFonts w:ascii="宋体" w:hAnsi="宋体" w:cs="宋体"/>
                <w:color w:val="000000"/>
                <w:sz w:val="18"/>
                <w:szCs w:val="18"/>
                <w:highlight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45848">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556E6">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床位改造完成时间</w:t>
            </w: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71F39">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3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B85CE">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2023年12月31日前</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ECDC6">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 xml:space="preserve"> 2023年12月31日</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B527A">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2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DA300">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6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EB246">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3B466">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18D95">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EABE9">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F6B0C">
            <w:pPr>
              <w:jc w:val="center"/>
              <w:rPr>
                <w:rFonts w:ascii="宋体" w:hAnsi="宋体" w:cs="宋体"/>
                <w:color w:val="000000"/>
                <w:sz w:val="18"/>
                <w:szCs w:val="18"/>
                <w:highlight w:val="none"/>
              </w:rPr>
            </w:pPr>
          </w:p>
        </w:tc>
      </w:tr>
      <w:tr w14:paraId="4582401C">
        <w:tblPrEx>
          <w:tblCellMar>
            <w:top w:w="0" w:type="dxa"/>
            <w:left w:w="0" w:type="dxa"/>
            <w:bottom w:w="0" w:type="dxa"/>
            <w:right w:w="0" w:type="dxa"/>
          </w:tblCellMar>
        </w:tblPrEx>
        <w:trPr>
          <w:trHeight w:val="96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97576">
            <w:pPr>
              <w:jc w:val="center"/>
              <w:rPr>
                <w:rFonts w:ascii="宋体" w:hAnsi="宋体" w:cs="宋体"/>
                <w:b/>
                <w:color w:val="000000"/>
                <w:sz w:val="18"/>
                <w:szCs w:val="18"/>
                <w:highlight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4A151">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3A6B6">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B8925">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设备采购成本控制数</w:t>
            </w: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9767E">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20</w:t>
            </w:r>
          </w:p>
        </w:tc>
        <w:tc>
          <w:tcPr>
            <w:tcW w:w="3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DF398">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&lt;=61万元/床</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648CC">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=61.9万元/床</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85663">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101%</w:t>
            </w:r>
          </w:p>
        </w:tc>
        <w:tc>
          <w:tcPr>
            <w:tcW w:w="2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97A21">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19.8</w:t>
            </w:r>
          </w:p>
        </w:tc>
        <w:tc>
          <w:tcPr>
            <w:tcW w:w="6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5C34D">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D2BC6">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31607">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FEDAE">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4AE10">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我院实际重症床位数31张，结合专项资金1920万元测算，每张床成本61.9万元，后期我院在ICU床位配备中持续增加床位数，设备采购成本逐步缩减。</w:t>
            </w:r>
          </w:p>
        </w:tc>
      </w:tr>
      <w:tr w14:paraId="0F902D0A">
        <w:tblPrEx>
          <w:tblCellMar>
            <w:top w:w="0" w:type="dxa"/>
            <w:left w:w="0" w:type="dxa"/>
            <w:bottom w:w="0" w:type="dxa"/>
            <w:right w:w="0"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DE402">
            <w:pPr>
              <w:jc w:val="center"/>
              <w:rPr>
                <w:rFonts w:ascii="宋体" w:hAnsi="宋体" w:cs="宋体"/>
                <w:b/>
                <w:color w:val="000000"/>
                <w:sz w:val="18"/>
                <w:szCs w:val="18"/>
                <w:highlight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2E8E2">
            <w:pPr>
              <w:jc w:val="center"/>
              <w:rPr>
                <w:rFonts w:ascii="宋体" w:hAnsi="宋体" w:cs="宋体"/>
                <w:color w:val="000000"/>
                <w:sz w:val="18"/>
                <w:szCs w:val="18"/>
                <w:highlight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D1B25">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2EB60">
            <w:pPr>
              <w:jc w:val="center"/>
              <w:rPr>
                <w:rFonts w:ascii="宋体" w:hAnsi="宋体" w:cs="宋体"/>
                <w:color w:val="000000"/>
                <w:sz w:val="18"/>
                <w:szCs w:val="18"/>
                <w:highlight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645E3">
            <w:pPr>
              <w:jc w:val="center"/>
              <w:rPr>
                <w:rFonts w:ascii="宋体" w:hAnsi="宋体" w:cs="宋体"/>
                <w:color w:val="000000"/>
                <w:sz w:val="18"/>
                <w:szCs w:val="18"/>
                <w:highlight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6BEF2">
            <w:pPr>
              <w:jc w:val="center"/>
              <w:rPr>
                <w:rFonts w:ascii="宋体" w:hAnsi="宋体" w:cs="宋体"/>
                <w:color w:val="000000"/>
                <w:sz w:val="18"/>
                <w:szCs w:val="18"/>
                <w:highlight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B7B23">
            <w:pPr>
              <w:jc w:val="center"/>
              <w:rPr>
                <w:rFonts w:ascii="宋体" w:hAnsi="宋体" w:cs="宋体"/>
                <w:color w:val="000000"/>
                <w:sz w:val="18"/>
                <w:szCs w:val="18"/>
                <w:highlight w:val="none"/>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789BE">
            <w:pPr>
              <w:jc w:val="center"/>
              <w:rPr>
                <w:rFonts w:ascii="宋体" w:hAnsi="宋体" w:cs="宋体"/>
                <w:color w:val="000000"/>
                <w:sz w:val="18"/>
                <w:szCs w:val="18"/>
                <w:highlight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DBED5">
            <w:pPr>
              <w:jc w:val="center"/>
              <w:rPr>
                <w:rFonts w:ascii="宋体" w:hAnsi="宋体" w:cs="宋体"/>
                <w:color w:val="000000"/>
                <w:sz w:val="18"/>
                <w:szCs w:val="18"/>
                <w:highlight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D6E81">
            <w:pPr>
              <w:jc w:val="center"/>
              <w:rPr>
                <w:rFonts w:ascii="宋体" w:hAnsi="宋体" w:cs="宋体"/>
                <w:color w:val="000000"/>
                <w:sz w:val="18"/>
                <w:szCs w:val="18"/>
                <w:highlight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04C11">
            <w:pPr>
              <w:jc w:val="center"/>
              <w:rPr>
                <w:rFonts w:ascii="宋体" w:hAnsi="宋体" w:cs="宋体"/>
                <w:color w:val="000000"/>
                <w:sz w:val="18"/>
                <w:szCs w:val="18"/>
                <w:highlight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F4AAA">
            <w:pPr>
              <w:jc w:val="center"/>
              <w:rPr>
                <w:rFonts w:ascii="宋体" w:hAnsi="宋体" w:cs="宋体"/>
                <w:color w:val="000000"/>
                <w:sz w:val="18"/>
                <w:szCs w:val="18"/>
                <w:highlight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AED45">
            <w:pPr>
              <w:jc w:val="center"/>
              <w:rPr>
                <w:rFonts w:ascii="宋体" w:hAnsi="宋体" w:cs="宋体"/>
                <w:color w:val="000000"/>
                <w:sz w:val="18"/>
                <w:szCs w:val="18"/>
                <w:highlight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C1073">
            <w:pPr>
              <w:jc w:val="center"/>
              <w:rPr>
                <w:rFonts w:ascii="宋体" w:hAnsi="宋体" w:cs="宋体"/>
                <w:color w:val="000000"/>
                <w:sz w:val="18"/>
                <w:szCs w:val="18"/>
                <w:highlight w:val="none"/>
              </w:rPr>
            </w:pPr>
          </w:p>
        </w:tc>
      </w:tr>
      <w:tr w14:paraId="01F8E7F0">
        <w:tblPrEx>
          <w:tblCellMar>
            <w:top w:w="0" w:type="dxa"/>
            <w:left w:w="0" w:type="dxa"/>
            <w:bottom w:w="0" w:type="dxa"/>
            <w:right w:w="0"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48AF1">
            <w:pPr>
              <w:jc w:val="center"/>
              <w:rPr>
                <w:rFonts w:ascii="宋体" w:hAnsi="宋体" w:cs="宋体"/>
                <w:b/>
                <w:color w:val="000000"/>
                <w:sz w:val="18"/>
                <w:szCs w:val="18"/>
                <w:highlight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173D5">
            <w:pPr>
              <w:jc w:val="center"/>
              <w:rPr>
                <w:rFonts w:ascii="宋体" w:hAnsi="宋体" w:cs="宋体"/>
                <w:color w:val="000000"/>
                <w:sz w:val="18"/>
                <w:szCs w:val="18"/>
                <w:highlight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4D33E">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生态环境成本指标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A42D7">
            <w:pPr>
              <w:jc w:val="center"/>
              <w:rPr>
                <w:rFonts w:ascii="宋体" w:hAnsi="宋体" w:cs="宋体"/>
                <w:color w:val="000000"/>
                <w:sz w:val="18"/>
                <w:szCs w:val="18"/>
                <w:highlight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41540">
            <w:pPr>
              <w:jc w:val="center"/>
              <w:rPr>
                <w:rFonts w:ascii="宋体" w:hAnsi="宋体" w:cs="宋体"/>
                <w:color w:val="000000"/>
                <w:sz w:val="18"/>
                <w:szCs w:val="18"/>
                <w:highlight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1748A">
            <w:pPr>
              <w:jc w:val="center"/>
              <w:rPr>
                <w:rFonts w:ascii="宋体" w:hAnsi="宋体" w:cs="宋体"/>
                <w:color w:val="000000"/>
                <w:sz w:val="18"/>
                <w:szCs w:val="18"/>
                <w:highlight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E74B8">
            <w:pPr>
              <w:jc w:val="center"/>
              <w:rPr>
                <w:rFonts w:ascii="宋体" w:hAnsi="宋体" w:cs="宋体"/>
                <w:color w:val="000000"/>
                <w:sz w:val="18"/>
                <w:szCs w:val="18"/>
                <w:highlight w:val="none"/>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AA907">
            <w:pPr>
              <w:jc w:val="center"/>
              <w:rPr>
                <w:rFonts w:ascii="宋体" w:hAnsi="宋体" w:cs="宋体"/>
                <w:color w:val="000000"/>
                <w:sz w:val="18"/>
                <w:szCs w:val="18"/>
                <w:highlight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940FB">
            <w:pPr>
              <w:jc w:val="center"/>
              <w:rPr>
                <w:rFonts w:ascii="宋体" w:hAnsi="宋体" w:cs="宋体"/>
                <w:color w:val="000000"/>
                <w:sz w:val="18"/>
                <w:szCs w:val="18"/>
                <w:highlight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E505F">
            <w:pPr>
              <w:jc w:val="center"/>
              <w:rPr>
                <w:rFonts w:ascii="宋体" w:hAnsi="宋体" w:cs="宋体"/>
                <w:color w:val="000000"/>
                <w:sz w:val="18"/>
                <w:szCs w:val="18"/>
                <w:highlight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45385">
            <w:pPr>
              <w:jc w:val="center"/>
              <w:rPr>
                <w:rFonts w:ascii="宋体" w:hAnsi="宋体" w:cs="宋体"/>
                <w:color w:val="000000"/>
                <w:sz w:val="18"/>
                <w:szCs w:val="18"/>
                <w:highlight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0B46A">
            <w:pPr>
              <w:jc w:val="center"/>
              <w:rPr>
                <w:rFonts w:ascii="宋体" w:hAnsi="宋体" w:cs="宋体"/>
                <w:color w:val="000000"/>
                <w:sz w:val="18"/>
                <w:szCs w:val="18"/>
                <w:highlight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30E43">
            <w:pPr>
              <w:jc w:val="center"/>
              <w:rPr>
                <w:rFonts w:ascii="宋体" w:hAnsi="宋体" w:cs="宋体"/>
                <w:color w:val="000000"/>
                <w:sz w:val="18"/>
                <w:szCs w:val="18"/>
                <w:highlight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D02C5">
            <w:pPr>
              <w:jc w:val="center"/>
              <w:rPr>
                <w:rFonts w:ascii="宋体" w:hAnsi="宋体" w:cs="宋体"/>
                <w:color w:val="000000"/>
                <w:sz w:val="18"/>
                <w:szCs w:val="18"/>
                <w:highlight w:val="none"/>
              </w:rPr>
            </w:pPr>
          </w:p>
        </w:tc>
      </w:tr>
      <w:tr w14:paraId="300BE387">
        <w:tblPrEx>
          <w:tblCellMar>
            <w:top w:w="0" w:type="dxa"/>
            <w:left w:w="0" w:type="dxa"/>
            <w:bottom w:w="0" w:type="dxa"/>
            <w:right w:w="0"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F0C4E">
            <w:pPr>
              <w:jc w:val="center"/>
              <w:rPr>
                <w:rFonts w:ascii="宋体" w:hAnsi="宋体" w:cs="宋体"/>
                <w:b/>
                <w:color w:val="000000"/>
                <w:sz w:val="18"/>
                <w:szCs w:val="18"/>
                <w:highlight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0932E">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AFB83">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经济效益指标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52236">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设备利用率</w:t>
            </w: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52880">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20</w:t>
            </w:r>
          </w:p>
        </w:tc>
        <w:tc>
          <w:tcPr>
            <w:tcW w:w="3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0BE7D">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&gt;70百分比</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3E2C3">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=81百分比</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6256F">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2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07DEC">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20</w:t>
            </w:r>
          </w:p>
        </w:tc>
        <w:tc>
          <w:tcPr>
            <w:tcW w:w="6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2BA6B">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D871F">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B0805">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3603B">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7B167">
            <w:pPr>
              <w:jc w:val="center"/>
              <w:rPr>
                <w:rFonts w:ascii="宋体" w:hAnsi="宋体" w:cs="宋体"/>
                <w:color w:val="000000"/>
                <w:sz w:val="18"/>
                <w:szCs w:val="18"/>
                <w:highlight w:val="none"/>
              </w:rPr>
            </w:pPr>
          </w:p>
        </w:tc>
      </w:tr>
      <w:tr w14:paraId="77501860">
        <w:tblPrEx>
          <w:tblCellMar>
            <w:top w:w="0" w:type="dxa"/>
            <w:left w:w="0" w:type="dxa"/>
            <w:bottom w:w="0" w:type="dxa"/>
            <w:right w:w="0"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F4B12">
            <w:pPr>
              <w:jc w:val="center"/>
              <w:rPr>
                <w:rFonts w:ascii="宋体" w:hAnsi="宋体" w:cs="宋体"/>
                <w:b/>
                <w:color w:val="000000"/>
                <w:sz w:val="18"/>
                <w:szCs w:val="18"/>
                <w:highlight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2747C">
            <w:pPr>
              <w:jc w:val="center"/>
              <w:rPr>
                <w:rFonts w:ascii="宋体" w:hAnsi="宋体" w:cs="宋体"/>
                <w:color w:val="000000"/>
                <w:sz w:val="18"/>
                <w:szCs w:val="18"/>
                <w:highlight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91E4A">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84895">
            <w:pPr>
              <w:jc w:val="center"/>
              <w:rPr>
                <w:rFonts w:ascii="宋体" w:hAnsi="宋体" w:cs="宋体"/>
                <w:color w:val="000000"/>
                <w:sz w:val="18"/>
                <w:szCs w:val="18"/>
                <w:highlight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7F19B">
            <w:pPr>
              <w:jc w:val="center"/>
              <w:rPr>
                <w:rFonts w:ascii="宋体" w:hAnsi="宋体" w:cs="宋体"/>
                <w:color w:val="000000"/>
                <w:sz w:val="18"/>
                <w:szCs w:val="18"/>
                <w:highlight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19AD2">
            <w:pPr>
              <w:jc w:val="center"/>
              <w:rPr>
                <w:rFonts w:ascii="宋体" w:hAnsi="宋体" w:cs="宋体"/>
                <w:color w:val="000000"/>
                <w:sz w:val="18"/>
                <w:szCs w:val="18"/>
                <w:highlight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56A9B">
            <w:pPr>
              <w:jc w:val="center"/>
              <w:rPr>
                <w:rFonts w:ascii="宋体" w:hAnsi="宋体" w:cs="宋体"/>
                <w:color w:val="000000"/>
                <w:sz w:val="18"/>
                <w:szCs w:val="18"/>
                <w:highlight w:val="none"/>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F0110">
            <w:pPr>
              <w:jc w:val="center"/>
              <w:rPr>
                <w:rFonts w:ascii="宋体" w:hAnsi="宋体" w:cs="宋体"/>
                <w:color w:val="000000"/>
                <w:sz w:val="18"/>
                <w:szCs w:val="18"/>
                <w:highlight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0DDED">
            <w:pPr>
              <w:jc w:val="center"/>
              <w:rPr>
                <w:rFonts w:ascii="宋体" w:hAnsi="宋体" w:cs="宋体"/>
                <w:color w:val="000000"/>
                <w:sz w:val="18"/>
                <w:szCs w:val="18"/>
                <w:highlight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F0E88">
            <w:pPr>
              <w:jc w:val="center"/>
              <w:rPr>
                <w:rFonts w:ascii="宋体" w:hAnsi="宋体" w:cs="宋体"/>
                <w:color w:val="000000"/>
                <w:sz w:val="18"/>
                <w:szCs w:val="18"/>
                <w:highlight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6AF86">
            <w:pPr>
              <w:jc w:val="center"/>
              <w:rPr>
                <w:rFonts w:ascii="宋体" w:hAnsi="宋体" w:cs="宋体"/>
                <w:color w:val="000000"/>
                <w:sz w:val="18"/>
                <w:szCs w:val="18"/>
                <w:highlight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EC24E">
            <w:pPr>
              <w:jc w:val="center"/>
              <w:rPr>
                <w:rFonts w:ascii="宋体" w:hAnsi="宋体" w:cs="宋体"/>
                <w:color w:val="000000"/>
                <w:sz w:val="18"/>
                <w:szCs w:val="18"/>
                <w:highlight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E2EC6">
            <w:pPr>
              <w:jc w:val="center"/>
              <w:rPr>
                <w:rFonts w:ascii="宋体" w:hAnsi="宋体" w:cs="宋体"/>
                <w:color w:val="000000"/>
                <w:sz w:val="18"/>
                <w:szCs w:val="18"/>
                <w:highlight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48B82">
            <w:pPr>
              <w:jc w:val="center"/>
              <w:rPr>
                <w:rFonts w:ascii="宋体" w:hAnsi="宋体" w:cs="宋体"/>
                <w:color w:val="000000"/>
                <w:sz w:val="18"/>
                <w:szCs w:val="18"/>
                <w:highlight w:val="none"/>
              </w:rPr>
            </w:pPr>
          </w:p>
        </w:tc>
      </w:tr>
      <w:tr w14:paraId="5368E3F0">
        <w:tblPrEx>
          <w:tblCellMar>
            <w:top w:w="0" w:type="dxa"/>
            <w:left w:w="0" w:type="dxa"/>
            <w:bottom w:w="0" w:type="dxa"/>
            <w:right w:w="0"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64F90">
            <w:pPr>
              <w:jc w:val="center"/>
              <w:rPr>
                <w:rFonts w:ascii="宋体" w:hAnsi="宋体" w:cs="宋体"/>
                <w:b/>
                <w:color w:val="000000"/>
                <w:sz w:val="18"/>
                <w:szCs w:val="18"/>
                <w:highlight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880B0">
            <w:pPr>
              <w:jc w:val="center"/>
              <w:rPr>
                <w:rFonts w:ascii="宋体" w:hAnsi="宋体" w:cs="宋体"/>
                <w:color w:val="000000"/>
                <w:sz w:val="18"/>
                <w:szCs w:val="18"/>
                <w:highlight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30ECE">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A579E">
            <w:pPr>
              <w:jc w:val="center"/>
              <w:rPr>
                <w:rFonts w:ascii="宋体" w:hAnsi="宋体" w:cs="宋体"/>
                <w:color w:val="000000"/>
                <w:sz w:val="18"/>
                <w:szCs w:val="18"/>
                <w:highlight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0C505">
            <w:pPr>
              <w:jc w:val="center"/>
              <w:rPr>
                <w:rFonts w:ascii="宋体" w:hAnsi="宋体" w:cs="宋体"/>
                <w:color w:val="000000"/>
                <w:sz w:val="18"/>
                <w:szCs w:val="18"/>
                <w:highlight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B2D4A">
            <w:pPr>
              <w:jc w:val="center"/>
              <w:rPr>
                <w:rFonts w:ascii="宋体" w:hAnsi="宋体" w:cs="宋体"/>
                <w:color w:val="000000"/>
                <w:sz w:val="18"/>
                <w:szCs w:val="18"/>
                <w:highlight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C0E8A">
            <w:pPr>
              <w:jc w:val="center"/>
              <w:rPr>
                <w:rFonts w:ascii="宋体" w:hAnsi="宋体" w:cs="宋体"/>
                <w:color w:val="000000"/>
                <w:sz w:val="18"/>
                <w:szCs w:val="18"/>
                <w:highlight w:val="none"/>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02E1C">
            <w:pPr>
              <w:jc w:val="center"/>
              <w:rPr>
                <w:rFonts w:ascii="宋体" w:hAnsi="宋体" w:cs="宋体"/>
                <w:color w:val="000000"/>
                <w:sz w:val="18"/>
                <w:szCs w:val="18"/>
                <w:highlight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20D93">
            <w:pPr>
              <w:jc w:val="center"/>
              <w:rPr>
                <w:rFonts w:ascii="宋体" w:hAnsi="宋体" w:cs="宋体"/>
                <w:color w:val="000000"/>
                <w:sz w:val="18"/>
                <w:szCs w:val="18"/>
                <w:highlight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42D29">
            <w:pPr>
              <w:jc w:val="center"/>
              <w:rPr>
                <w:rFonts w:ascii="宋体" w:hAnsi="宋体" w:cs="宋体"/>
                <w:color w:val="000000"/>
                <w:sz w:val="18"/>
                <w:szCs w:val="18"/>
                <w:highlight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D8F61">
            <w:pPr>
              <w:jc w:val="center"/>
              <w:rPr>
                <w:rFonts w:ascii="宋体" w:hAnsi="宋体" w:cs="宋体"/>
                <w:color w:val="000000"/>
                <w:sz w:val="18"/>
                <w:szCs w:val="18"/>
                <w:highlight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A7449">
            <w:pPr>
              <w:jc w:val="center"/>
              <w:rPr>
                <w:rFonts w:ascii="宋体" w:hAnsi="宋体" w:cs="宋体"/>
                <w:color w:val="000000"/>
                <w:sz w:val="18"/>
                <w:szCs w:val="18"/>
                <w:highlight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EA86A">
            <w:pPr>
              <w:jc w:val="center"/>
              <w:rPr>
                <w:rFonts w:ascii="宋体" w:hAnsi="宋体" w:cs="宋体"/>
                <w:color w:val="000000"/>
                <w:sz w:val="18"/>
                <w:szCs w:val="18"/>
                <w:highlight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E5340">
            <w:pPr>
              <w:jc w:val="center"/>
              <w:rPr>
                <w:rFonts w:ascii="宋体" w:hAnsi="宋体" w:cs="宋体"/>
                <w:color w:val="000000"/>
                <w:sz w:val="18"/>
                <w:szCs w:val="18"/>
                <w:highlight w:val="none"/>
              </w:rPr>
            </w:pPr>
          </w:p>
        </w:tc>
      </w:tr>
      <w:tr w14:paraId="75844F76">
        <w:tblPrEx>
          <w:tblCellMar>
            <w:top w:w="0" w:type="dxa"/>
            <w:left w:w="0" w:type="dxa"/>
            <w:bottom w:w="0" w:type="dxa"/>
            <w:right w:w="0"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D781F">
            <w:pPr>
              <w:jc w:val="center"/>
              <w:rPr>
                <w:rFonts w:ascii="宋体" w:hAnsi="宋体" w:cs="宋体"/>
                <w:b/>
                <w:color w:val="000000"/>
                <w:sz w:val="18"/>
                <w:szCs w:val="18"/>
                <w:highlight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CC48E">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13886">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77BA9">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使用人员满意度</w:t>
            </w: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92E90">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w:t>
            </w:r>
          </w:p>
        </w:tc>
        <w:tc>
          <w:tcPr>
            <w:tcW w:w="3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164EC">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&gt;90百分比</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05084">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=92百分比</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42DDF">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2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5BE7F">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w:t>
            </w:r>
          </w:p>
        </w:tc>
        <w:tc>
          <w:tcPr>
            <w:tcW w:w="6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C0EC6">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8A2BD">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AA2CD">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33EA7">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B67F4">
            <w:pPr>
              <w:jc w:val="center"/>
              <w:rPr>
                <w:rFonts w:ascii="宋体" w:hAnsi="宋体" w:cs="宋体"/>
                <w:color w:val="000000"/>
                <w:sz w:val="18"/>
                <w:szCs w:val="18"/>
                <w:highlight w:val="none"/>
              </w:rPr>
            </w:pPr>
          </w:p>
        </w:tc>
      </w:tr>
      <w:tr w14:paraId="119A4915">
        <w:tblPrEx>
          <w:tblCellMar>
            <w:top w:w="0" w:type="dxa"/>
            <w:left w:w="0" w:type="dxa"/>
            <w:bottom w:w="0" w:type="dxa"/>
            <w:right w:w="0" w:type="dxa"/>
          </w:tblCellMar>
        </w:tblPrEx>
        <w:trPr>
          <w:trHeight w:val="379" w:hRule="atLeast"/>
        </w:trPr>
        <w:tc>
          <w:tcPr>
            <w:tcW w:w="1001" w:type="pct"/>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08E4693D">
            <w:pPr>
              <w:widowControl/>
              <w:jc w:val="center"/>
              <w:textAlignment w:val="center"/>
              <w:rPr>
                <w:rFonts w:ascii="宋体" w:hAnsi="宋体" w:cs="宋体"/>
                <w:b/>
                <w:color w:val="000000"/>
                <w:sz w:val="18"/>
                <w:szCs w:val="18"/>
                <w:highlight w:val="none"/>
              </w:rPr>
            </w:pPr>
            <w:r>
              <w:rPr>
                <w:rFonts w:hint="eastAsia" w:ascii="宋体" w:hAnsi="宋体" w:cs="宋体"/>
                <w:b/>
                <w:color w:val="000000"/>
                <w:kern w:val="0"/>
                <w:sz w:val="18"/>
                <w:szCs w:val="18"/>
                <w:highlight w:val="none"/>
                <w:lang w:bidi="ar"/>
              </w:rPr>
              <w:t>总分</w:t>
            </w:r>
          </w:p>
        </w:tc>
        <w:tc>
          <w:tcPr>
            <w:tcW w:w="23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8CE11">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3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EBC5108">
            <w:pPr>
              <w:rPr>
                <w:rFonts w:ascii="宋体" w:hAnsi="宋体" w:cs="宋体"/>
                <w:b/>
                <w:color w:val="000000"/>
                <w:sz w:val="18"/>
                <w:szCs w:val="18"/>
                <w:highlight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1ECD7">
            <w:pPr>
              <w:jc w:val="center"/>
              <w:rPr>
                <w:rFonts w:ascii="宋体" w:hAnsi="宋体" w:cs="宋体"/>
                <w:color w:val="000000"/>
                <w:sz w:val="18"/>
                <w:szCs w:val="18"/>
                <w:highlight w:val="none"/>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81B7B">
            <w:pPr>
              <w:jc w:val="center"/>
              <w:rPr>
                <w:rFonts w:ascii="宋体" w:hAnsi="宋体" w:cs="宋体"/>
                <w:color w:val="000000"/>
                <w:sz w:val="18"/>
                <w:szCs w:val="18"/>
                <w:highlight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335EC">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99.80分</w:t>
            </w:r>
          </w:p>
        </w:tc>
        <w:tc>
          <w:tcPr>
            <w:tcW w:w="6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184C3">
            <w:pPr>
              <w:rPr>
                <w:rFonts w:ascii="宋体" w:hAnsi="宋体" w:cs="宋体"/>
                <w:color w:val="000000"/>
                <w:sz w:val="18"/>
                <w:szCs w:val="18"/>
                <w:highlight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E27A2">
            <w:pPr>
              <w:rPr>
                <w:rFonts w:ascii="宋体" w:hAnsi="宋体" w:cs="宋体"/>
                <w:color w:val="000000"/>
                <w:sz w:val="18"/>
                <w:szCs w:val="18"/>
                <w:highlight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AEE84">
            <w:pPr>
              <w:rPr>
                <w:rFonts w:ascii="宋体" w:hAnsi="宋体" w:cs="宋体"/>
                <w:color w:val="000000"/>
                <w:sz w:val="18"/>
                <w:szCs w:val="18"/>
                <w:highlight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05CB8">
            <w:pPr>
              <w:rPr>
                <w:rFonts w:ascii="宋体" w:hAnsi="宋体" w:cs="宋体"/>
                <w:color w:val="000000"/>
                <w:sz w:val="18"/>
                <w:szCs w:val="18"/>
                <w:highlight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38587">
            <w:pPr>
              <w:rPr>
                <w:rFonts w:ascii="宋体" w:hAnsi="宋体" w:cs="宋体"/>
                <w:color w:val="000000"/>
                <w:sz w:val="18"/>
                <w:szCs w:val="18"/>
                <w:highlight w:val="none"/>
              </w:rPr>
            </w:pPr>
          </w:p>
        </w:tc>
      </w:tr>
    </w:tbl>
    <w:p w14:paraId="7C6A6E23">
      <w:pPr>
        <w:spacing w:line="600" w:lineRule="exact"/>
        <w:rPr>
          <w:bCs/>
          <w:sz w:val="32"/>
          <w:szCs w:val="32"/>
          <w:highlight w:val="none"/>
        </w:rPr>
      </w:pPr>
    </w:p>
    <w:p w14:paraId="44C244A4">
      <w:pPr>
        <w:spacing w:line="600" w:lineRule="exact"/>
        <w:rPr>
          <w:bCs/>
          <w:sz w:val="32"/>
          <w:szCs w:val="32"/>
          <w:highlight w:val="none"/>
        </w:rPr>
      </w:pPr>
      <w:r>
        <w:rPr>
          <w:bCs/>
          <w:sz w:val="32"/>
          <w:szCs w:val="32"/>
          <w:highlight w:val="none"/>
        </w:rPr>
        <w:t>附件1</w:t>
      </w:r>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6FE7ED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39C38125">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302" w:type="pct"/>
            <w:shd w:val="clear" w:color="auto" w:fill="FFFFFF"/>
            <w:vAlign w:val="center"/>
          </w:tcPr>
          <w:p w14:paraId="5D7BB84D">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14:paraId="4AF1823B">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14:paraId="3AC7FE29">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2044" w:type="pct"/>
            <w:shd w:val="clear" w:color="auto" w:fill="FFFFFF"/>
            <w:vAlign w:val="center"/>
          </w:tcPr>
          <w:p w14:paraId="2BB5F704">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512" w:type="pct"/>
            <w:shd w:val="clear" w:color="auto" w:fill="FFFFFF"/>
            <w:vAlign w:val="center"/>
          </w:tcPr>
          <w:p w14:paraId="6C4BE5AB">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37" w:type="pct"/>
            <w:shd w:val="clear" w:color="auto" w:fill="FFFFFF"/>
            <w:vAlign w:val="center"/>
          </w:tcPr>
          <w:p w14:paraId="713CAE25">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14:paraId="6A890A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31" w:type="pct"/>
            <w:vMerge w:val="restart"/>
            <w:shd w:val="clear" w:color="auto" w:fill="FFFFFF"/>
            <w:vAlign w:val="center"/>
          </w:tcPr>
          <w:p w14:paraId="4467A035">
            <w:pPr>
              <w:widowControl/>
              <w:spacing w:line="0" w:lineRule="atLeast"/>
              <w:jc w:val="center"/>
              <w:rPr>
                <w:color w:val="000000"/>
                <w:kern w:val="0"/>
                <w:sz w:val="22"/>
                <w:szCs w:val="22"/>
                <w:highlight w:val="none"/>
              </w:rPr>
            </w:pPr>
            <w:r>
              <w:rPr>
                <w:color w:val="000000"/>
                <w:kern w:val="0"/>
                <w:sz w:val="22"/>
                <w:szCs w:val="22"/>
                <w:highlight w:val="none"/>
              </w:rPr>
              <w:t>决策　</w:t>
            </w:r>
          </w:p>
          <w:p w14:paraId="62B714C9">
            <w:pPr>
              <w:widowControl/>
              <w:spacing w:line="0" w:lineRule="atLeast"/>
              <w:jc w:val="center"/>
              <w:rPr>
                <w:color w:val="000000"/>
                <w:kern w:val="0"/>
                <w:sz w:val="22"/>
                <w:szCs w:val="22"/>
                <w:highlight w:val="none"/>
              </w:rPr>
            </w:pPr>
            <w:r>
              <w:rPr>
                <w:color w:val="000000"/>
                <w:kern w:val="0"/>
                <w:sz w:val="22"/>
                <w:szCs w:val="22"/>
                <w:highlight w:val="none"/>
              </w:rPr>
              <w:t>　</w:t>
            </w:r>
          </w:p>
          <w:p w14:paraId="125F9631">
            <w:pPr>
              <w:spacing w:line="0" w:lineRule="atLeast"/>
              <w:jc w:val="center"/>
              <w:rPr>
                <w:color w:val="000000"/>
                <w:kern w:val="0"/>
                <w:sz w:val="22"/>
                <w:szCs w:val="22"/>
                <w:highlight w:val="none"/>
              </w:rPr>
            </w:pPr>
            <w:r>
              <w:rPr>
                <w:color w:val="000000"/>
                <w:kern w:val="0"/>
                <w:sz w:val="22"/>
                <w:szCs w:val="22"/>
                <w:highlight w:val="none"/>
              </w:rPr>
              <w:t>　</w:t>
            </w:r>
          </w:p>
        </w:tc>
        <w:tc>
          <w:tcPr>
            <w:tcW w:w="302" w:type="pct"/>
            <w:vMerge w:val="restart"/>
            <w:shd w:val="clear" w:color="auto" w:fill="FFFFFF"/>
            <w:vAlign w:val="center"/>
          </w:tcPr>
          <w:p w14:paraId="4F032AAA">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14:paraId="5E03E4F4">
            <w:pPr>
              <w:widowControl/>
              <w:spacing w:line="0" w:lineRule="atLeast"/>
              <w:jc w:val="center"/>
              <w:rPr>
                <w:color w:val="000000"/>
                <w:kern w:val="0"/>
                <w:sz w:val="22"/>
                <w:szCs w:val="22"/>
                <w:highlight w:val="none"/>
              </w:rPr>
            </w:pPr>
            <w:r>
              <w:rPr>
                <w:color w:val="000000"/>
                <w:kern w:val="0"/>
                <w:sz w:val="22"/>
                <w:szCs w:val="22"/>
                <w:highlight w:val="none"/>
              </w:rPr>
              <w:t>立项依据</w:t>
            </w:r>
          </w:p>
          <w:p w14:paraId="1808AF42">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14:paraId="7713AF8A">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4" w:type="pct"/>
            <w:shd w:val="clear" w:color="auto" w:fill="FFFFFF"/>
            <w:vAlign w:val="center"/>
          </w:tcPr>
          <w:p w14:paraId="324D41AE">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512" w:type="pct"/>
            <w:shd w:val="clear" w:color="auto" w:fill="FFFFFF"/>
            <w:vAlign w:val="center"/>
          </w:tcPr>
          <w:p w14:paraId="04CF64A5">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14:paraId="49AE63BB">
            <w:pPr>
              <w:widowControl/>
              <w:spacing w:line="0" w:lineRule="atLeast"/>
              <w:jc w:val="center"/>
              <w:rPr>
                <w:b/>
                <w:bCs/>
                <w:color w:val="000000"/>
                <w:kern w:val="0"/>
                <w:sz w:val="22"/>
                <w:szCs w:val="22"/>
                <w:highlight w:val="none"/>
              </w:rPr>
            </w:pPr>
            <w:r>
              <w:rPr>
                <w:rFonts w:hint="eastAsia"/>
                <w:color w:val="000000"/>
                <w:kern w:val="0"/>
                <w:sz w:val="22"/>
                <w:szCs w:val="22"/>
                <w:highlight w:val="none"/>
              </w:rPr>
              <w:t>3</w:t>
            </w:r>
          </w:p>
        </w:tc>
      </w:tr>
      <w:tr w14:paraId="407AC9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7D70839A">
            <w:pPr>
              <w:spacing w:line="0" w:lineRule="atLeast"/>
              <w:jc w:val="center"/>
              <w:rPr>
                <w:color w:val="000000"/>
                <w:kern w:val="0"/>
                <w:sz w:val="22"/>
                <w:szCs w:val="22"/>
                <w:highlight w:val="none"/>
              </w:rPr>
            </w:pPr>
          </w:p>
        </w:tc>
        <w:tc>
          <w:tcPr>
            <w:tcW w:w="302" w:type="pct"/>
            <w:vMerge w:val="continue"/>
            <w:shd w:val="clear" w:color="auto" w:fill="FFFFFF"/>
            <w:vAlign w:val="center"/>
          </w:tcPr>
          <w:p w14:paraId="60AFFB7D">
            <w:pPr>
              <w:widowControl/>
              <w:spacing w:line="0" w:lineRule="atLeast"/>
              <w:jc w:val="center"/>
              <w:rPr>
                <w:color w:val="000000"/>
                <w:kern w:val="0"/>
                <w:sz w:val="22"/>
                <w:szCs w:val="22"/>
                <w:highlight w:val="none"/>
              </w:rPr>
            </w:pPr>
          </w:p>
        </w:tc>
        <w:tc>
          <w:tcPr>
            <w:tcW w:w="344" w:type="pct"/>
            <w:shd w:val="clear" w:color="auto" w:fill="FFFFFF"/>
            <w:vAlign w:val="center"/>
          </w:tcPr>
          <w:p w14:paraId="50A3256A">
            <w:pPr>
              <w:widowControl/>
              <w:spacing w:line="0" w:lineRule="atLeast"/>
              <w:jc w:val="center"/>
              <w:rPr>
                <w:color w:val="000000"/>
                <w:kern w:val="0"/>
                <w:sz w:val="22"/>
                <w:szCs w:val="22"/>
                <w:highlight w:val="none"/>
              </w:rPr>
            </w:pPr>
            <w:r>
              <w:rPr>
                <w:color w:val="000000"/>
                <w:kern w:val="0"/>
                <w:sz w:val="22"/>
                <w:szCs w:val="22"/>
                <w:highlight w:val="none"/>
              </w:rPr>
              <w:t>立项程序</w:t>
            </w:r>
          </w:p>
          <w:p w14:paraId="2BC192FA">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14:paraId="75D35DA1">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4" w:type="pct"/>
            <w:shd w:val="clear" w:color="auto" w:fill="FFFFFF"/>
            <w:vAlign w:val="center"/>
          </w:tcPr>
          <w:p w14:paraId="0A3FCA94">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14:paraId="10D73E54">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14:paraId="0CD7F03C">
            <w:pPr>
              <w:widowControl/>
              <w:spacing w:line="0" w:lineRule="atLeast"/>
              <w:jc w:val="center"/>
              <w:rPr>
                <w:b/>
                <w:bCs/>
                <w:color w:val="000000"/>
                <w:kern w:val="0"/>
                <w:sz w:val="22"/>
                <w:szCs w:val="22"/>
                <w:highlight w:val="none"/>
              </w:rPr>
            </w:pPr>
            <w:r>
              <w:rPr>
                <w:rFonts w:hint="eastAsia"/>
                <w:color w:val="000000"/>
                <w:kern w:val="0"/>
                <w:sz w:val="22"/>
                <w:szCs w:val="22"/>
                <w:highlight w:val="none"/>
              </w:rPr>
              <w:t>2</w:t>
            </w:r>
          </w:p>
        </w:tc>
      </w:tr>
      <w:tr w14:paraId="31F162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0AC1CC35">
            <w:pPr>
              <w:spacing w:line="0" w:lineRule="atLeast"/>
              <w:jc w:val="center"/>
              <w:rPr>
                <w:color w:val="000000"/>
                <w:kern w:val="0"/>
                <w:sz w:val="22"/>
                <w:szCs w:val="22"/>
                <w:highlight w:val="none"/>
              </w:rPr>
            </w:pPr>
          </w:p>
        </w:tc>
        <w:tc>
          <w:tcPr>
            <w:tcW w:w="302" w:type="pct"/>
            <w:shd w:val="clear" w:color="auto" w:fill="FFFFFF"/>
            <w:vAlign w:val="center"/>
          </w:tcPr>
          <w:p w14:paraId="56C18819">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14:paraId="70856C9F">
            <w:pPr>
              <w:widowControl/>
              <w:spacing w:line="0" w:lineRule="atLeast"/>
              <w:jc w:val="center"/>
              <w:rPr>
                <w:color w:val="000000"/>
                <w:kern w:val="0"/>
                <w:sz w:val="22"/>
                <w:szCs w:val="22"/>
                <w:highlight w:val="none"/>
              </w:rPr>
            </w:pPr>
            <w:r>
              <w:rPr>
                <w:color w:val="000000"/>
                <w:kern w:val="0"/>
                <w:sz w:val="22"/>
                <w:szCs w:val="22"/>
                <w:highlight w:val="none"/>
              </w:rPr>
              <w:t>绩效目标</w:t>
            </w:r>
          </w:p>
          <w:p w14:paraId="7121B430">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14:paraId="2315AF2E">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4" w:type="pct"/>
            <w:shd w:val="clear" w:color="000000" w:fill="FFFFFF"/>
            <w:vAlign w:val="center"/>
          </w:tcPr>
          <w:p w14:paraId="1BEF87D1">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20D68330">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14:paraId="0E374D91">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14:paraId="2ACC51BF">
            <w:pPr>
              <w:widowControl/>
              <w:spacing w:line="0" w:lineRule="atLeast"/>
              <w:jc w:val="center"/>
              <w:rPr>
                <w:b/>
                <w:bCs/>
                <w:color w:val="000000"/>
                <w:kern w:val="0"/>
                <w:sz w:val="22"/>
                <w:szCs w:val="22"/>
                <w:highlight w:val="none"/>
              </w:rPr>
            </w:pPr>
            <w:r>
              <w:rPr>
                <w:rFonts w:hint="eastAsia"/>
                <w:color w:val="000000"/>
                <w:kern w:val="0"/>
                <w:sz w:val="22"/>
                <w:szCs w:val="22"/>
                <w:highlight w:val="none"/>
              </w:rPr>
              <w:t>2</w:t>
            </w:r>
          </w:p>
        </w:tc>
      </w:tr>
      <w:tr w14:paraId="6AA25F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010BBABF">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2" w:type="pct"/>
            <w:shd w:val="clear" w:color="auto" w:fill="FFFFFF"/>
            <w:vAlign w:val="center"/>
          </w:tcPr>
          <w:p w14:paraId="6FEC0356">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344" w:type="pct"/>
            <w:shd w:val="clear" w:color="auto" w:fill="FFFFFF"/>
            <w:vAlign w:val="center"/>
          </w:tcPr>
          <w:p w14:paraId="4E82E7D5">
            <w:pPr>
              <w:widowControl/>
              <w:spacing w:line="0" w:lineRule="atLeast"/>
              <w:jc w:val="center"/>
              <w:rPr>
                <w:color w:val="000000"/>
                <w:kern w:val="0"/>
                <w:sz w:val="22"/>
                <w:szCs w:val="22"/>
                <w:highlight w:val="none"/>
              </w:rPr>
            </w:pPr>
            <w:r>
              <w:rPr>
                <w:color w:val="000000"/>
                <w:kern w:val="0"/>
                <w:sz w:val="22"/>
                <w:szCs w:val="22"/>
                <w:highlight w:val="none"/>
              </w:rPr>
              <w:t>绩效指标</w:t>
            </w:r>
          </w:p>
          <w:p w14:paraId="4B3EAC9E">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14:paraId="0AEE95D3">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4" w:type="pct"/>
            <w:shd w:val="clear" w:color="000000" w:fill="FFFFFF"/>
            <w:vAlign w:val="center"/>
          </w:tcPr>
          <w:p w14:paraId="17ED2F9B">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512" w:type="pct"/>
            <w:shd w:val="clear" w:color="000000" w:fill="FFFFFF"/>
            <w:vAlign w:val="center"/>
          </w:tcPr>
          <w:p w14:paraId="1B95CCA3">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14:paraId="4F46D57F">
            <w:pPr>
              <w:widowControl/>
              <w:spacing w:line="0" w:lineRule="atLeast"/>
              <w:jc w:val="center"/>
              <w:rPr>
                <w:b/>
                <w:bCs/>
                <w:color w:val="000000"/>
                <w:kern w:val="0"/>
                <w:sz w:val="22"/>
                <w:szCs w:val="22"/>
                <w:highlight w:val="none"/>
              </w:rPr>
            </w:pPr>
            <w:r>
              <w:rPr>
                <w:rFonts w:hint="eastAsia"/>
                <w:color w:val="000000"/>
                <w:kern w:val="0"/>
                <w:sz w:val="22"/>
                <w:szCs w:val="22"/>
                <w:highlight w:val="none"/>
              </w:rPr>
              <w:t>3</w:t>
            </w:r>
          </w:p>
        </w:tc>
      </w:tr>
      <w:tr w14:paraId="42C6FC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486AD49B">
            <w:pPr>
              <w:spacing w:line="0" w:lineRule="atLeast"/>
              <w:jc w:val="center"/>
              <w:rPr>
                <w:color w:val="000000"/>
                <w:kern w:val="0"/>
                <w:sz w:val="22"/>
                <w:szCs w:val="22"/>
                <w:highlight w:val="none"/>
              </w:rPr>
            </w:pPr>
          </w:p>
        </w:tc>
        <w:tc>
          <w:tcPr>
            <w:tcW w:w="302" w:type="pct"/>
            <w:vMerge w:val="restart"/>
            <w:shd w:val="clear" w:color="auto" w:fill="FFFFFF"/>
            <w:vAlign w:val="center"/>
          </w:tcPr>
          <w:p w14:paraId="1931EAE0">
            <w:pPr>
              <w:widowControl/>
              <w:spacing w:line="0" w:lineRule="atLeast"/>
              <w:jc w:val="center"/>
              <w:rPr>
                <w:color w:val="000000"/>
                <w:kern w:val="0"/>
                <w:sz w:val="22"/>
                <w:szCs w:val="22"/>
                <w:highlight w:val="none"/>
              </w:rPr>
            </w:pPr>
            <w:r>
              <w:rPr>
                <w:color w:val="000000"/>
                <w:kern w:val="0"/>
                <w:sz w:val="22"/>
                <w:szCs w:val="22"/>
                <w:highlight w:val="none"/>
              </w:rPr>
              <w:t>资金投入</w:t>
            </w:r>
          </w:p>
          <w:p w14:paraId="09B33900">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2A091499">
            <w:pPr>
              <w:widowControl/>
              <w:spacing w:line="0" w:lineRule="atLeast"/>
              <w:jc w:val="center"/>
              <w:rPr>
                <w:color w:val="000000"/>
                <w:kern w:val="0"/>
                <w:sz w:val="22"/>
                <w:szCs w:val="22"/>
                <w:highlight w:val="none"/>
              </w:rPr>
            </w:pPr>
            <w:r>
              <w:rPr>
                <w:color w:val="000000"/>
                <w:kern w:val="0"/>
                <w:sz w:val="22"/>
                <w:szCs w:val="22"/>
                <w:highlight w:val="none"/>
              </w:rPr>
              <w:t>预算编制</w:t>
            </w:r>
          </w:p>
          <w:p w14:paraId="685660A8">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14:paraId="2C147EC9">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048CE340">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512" w:type="pct"/>
            <w:shd w:val="clear" w:color="auto" w:fill="FFFFFF"/>
            <w:vAlign w:val="center"/>
          </w:tcPr>
          <w:p w14:paraId="1B16A3D5">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3D4E1358">
            <w:pPr>
              <w:widowControl/>
              <w:spacing w:line="0" w:lineRule="atLeast"/>
              <w:jc w:val="center"/>
              <w:rPr>
                <w:b/>
                <w:bCs/>
                <w:color w:val="000000"/>
                <w:kern w:val="0"/>
                <w:sz w:val="22"/>
                <w:szCs w:val="22"/>
                <w:highlight w:val="none"/>
              </w:rPr>
            </w:pPr>
            <w:r>
              <w:rPr>
                <w:rFonts w:hint="eastAsia"/>
                <w:color w:val="000000"/>
                <w:kern w:val="0"/>
                <w:sz w:val="22"/>
                <w:szCs w:val="22"/>
                <w:highlight w:val="none"/>
              </w:rPr>
              <w:t>4</w:t>
            </w:r>
          </w:p>
        </w:tc>
      </w:tr>
      <w:tr w14:paraId="122D9F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6FF69D00">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5E3BFCBE">
            <w:pPr>
              <w:widowControl/>
              <w:spacing w:line="0" w:lineRule="atLeast"/>
              <w:jc w:val="center"/>
              <w:rPr>
                <w:color w:val="000000"/>
                <w:kern w:val="0"/>
                <w:sz w:val="22"/>
                <w:szCs w:val="22"/>
                <w:highlight w:val="none"/>
              </w:rPr>
            </w:pPr>
          </w:p>
        </w:tc>
        <w:tc>
          <w:tcPr>
            <w:tcW w:w="344" w:type="pct"/>
            <w:shd w:val="clear" w:color="auto" w:fill="FFFFFF"/>
            <w:vAlign w:val="center"/>
          </w:tcPr>
          <w:p w14:paraId="7AFDCF10">
            <w:pPr>
              <w:widowControl/>
              <w:spacing w:line="0" w:lineRule="atLeast"/>
              <w:jc w:val="center"/>
              <w:rPr>
                <w:color w:val="000000"/>
                <w:kern w:val="0"/>
                <w:sz w:val="22"/>
                <w:szCs w:val="22"/>
                <w:highlight w:val="none"/>
              </w:rPr>
            </w:pPr>
            <w:r>
              <w:rPr>
                <w:color w:val="000000"/>
                <w:kern w:val="0"/>
                <w:sz w:val="22"/>
                <w:szCs w:val="22"/>
                <w:highlight w:val="none"/>
              </w:rPr>
              <w:t>资金分配</w:t>
            </w:r>
          </w:p>
          <w:p w14:paraId="032D2760">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14:paraId="179A2A2C">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50F2BE5A">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512" w:type="pct"/>
            <w:shd w:val="clear" w:color="auto" w:fill="FFFFFF"/>
            <w:vAlign w:val="center"/>
          </w:tcPr>
          <w:p w14:paraId="71D618E4">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1B9A86FA">
            <w:pPr>
              <w:widowControl/>
              <w:spacing w:line="0" w:lineRule="atLeast"/>
              <w:jc w:val="center"/>
              <w:rPr>
                <w:b/>
                <w:bCs/>
                <w:color w:val="000000"/>
                <w:kern w:val="0"/>
                <w:sz w:val="22"/>
                <w:szCs w:val="22"/>
                <w:highlight w:val="none"/>
              </w:rPr>
            </w:pPr>
            <w:r>
              <w:rPr>
                <w:rFonts w:hint="eastAsia"/>
                <w:color w:val="000000"/>
                <w:kern w:val="0"/>
                <w:sz w:val="22"/>
                <w:szCs w:val="22"/>
                <w:highlight w:val="none"/>
              </w:rPr>
              <w:t>3</w:t>
            </w:r>
          </w:p>
        </w:tc>
      </w:tr>
      <w:tr w14:paraId="31B37F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6CF823BC">
            <w:pPr>
              <w:spacing w:line="0" w:lineRule="atLeast"/>
              <w:jc w:val="center"/>
              <w:rPr>
                <w:color w:val="000000"/>
                <w:kern w:val="0"/>
                <w:sz w:val="22"/>
                <w:szCs w:val="22"/>
                <w:highlight w:val="none"/>
              </w:rPr>
            </w:pPr>
            <w:r>
              <w:rPr>
                <w:color w:val="000000"/>
                <w:kern w:val="0"/>
                <w:sz w:val="22"/>
                <w:szCs w:val="22"/>
                <w:highlight w:val="none"/>
              </w:rPr>
              <w:t>过程</w:t>
            </w:r>
          </w:p>
        </w:tc>
        <w:tc>
          <w:tcPr>
            <w:tcW w:w="302" w:type="pct"/>
            <w:vMerge w:val="restart"/>
            <w:shd w:val="clear" w:color="auto" w:fill="FFFFFF"/>
            <w:vAlign w:val="center"/>
          </w:tcPr>
          <w:p w14:paraId="7F8FA566">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0F295737">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14:paraId="3300C026">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4" w:type="pct"/>
            <w:shd w:val="clear" w:color="000000" w:fill="FFFFFF"/>
            <w:vAlign w:val="center"/>
          </w:tcPr>
          <w:p w14:paraId="60872F1A">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3711B56B">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5EA6B5FF">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14:paraId="05AF0017">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36C333AA">
            <w:pPr>
              <w:widowControl/>
              <w:spacing w:line="0" w:lineRule="atLeast"/>
              <w:jc w:val="center"/>
              <w:rPr>
                <w:b/>
                <w:bCs/>
                <w:color w:val="000000"/>
                <w:kern w:val="0"/>
                <w:sz w:val="22"/>
                <w:szCs w:val="22"/>
                <w:highlight w:val="none"/>
              </w:rPr>
            </w:pPr>
            <w:r>
              <w:rPr>
                <w:rFonts w:hint="eastAsia"/>
                <w:color w:val="000000"/>
                <w:kern w:val="0"/>
                <w:sz w:val="22"/>
                <w:szCs w:val="22"/>
                <w:highlight w:val="none"/>
              </w:rPr>
              <w:t>4</w:t>
            </w:r>
          </w:p>
        </w:tc>
      </w:tr>
      <w:tr w14:paraId="6AB2F1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4B40A91D">
            <w:pPr>
              <w:spacing w:line="0" w:lineRule="atLeast"/>
              <w:jc w:val="center"/>
              <w:rPr>
                <w:color w:val="000000"/>
                <w:kern w:val="0"/>
                <w:sz w:val="22"/>
                <w:szCs w:val="22"/>
                <w:highlight w:val="none"/>
              </w:rPr>
            </w:pPr>
          </w:p>
        </w:tc>
        <w:tc>
          <w:tcPr>
            <w:tcW w:w="302" w:type="pct"/>
            <w:vMerge w:val="continue"/>
            <w:shd w:val="clear" w:color="auto" w:fill="FFFFFF"/>
            <w:vAlign w:val="center"/>
          </w:tcPr>
          <w:p w14:paraId="54467103">
            <w:pPr>
              <w:spacing w:line="0" w:lineRule="atLeast"/>
              <w:jc w:val="center"/>
              <w:rPr>
                <w:color w:val="000000"/>
                <w:kern w:val="0"/>
                <w:sz w:val="22"/>
                <w:szCs w:val="22"/>
                <w:highlight w:val="none"/>
              </w:rPr>
            </w:pPr>
          </w:p>
        </w:tc>
        <w:tc>
          <w:tcPr>
            <w:tcW w:w="344" w:type="pct"/>
            <w:shd w:val="clear" w:color="auto" w:fill="FFFFFF"/>
            <w:vAlign w:val="center"/>
          </w:tcPr>
          <w:p w14:paraId="02260C66">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14:paraId="4F634B41">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4" w:type="pct"/>
            <w:shd w:val="clear" w:color="auto" w:fill="FFFFFF"/>
            <w:vAlign w:val="center"/>
          </w:tcPr>
          <w:p w14:paraId="63EF5757">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14:paraId="254B577A">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62F3C51E">
            <w:pPr>
              <w:widowControl/>
              <w:spacing w:line="0" w:lineRule="atLeast"/>
              <w:jc w:val="center"/>
              <w:rPr>
                <w:b/>
                <w:bCs/>
                <w:color w:val="000000"/>
                <w:kern w:val="0"/>
                <w:sz w:val="22"/>
                <w:szCs w:val="22"/>
                <w:highlight w:val="none"/>
              </w:rPr>
            </w:pPr>
            <w:r>
              <w:rPr>
                <w:rFonts w:hint="eastAsia"/>
                <w:color w:val="000000"/>
                <w:kern w:val="0"/>
                <w:sz w:val="22"/>
                <w:szCs w:val="22"/>
                <w:highlight w:val="none"/>
              </w:rPr>
              <w:t>4</w:t>
            </w:r>
          </w:p>
        </w:tc>
      </w:tr>
      <w:tr w14:paraId="642A7D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4F26A8F2">
            <w:pPr>
              <w:widowControl/>
              <w:spacing w:line="0" w:lineRule="atLeast"/>
              <w:jc w:val="center"/>
              <w:rPr>
                <w:color w:val="000000"/>
                <w:kern w:val="0"/>
                <w:sz w:val="22"/>
                <w:szCs w:val="22"/>
                <w:highlight w:val="none"/>
              </w:rPr>
            </w:pPr>
            <w:r>
              <w:rPr>
                <w:color w:val="000000"/>
                <w:kern w:val="0"/>
                <w:sz w:val="22"/>
                <w:szCs w:val="22"/>
                <w:highlight w:val="none"/>
              </w:rPr>
              <w:t>　</w:t>
            </w:r>
          </w:p>
          <w:p w14:paraId="2C33DACC">
            <w:pPr>
              <w:spacing w:line="0" w:lineRule="atLeast"/>
              <w:jc w:val="center"/>
              <w:rPr>
                <w:color w:val="000000"/>
                <w:kern w:val="0"/>
                <w:sz w:val="22"/>
                <w:szCs w:val="22"/>
                <w:highlight w:val="none"/>
              </w:rPr>
            </w:pPr>
            <w:r>
              <w:rPr>
                <w:color w:val="000000"/>
                <w:kern w:val="0"/>
                <w:sz w:val="22"/>
                <w:szCs w:val="22"/>
                <w:highlight w:val="none"/>
              </w:rPr>
              <w:t>过程　</w:t>
            </w:r>
          </w:p>
        </w:tc>
        <w:tc>
          <w:tcPr>
            <w:tcW w:w="302" w:type="pct"/>
            <w:shd w:val="clear" w:color="auto" w:fill="FFFFFF"/>
            <w:vAlign w:val="center"/>
          </w:tcPr>
          <w:p w14:paraId="68DFE9D0">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3BE6C462">
            <w:pPr>
              <w:widowControl/>
              <w:spacing w:line="0" w:lineRule="atLeast"/>
              <w:jc w:val="center"/>
              <w:rPr>
                <w:color w:val="000000"/>
                <w:kern w:val="0"/>
                <w:sz w:val="22"/>
                <w:szCs w:val="22"/>
                <w:highlight w:val="none"/>
              </w:rPr>
            </w:pPr>
            <w:r>
              <w:rPr>
                <w:color w:val="000000"/>
                <w:kern w:val="0"/>
                <w:sz w:val="22"/>
                <w:szCs w:val="22"/>
                <w:highlight w:val="none"/>
              </w:rPr>
              <w:t>资金使用</w:t>
            </w:r>
          </w:p>
          <w:p w14:paraId="21205FCC">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14:paraId="333CDAEE">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4" w:type="pct"/>
            <w:shd w:val="clear" w:color="000000" w:fill="FFFFFF"/>
            <w:vAlign w:val="center"/>
          </w:tcPr>
          <w:p w14:paraId="13410E50">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512" w:type="pct"/>
            <w:shd w:val="clear" w:color="000000" w:fill="FFFFFF"/>
            <w:vAlign w:val="center"/>
          </w:tcPr>
          <w:p w14:paraId="62F40A2F">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14:paraId="5B6C0449">
            <w:pPr>
              <w:widowControl/>
              <w:spacing w:line="0" w:lineRule="atLeast"/>
              <w:jc w:val="center"/>
              <w:rPr>
                <w:b/>
                <w:bCs/>
                <w:color w:val="000000"/>
                <w:kern w:val="0"/>
                <w:sz w:val="22"/>
                <w:szCs w:val="22"/>
                <w:highlight w:val="none"/>
              </w:rPr>
            </w:pPr>
            <w:r>
              <w:rPr>
                <w:rFonts w:hint="eastAsia"/>
                <w:color w:val="000000"/>
                <w:kern w:val="0"/>
                <w:sz w:val="22"/>
                <w:szCs w:val="22"/>
                <w:highlight w:val="none"/>
              </w:rPr>
              <w:t>4</w:t>
            </w:r>
          </w:p>
        </w:tc>
      </w:tr>
      <w:tr w14:paraId="3228C4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5ECF2EF8">
            <w:pPr>
              <w:spacing w:line="0" w:lineRule="atLeast"/>
              <w:jc w:val="center"/>
              <w:rPr>
                <w:color w:val="000000"/>
                <w:kern w:val="0"/>
                <w:sz w:val="22"/>
                <w:szCs w:val="22"/>
                <w:highlight w:val="none"/>
              </w:rPr>
            </w:pPr>
          </w:p>
        </w:tc>
        <w:tc>
          <w:tcPr>
            <w:tcW w:w="302" w:type="pct"/>
            <w:vMerge w:val="restart"/>
            <w:shd w:val="clear" w:color="auto" w:fill="FFFFFF"/>
            <w:vAlign w:val="center"/>
          </w:tcPr>
          <w:p w14:paraId="3E3BC1ED">
            <w:pPr>
              <w:widowControl/>
              <w:spacing w:line="0" w:lineRule="atLeast"/>
              <w:jc w:val="center"/>
              <w:rPr>
                <w:color w:val="000000"/>
                <w:kern w:val="0"/>
                <w:sz w:val="22"/>
                <w:szCs w:val="22"/>
                <w:highlight w:val="none"/>
              </w:rPr>
            </w:pPr>
            <w:r>
              <w:rPr>
                <w:color w:val="000000"/>
                <w:kern w:val="0"/>
                <w:sz w:val="22"/>
                <w:szCs w:val="22"/>
                <w:highlight w:val="none"/>
              </w:rPr>
              <w:t>组织实施</w:t>
            </w:r>
          </w:p>
          <w:p w14:paraId="52776B78">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1927D0BA">
            <w:pPr>
              <w:widowControl/>
              <w:spacing w:line="0" w:lineRule="atLeast"/>
              <w:jc w:val="center"/>
              <w:rPr>
                <w:color w:val="000000"/>
                <w:kern w:val="0"/>
                <w:sz w:val="22"/>
                <w:szCs w:val="22"/>
                <w:highlight w:val="none"/>
              </w:rPr>
            </w:pPr>
            <w:r>
              <w:rPr>
                <w:color w:val="000000"/>
                <w:kern w:val="0"/>
                <w:sz w:val="22"/>
                <w:szCs w:val="22"/>
                <w:highlight w:val="none"/>
              </w:rPr>
              <w:t>管理制度</w:t>
            </w:r>
          </w:p>
          <w:p w14:paraId="724DCDEF">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14:paraId="75B0D657">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4" w:type="pct"/>
            <w:shd w:val="clear" w:color="000000" w:fill="FFFFFF"/>
            <w:vAlign w:val="center"/>
          </w:tcPr>
          <w:p w14:paraId="74CD650D">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512" w:type="pct"/>
            <w:shd w:val="clear" w:color="000000" w:fill="FFFFFF"/>
            <w:vAlign w:val="center"/>
          </w:tcPr>
          <w:p w14:paraId="68CA2C00">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3A8CC9F1">
            <w:pPr>
              <w:widowControl/>
              <w:spacing w:line="0" w:lineRule="atLeast"/>
              <w:jc w:val="center"/>
              <w:rPr>
                <w:b/>
                <w:bCs/>
                <w:color w:val="000000"/>
                <w:kern w:val="0"/>
                <w:sz w:val="22"/>
                <w:szCs w:val="22"/>
                <w:highlight w:val="none"/>
              </w:rPr>
            </w:pPr>
            <w:r>
              <w:rPr>
                <w:rFonts w:hint="eastAsia"/>
                <w:color w:val="000000"/>
                <w:kern w:val="0"/>
                <w:sz w:val="22"/>
                <w:szCs w:val="22"/>
                <w:highlight w:val="none"/>
              </w:rPr>
              <w:t>4</w:t>
            </w:r>
          </w:p>
        </w:tc>
      </w:tr>
      <w:tr w14:paraId="579BC7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054B19A1">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0C3EEE76">
            <w:pPr>
              <w:widowControl/>
              <w:spacing w:line="0" w:lineRule="atLeast"/>
              <w:jc w:val="center"/>
              <w:rPr>
                <w:color w:val="000000"/>
                <w:kern w:val="0"/>
                <w:sz w:val="22"/>
                <w:szCs w:val="22"/>
                <w:highlight w:val="none"/>
              </w:rPr>
            </w:pPr>
          </w:p>
        </w:tc>
        <w:tc>
          <w:tcPr>
            <w:tcW w:w="344" w:type="pct"/>
            <w:shd w:val="clear" w:color="auto" w:fill="FFFFFF"/>
            <w:vAlign w:val="center"/>
          </w:tcPr>
          <w:p w14:paraId="35C6C53E">
            <w:pPr>
              <w:widowControl/>
              <w:spacing w:line="0" w:lineRule="atLeast"/>
              <w:jc w:val="center"/>
              <w:rPr>
                <w:color w:val="000000"/>
                <w:kern w:val="0"/>
                <w:sz w:val="22"/>
                <w:szCs w:val="22"/>
                <w:highlight w:val="none"/>
              </w:rPr>
            </w:pPr>
            <w:r>
              <w:rPr>
                <w:color w:val="000000"/>
                <w:kern w:val="0"/>
                <w:sz w:val="22"/>
                <w:szCs w:val="22"/>
                <w:highlight w:val="none"/>
              </w:rPr>
              <w:t>制度执行</w:t>
            </w:r>
          </w:p>
          <w:p w14:paraId="5A2988E0">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14:paraId="7CE56613">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4" w:type="pct"/>
            <w:shd w:val="clear" w:color="000000" w:fill="FFFFFF"/>
            <w:vAlign w:val="center"/>
          </w:tcPr>
          <w:p w14:paraId="307943DB">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512" w:type="pct"/>
            <w:shd w:val="clear" w:color="000000" w:fill="FFFFFF"/>
            <w:vAlign w:val="center"/>
          </w:tcPr>
          <w:p w14:paraId="36B7A79A">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1260046F">
            <w:pPr>
              <w:widowControl/>
              <w:spacing w:line="0" w:lineRule="atLeast"/>
              <w:jc w:val="center"/>
              <w:rPr>
                <w:b/>
                <w:bCs/>
                <w:color w:val="000000"/>
                <w:kern w:val="0"/>
                <w:sz w:val="22"/>
                <w:szCs w:val="22"/>
                <w:highlight w:val="none"/>
              </w:rPr>
            </w:pPr>
            <w:r>
              <w:rPr>
                <w:rFonts w:hint="eastAsia"/>
                <w:color w:val="000000"/>
                <w:kern w:val="0"/>
                <w:sz w:val="22"/>
                <w:szCs w:val="22"/>
                <w:highlight w:val="none"/>
              </w:rPr>
              <w:t>4</w:t>
            </w:r>
          </w:p>
        </w:tc>
      </w:tr>
      <w:tr w14:paraId="4157B1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4A72760C">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113030EC">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14:paraId="035C812B">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14:paraId="023C85E2">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4" w:type="pct"/>
            <w:shd w:val="clear" w:color="000000" w:fill="FFFFFF"/>
            <w:vAlign w:val="center"/>
          </w:tcPr>
          <w:p w14:paraId="1801270A">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343B3909">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559D29D2">
            <w:pPr>
              <w:widowControl/>
              <w:spacing w:line="0" w:lineRule="atLeast"/>
              <w:jc w:val="center"/>
              <w:rPr>
                <w:b/>
                <w:bCs/>
                <w:color w:val="000000"/>
                <w:kern w:val="0"/>
                <w:sz w:val="22"/>
                <w:szCs w:val="22"/>
                <w:highlight w:val="none"/>
              </w:rPr>
            </w:pPr>
            <w:r>
              <w:rPr>
                <w:rFonts w:hint="eastAsia"/>
                <w:color w:val="000000"/>
                <w:kern w:val="0"/>
                <w:sz w:val="22"/>
                <w:szCs w:val="22"/>
                <w:highlight w:val="none"/>
              </w:rPr>
              <w:t>10</w:t>
            </w:r>
          </w:p>
        </w:tc>
      </w:tr>
      <w:tr w14:paraId="4B29B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311BEE16">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513A311B">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14:paraId="51366E42">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14:paraId="6B22AFDC">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4" w:type="pct"/>
            <w:shd w:val="clear" w:color="000000" w:fill="FFFFFF"/>
            <w:vAlign w:val="center"/>
          </w:tcPr>
          <w:p w14:paraId="4B0E341D">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4DF94934">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CF7776D">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10</w:t>
            </w:r>
          </w:p>
        </w:tc>
        <w:tc>
          <w:tcPr>
            <w:tcW w:w="1363" w:type="dxa"/>
            <w:shd w:val="clear" w:color="000000" w:fill="FFFFFF"/>
            <w:vAlign w:val="center"/>
          </w:tcPr>
          <w:p w14:paraId="22312F85">
            <w:pPr>
              <w:widowControl/>
              <w:spacing w:line="0" w:lineRule="atLeast"/>
              <w:jc w:val="center"/>
              <w:rPr>
                <w:b/>
                <w:bCs/>
                <w:color w:val="000000"/>
                <w:kern w:val="0"/>
                <w:sz w:val="22"/>
                <w:szCs w:val="22"/>
                <w:highlight w:val="none"/>
              </w:rPr>
            </w:pPr>
            <w:r>
              <w:rPr>
                <w:rFonts w:hint="eastAsia"/>
                <w:color w:val="000000"/>
                <w:kern w:val="0"/>
                <w:sz w:val="22"/>
                <w:szCs w:val="22"/>
                <w:highlight w:val="none"/>
              </w:rPr>
              <w:t>10</w:t>
            </w:r>
          </w:p>
        </w:tc>
      </w:tr>
      <w:tr w14:paraId="73F91E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5D2A819A">
            <w:pPr>
              <w:spacing w:line="0" w:lineRule="atLeast"/>
              <w:jc w:val="center"/>
              <w:rPr>
                <w:color w:val="000000"/>
                <w:kern w:val="0"/>
                <w:sz w:val="22"/>
                <w:szCs w:val="22"/>
                <w:highlight w:val="none"/>
              </w:rPr>
            </w:pPr>
          </w:p>
        </w:tc>
        <w:tc>
          <w:tcPr>
            <w:tcW w:w="302" w:type="pct"/>
            <w:shd w:val="clear" w:color="auto" w:fill="FFFFFF"/>
            <w:vAlign w:val="center"/>
          </w:tcPr>
          <w:p w14:paraId="2B8E7149">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14:paraId="124D8022">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14:paraId="2B18F148">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4" w:type="pct"/>
            <w:shd w:val="clear" w:color="000000" w:fill="FFFFFF"/>
            <w:vAlign w:val="center"/>
          </w:tcPr>
          <w:p w14:paraId="6C915169">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14:paraId="0289C457">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3A2FEED1">
            <w:pPr>
              <w:widowControl/>
              <w:spacing w:line="0" w:lineRule="atLeast"/>
              <w:jc w:val="center"/>
              <w:rPr>
                <w:b/>
                <w:bCs/>
                <w:color w:val="000000"/>
                <w:kern w:val="0"/>
                <w:sz w:val="22"/>
                <w:szCs w:val="22"/>
                <w:highlight w:val="none"/>
              </w:rPr>
            </w:pPr>
            <w:r>
              <w:rPr>
                <w:rFonts w:hint="eastAsia"/>
                <w:color w:val="000000"/>
                <w:kern w:val="0"/>
                <w:sz w:val="22"/>
                <w:szCs w:val="22"/>
                <w:highlight w:val="none"/>
              </w:rPr>
              <w:t>10</w:t>
            </w:r>
          </w:p>
        </w:tc>
      </w:tr>
      <w:tr w14:paraId="00E20F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7B3AC5FF">
            <w:pPr>
              <w:widowControl/>
              <w:spacing w:line="0" w:lineRule="atLeast"/>
              <w:jc w:val="center"/>
              <w:rPr>
                <w:color w:val="000000"/>
                <w:kern w:val="0"/>
                <w:sz w:val="22"/>
                <w:szCs w:val="22"/>
                <w:highlight w:val="none"/>
              </w:rPr>
            </w:pPr>
          </w:p>
        </w:tc>
        <w:tc>
          <w:tcPr>
            <w:tcW w:w="302" w:type="pct"/>
            <w:shd w:val="clear" w:color="auto" w:fill="FFFFFF"/>
            <w:vAlign w:val="center"/>
          </w:tcPr>
          <w:p w14:paraId="0707A942">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14:paraId="2B540F56">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14:paraId="651FFBA4">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4" w:type="pct"/>
            <w:shd w:val="clear" w:color="000000" w:fill="FFFFFF"/>
            <w:vAlign w:val="center"/>
          </w:tcPr>
          <w:p w14:paraId="460AA843">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77C2259A">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13D40E6B">
            <w:pPr>
              <w:widowControl/>
              <w:spacing w:line="0" w:lineRule="atLeast"/>
              <w:jc w:val="center"/>
              <w:rPr>
                <w:b/>
                <w:bCs/>
                <w:color w:val="000000"/>
                <w:kern w:val="0"/>
                <w:sz w:val="22"/>
                <w:szCs w:val="22"/>
                <w:highlight w:val="none"/>
              </w:rPr>
            </w:pPr>
            <w:r>
              <w:rPr>
                <w:rFonts w:hint="eastAsia"/>
                <w:color w:val="000000"/>
                <w:kern w:val="0"/>
                <w:sz w:val="22"/>
                <w:szCs w:val="22"/>
                <w:highlight w:val="none"/>
              </w:rPr>
              <w:t>8</w:t>
            </w:r>
          </w:p>
        </w:tc>
      </w:tr>
      <w:tr w14:paraId="1C9CD0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7E122615">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2" w:type="pct"/>
            <w:vMerge w:val="restart"/>
            <w:shd w:val="clear" w:color="auto" w:fill="FFFFFF"/>
            <w:vAlign w:val="center"/>
          </w:tcPr>
          <w:p w14:paraId="43992A75">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14:paraId="6BA11467">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14:paraId="27F758F3">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44" w:type="pct"/>
            <w:shd w:val="clear" w:color="auto" w:fill="FFFFFF"/>
            <w:vAlign w:val="center"/>
          </w:tcPr>
          <w:p w14:paraId="4B0CE5FC">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59E8624F">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14:paraId="45D9F608">
            <w:pPr>
              <w:widowControl/>
              <w:spacing w:line="0" w:lineRule="atLeast"/>
              <w:jc w:val="center"/>
              <w:rPr>
                <w:b/>
                <w:bCs/>
                <w:color w:val="000000"/>
                <w:kern w:val="0"/>
                <w:sz w:val="22"/>
                <w:szCs w:val="22"/>
                <w:highlight w:val="none"/>
              </w:rPr>
            </w:pPr>
            <w:r>
              <w:rPr>
                <w:rFonts w:hint="eastAsia"/>
                <w:color w:val="000000"/>
                <w:kern w:val="0"/>
                <w:sz w:val="22"/>
                <w:szCs w:val="22"/>
                <w:highlight w:val="none"/>
              </w:rPr>
              <w:t>10</w:t>
            </w:r>
          </w:p>
        </w:tc>
      </w:tr>
      <w:tr w14:paraId="181D65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1C032EB2">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58D16DB6">
            <w:pPr>
              <w:widowControl/>
              <w:spacing w:line="0" w:lineRule="atLeast"/>
              <w:jc w:val="center"/>
              <w:rPr>
                <w:color w:val="000000"/>
                <w:kern w:val="0"/>
                <w:sz w:val="22"/>
                <w:szCs w:val="22"/>
                <w:highlight w:val="none"/>
              </w:rPr>
            </w:pPr>
          </w:p>
        </w:tc>
        <w:tc>
          <w:tcPr>
            <w:tcW w:w="344" w:type="pct"/>
            <w:shd w:val="clear" w:color="auto" w:fill="FFFFFF"/>
            <w:vAlign w:val="center"/>
          </w:tcPr>
          <w:p w14:paraId="4F1DCF4A">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14:paraId="786CD463">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44" w:type="pct"/>
            <w:shd w:val="clear" w:color="000000" w:fill="FFFFFF"/>
            <w:vAlign w:val="center"/>
          </w:tcPr>
          <w:p w14:paraId="52FC03FB">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7E022EE9">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62F262EE">
            <w:pPr>
              <w:widowControl/>
              <w:spacing w:line="0" w:lineRule="atLeast"/>
              <w:jc w:val="center"/>
              <w:rPr>
                <w:b/>
                <w:bCs/>
                <w:color w:val="000000"/>
                <w:kern w:val="0"/>
                <w:sz w:val="22"/>
                <w:szCs w:val="22"/>
                <w:highlight w:val="none"/>
              </w:rPr>
            </w:pPr>
            <w:r>
              <w:rPr>
                <w:rFonts w:hint="eastAsia"/>
                <w:color w:val="000000"/>
                <w:kern w:val="0"/>
                <w:sz w:val="22"/>
                <w:szCs w:val="22"/>
                <w:highlight w:val="none"/>
              </w:rPr>
              <w:t>10</w:t>
            </w:r>
          </w:p>
        </w:tc>
      </w:tr>
    </w:tbl>
    <w:p w14:paraId="05BA3D8E">
      <w:pPr>
        <w:pStyle w:val="2"/>
        <w:rPr>
          <w:rFonts w:ascii="Times New Roman" w:hAnsi="Times New Roman"/>
          <w:highlight w:val="none"/>
        </w:rPr>
      </w:pPr>
    </w:p>
    <w:p w14:paraId="737AFFAE">
      <w:pPr>
        <w:rPr>
          <w:highlight w:val="none"/>
        </w:rPr>
      </w:pPr>
    </w:p>
    <w:p w14:paraId="7B7B1FB5">
      <w:pPr>
        <w:spacing w:line="540" w:lineRule="exact"/>
        <w:ind w:firstLine="640"/>
        <w:rPr>
          <w:rStyle w:val="17"/>
          <w:rFonts w:eastAsia="黑体"/>
          <w:bCs w:val="0"/>
          <w:spacing w:val="-4"/>
          <w:sz w:val="32"/>
          <w:szCs w:val="32"/>
          <w:highlight w:val="none"/>
        </w:rPr>
      </w:pPr>
    </w:p>
    <w:p w14:paraId="7ED1BCFA">
      <w:pPr>
        <w:spacing w:line="540" w:lineRule="exact"/>
        <w:ind w:firstLine="640"/>
        <w:rPr>
          <w:rStyle w:val="17"/>
          <w:rFonts w:eastAsia="黑体"/>
          <w:bCs w:val="0"/>
          <w:spacing w:val="-4"/>
          <w:sz w:val="32"/>
          <w:szCs w:val="32"/>
          <w:highlight w:val="none"/>
        </w:rPr>
      </w:pPr>
    </w:p>
    <w:p w14:paraId="1B65DABE">
      <w:pPr>
        <w:spacing w:line="540" w:lineRule="exact"/>
        <w:ind w:firstLine="640"/>
        <w:rPr>
          <w:rStyle w:val="17"/>
          <w:rFonts w:eastAsia="黑体"/>
          <w:bCs w:val="0"/>
          <w:spacing w:val="-4"/>
          <w:sz w:val="32"/>
          <w:szCs w:val="32"/>
          <w:highlight w:val="none"/>
        </w:rPr>
      </w:pPr>
    </w:p>
    <w:p w14:paraId="28057EF6">
      <w:pPr>
        <w:spacing w:line="540" w:lineRule="exact"/>
        <w:ind w:firstLine="640"/>
        <w:rPr>
          <w:rStyle w:val="17"/>
          <w:rFonts w:eastAsia="黑体"/>
          <w:bCs w:val="0"/>
          <w:spacing w:val="-4"/>
          <w:sz w:val="32"/>
          <w:szCs w:val="32"/>
          <w:highlight w:val="none"/>
        </w:rPr>
      </w:pPr>
    </w:p>
    <w:p w14:paraId="0B484005">
      <w:pPr>
        <w:spacing w:line="540" w:lineRule="exact"/>
        <w:ind w:firstLine="640"/>
        <w:rPr>
          <w:rStyle w:val="17"/>
          <w:rFonts w:eastAsia="黑体"/>
          <w:bCs w:val="0"/>
          <w:spacing w:val="-4"/>
          <w:sz w:val="32"/>
          <w:szCs w:val="32"/>
          <w:highlight w:val="none"/>
        </w:rPr>
      </w:pPr>
    </w:p>
    <w:p w14:paraId="7EAB64CA">
      <w:pPr>
        <w:spacing w:line="540" w:lineRule="exact"/>
        <w:ind w:firstLine="640"/>
        <w:rPr>
          <w:rStyle w:val="17"/>
          <w:rFonts w:eastAsia="黑体"/>
          <w:bCs w:val="0"/>
          <w:spacing w:val="-4"/>
          <w:sz w:val="32"/>
          <w:szCs w:val="32"/>
          <w:highlight w:val="none"/>
        </w:rPr>
      </w:pPr>
    </w:p>
    <w:p w14:paraId="200C9503">
      <w:pPr>
        <w:spacing w:line="540" w:lineRule="exact"/>
        <w:rPr>
          <w:rStyle w:val="17"/>
          <w:rFonts w:eastAsia="仿宋"/>
          <w:b w:val="0"/>
          <w:spacing w:val="-4"/>
          <w:sz w:val="32"/>
          <w:szCs w:val="32"/>
          <w:highlight w:val="none"/>
        </w:rPr>
      </w:pPr>
    </w:p>
    <w:p w14:paraId="0E93C2F4">
      <w:pPr>
        <w:rPr>
          <w:highlight w:val="none"/>
        </w:rPr>
      </w:pPr>
    </w:p>
    <w:sectPr>
      <w:footerReference r:id="rId4" w:type="default"/>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AB9732-665E-4104-A6BF-9C67329BCE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B86394C7-EB04-4332-86D1-E979186CA284}"/>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D5696922-7AC7-4FF2-A278-190070E4ABC9}"/>
  </w:font>
  <w:font w:name="华文中宋">
    <w:panose1 w:val="02010600040101010101"/>
    <w:charset w:val="86"/>
    <w:family w:val="auto"/>
    <w:pitch w:val="default"/>
    <w:sig w:usb0="00000287" w:usb1="080F0000" w:usb2="00000000" w:usb3="00000000" w:csb0="0004009F" w:csb1="DFD70000"/>
    <w:embedRegular r:id="rId4" w:fontKey="{F33C7319-04CD-4F37-B1F3-83115D94B487}"/>
  </w:font>
  <w:font w:name="方正小标宋_GBK">
    <w:panose1 w:val="02000000000000000000"/>
    <w:charset w:val="86"/>
    <w:family w:val="script"/>
    <w:pitch w:val="default"/>
    <w:sig w:usb0="A00002BF" w:usb1="38CF7CFA" w:usb2="00082016" w:usb3="00000000" w:csb0="00040001" w:csb1="00000000"/>
    <w:embedRegular r:id="rId5" w:fontKey="{D8AB4D5F-371E-4B97-8EF8-97C6A2FE69AA}"/>
  </w:font>
  <w:font w:name="楷体_GB2312">
    <w:panose1 w:val="02010609030101010101"/>
    <w:charset w:val="86"/>
    <w:family w:val="auto"/>
    <w:pitch w:val="default"/>
    <w:sig w:usb0="00000001" w:usb1="080E0000" w:usb2="00000000" w:usb3="00000000" w:csb0="00040000" w:csb1="00000000"/>
    <w:embedRegular r:id="rId6" w:fontKey="{CCC29B04-95A1-4883-9290-1BAF69B39374}"/>
  </w:font>
  <w:font w:name="方正仿宋简体">
    <w:altName w:val="方正仿宋_GBK"/>
    <w:panose1 w:val="00000000000000000000"/>
    <w:charset w:val="86"/>
    <w:family w:val="auto"/>
    <w:pitch w:val="default"/>
    <w:sig w:usb0="00000000" w:usb1="00000000" w:usb2="00000000" w:usb3="00000000" w:csb0="00040000" w:csb1="00000000"/>
    <w:embedRegular r:id="rId7" w:fontKey="{B7848F7E-D419-4A9D-9351-73BC92821C10}"/>
  </w:font>
  <w:font w:name="方正仿宋_GBK">
    <w:panose1 w:val="02000000000000000000"/>
    <w:charset w:val="86"/>
    <w:family w:val="auto"/>
    <w:pitch w:val="default"/>
    <w:sig w:usb0="A00002BF" w:usb1="38CF7CFA" w:usb2="00082016" w:usb3="00000000" w:csb0="00040001" w:csb1="00000000"/>
    <w:embedRegular r:id="rId8" w:fontKey="{08A36ACE-6EFD-4071-82F3-5D0C6ED9DFE6}"/>
  </w:font>
  <w:font w:name="楷体">
    <w:panose1 w:val="02010609060101010101"/>
    <w:charset w:val="86"/>
    <w:family w:val="modern"/>
    <w:pitch w:val="default"/>
    <w:sig w:usb0="800002BF" w:usb1="38CF7CFA" w:usb2="00000016" w:usb3="00000000" w:csb0="00040001" w:csb1="00000000"/>
    <w:embedRegular r:id="rId9" w:fontKey="{75EF0B0E-96E3-4F98-A9B1-422F45B0FE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E8552">
    <w:pPr>
      <w:pStyle w:val="9"/>
      <w:jc w:val="center"/>
      <w:rPr>
        <w:rFonts w:hint="eastAsia"/>
      </w:rPr>
    </w:pPr>
    <w:r>
      <w:fldChar w:fldCharType="begin"/>
    </w:r>
    <w:r>
      <w:instrText xml:space="preserve">PAGE   \* MERGEFORMAT</w:instrText>
    </w:r>
    <w:r>
      <w:fldChar w:fldCharType="separate"/>
    </w:r>
    <w:r>
      <w:rPr>
        <w:rFonts w:hint="eastAsia"/>
        <w:lang w:val="zh-CN"/>
      </w:rPr>
      <w:t>1</w:t>
    </w:r>
    <w:r>
      <w:fldChar w:fldCharType="end"/>
    </w:r>
  </w:p>
  <w:p w14:paraId="3C73FD43">
    <w:pPr>
      <w:pStyle w:val="9"/>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6EFBB8D">
        <w:pPr>
          <w:pStyle w:val="9"/>
          <w:jc w:val="center"/>
          <w:rPr>
            <w:rFonts w:hint="eastAsia"/>
          </w:rPr>
        </w:pPr>
        <w:r>
          <w:fldChar w:fldCharType="begin"/>
        </w:r>
        <w:r>
          <w:instrText xml:space="preserve">PAGE   \* MERGEFORMAT</w:instrText>
        </w:r>
        <w:r>
          <w:fldChar w:fldCharType="separate"/>
        </w:r>
        <w:r>
          <w:rPr>
            <w:rFonts w:hint="eastAsia"/>
            <w:lang w:val="zh-CN"/>
          </w:rPr>
          <w:t>14</w:t>
        </w:r>
        <w:r>
          <w:fldChar w:fldCharType="end"/>
        </w:r>
      </w:p>
    </w:sdtContent>
  </w:sdt>
  <w:p w14:paraId="4E23337A">
    <w:pPr>
      <w:pStyle w:val="9"/>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ViY2JkMjU3NGYzZTEwMzZmMGFkZWViYmNkYWU3NDIifQ=="/>
  </w:docVars>
  <w:rsids>
    <w:rsidRoot w:val="FF6C4049"/>
    <w:rsid w:val="00017E83"/>
    <w:rsid w:val="00070AE9"/>
    <w:rsid w:val="00095176"/>
    <w:rsid w:val="001D07E4"/>
    <w:rsid w:val="002321EC"/>
    <w:rsid w:val="002A6451"/>
    <w:rsid w:val="00462C73"/>
    <w:rsid w:val="004712B7"/>
    <w:rsid w:val="004B1161"/>
    <w:rsid w:val="004D09BA"/>
    <w:rsid w:val="005B459D"/>
    <w:rsid w:val="006A01F2"/>
    <w:rsid w:val="006A6533"/>
    <w:rsid w:val="006E0D6A"/>
    <w:rsid w:val="00714727"/>
    <w:rsid w:val="00730610"/>
    <w:rsid w:val="00740C4D"/>
    <w:rsid w:val="0075699D"/>
    <w:rsid w:val="00812E71"/>
    <w:rsid w:val="00897250"/>
    <w:rsid w:val="008C21AA"/>
    <w:rsid w:val="008C3DA2"/>
    <w:rsid w:val="008D1185"/>
    <w:rsid w:val="00913EDF"/>
    <w:rsid w:val="0091452D"/>
    <w:rsid w:val="009526DC"/>
    <w:rsid w:val="009932AC"/>
    <w:rsid w:val="009B2B18"/>
    <w:rsid w:val="00A4037A"/>
    <w:rsid w:val="00A961C1"/>
    <w:rsid w:val="00AE6D4A"/>
    <w:rsid w:val="00B07D8D"/>
    <w:rsid w:val="00B85E12"/>
    <w:rsid w:val="00C2505C"/>
    <w:rsid w:val="00C51584"/>
    <w:rsid w:val="00C546D9"/>
    <w:rsid w:val="00C7371F"/>
    <w:rsid w:val="00E355A6"/>
    <w:rsid w:val="00ED4833"/>
    <w:rsid w:val="00F6408D"/>
    <w:rsid w:val="00F95177"/>
    <w:rsid w:val="00FA222C"/>
    <w:rsid w:val="00FC7F82"/>
    <w:rsid w:val="00FD3DF8"/>
    <w:rsid w:val="0129576E"/>
    <w:rsid w:val="014026FC"/>
    <w:rsid w:val="01424A06"/>
    <w:rsid w:val="01461CA1"/>
    <w:rsid w:val="016837AE"/>
    <w:rsid w:val="01F80E0F"/>
    <w:rsid w:val="02085C53"/>
    <w:rsid w:val="027D5C42"/>
    <w:rsid w:val="02860316"/>
    <w:rsid w:val="02963F9F"/>
    <w:rsid w:val="02AA1F66"/>
    <w:rsid w:val="02B34870"/>
    <w:rsid w:val="02C12EF2"/>
    <w:rsid w:val="02E369A7"/>
    <w:rsid w:val="02FF4021"/>
    <w:rsid w:val="031C6AD0"/>
    <w:rsid w:val="033A2856"/>
    <w:rsid w:val="03517988"/>
    <w:rsid w:val="03621228"/>
    <w:rsid w:val="03722856"/>
    <w:rsid w:val="03AD760B"/>
    <w:rsid w:val="03B565FB"/>
    <w:rsid w:val="03DE6AF5"/>
    <w:rsid w:val="04362156"/>
    <w:rsid w:val="043E0F21"/>
    <w:rsid w:val="043E5B6A"/>
    <w:rsid w:val="045C756B"/>
    <w:rsid w:val="04805549"/>
    <w:rsid w:val="04B83557"/>
    <w:rsid w:val="04BE135B"/>
    <w:rsid w:val="04D46E74"/>
    <w:rsid w:val="0511531A"/>
    <w:rsid w:val="051A7B27"/>
    <w:rsid w:val="05235378"/>
    <w:rsid w:val="05591922"/>
    <w:rsid w:val="056745C7"/>
    <w:rsid w:val="0572359B"/>
    <w:rsid w:val="05895289"/>
    <w:rsid w:val="0596493E"/>
    <w:rsid w:val="05B945F1"/>
    <w:rsid w:val="05E35918"/>
    <w:rsid w:val="05EC3600"/>
    <w:rsid w:val="06087D50"/>
    <w:rsid w:val="060B0D3F"/>
    <w:rsid w:val="063241CD"/>
    <w:rsid w:val="06464430"/>
    <w:rsid w:val="067E2243"/>
    <w:rsid w:val="06925AB9"/>
    <w:rsid w:val="06B65A88"/>
    <w:rsid w:val="06C73869"/>
    <w:rsid w:val="06E676DB"/>
    <w:rsid w:val="06FB03AC"/>
    <w:rsid w:val="072018C5"/>
    <w:rsid w:val="072961EA"/>
    <w:rsid w:val="07410BFC"/>
    <w:rsid w:val="074219C2"/>
    <w:rsid w:val="077051DA"/>
    <w:rsid w:val="07A373B9"/>
    <w:rsid w:val="07B225A0"/>
    <w:rsid w:val="07B46856"/>
    <w:rsid w:val="07C5022B"/>
    <w:rsid w:val="07F30555"/>
    <w:rsid w:val="080A1387"/>
    <w:rsid w:val="08253D38"/>
    <w:rsid w:val="083105CE"/>
    <w:rsid w:val="08314C1A"/>
    <w:rsid w:val="0837494E"/>
    <w:rsid w:val="084B35CA"/>
    <w:rsid w:val="0858792F"/>
    <w:rsid w:val="085E30CC"/>
    <w:rsid w:val="08802887"/>
    <w:rsid w:val="089471B4"/>
    <w:rsid w:val="08AA08FF"/>
    <w:rsid w:val="08BC115C"/>
    <w:rsid w:val="08D84504"/>
    <w:rsid w:val="08E918E3"/>
    <w:rsid w:val="08ED4E24"/>
    <w:rsid w:val="090E4040"/>
    <w:rsid w:val="090F1AAC"/>
    <w:rsid w:val="091E377F"/>
    <w:rsid w:val="093154D3"/>
    <w:rsid w:val="09383E2B"/>
    <w:rsid w:val="09693D9E"/>
    <w:rsid w:val="099B5944"/>
    <w:rsid w:val="099C7E80"/>
    <w:rsid w:val="09C20B1C"/>
    <w:rsid w:val="09D172FB"/>
    <w:rsid w:val="09D77FA0"/>
    <w:rsid w:val="09DB4FC3"/>
    <w:rsid w:val="09DE7280"/>
    <w:rsid w:val="09EC275E"/>
    <w:rsid w:val="0A045C51"/>
    <w:rsid w:val="0A5A2BDE"/>
    <w:rsid w:val="0A7B27F0"/>
    <w:rsid w:val="0A8E1D70"/>
    <w:rsid w:val="0AAF1558"/>
    <w:rsid w:val="0AE2671B"/>
    <w:rsid w:val="0AF24637"/>
    <w:rsid w:val="0B5B3A03"/>
    <w:rsid w:val="0B6F0DF5"/>
    <w:rsid w:val="0B9B54CF"/>
    <w:rsid w:val="0BA56844"/>
    <w:rsid w:val="0BAD17D2"/>
    <w:rsid w:val="0BAD6B97"/>
    <w:rsid w:val="0BB168E7"/>
    <w:rsid w:val="0BB8100B"/>
    <w:rsid w:val="0BBA4B7C"/>
    <w:rsid w:val="0BBF4F73"/>
    <w:rsid w:val="0BFC75FA"/>
    <w:rsid w:val="0C03351C"/>
    <w:rsid w:val="0C431390"/>
    <w:rsid w:val="0C6A639C"/>
    <w:rsid w:val="0C7946EE"/>
    <w:rsid w:val="0C8132BC"/>
    <w:rsid w:val="0C8B1348"/>
    <w:rsid w:val="0C9E6806"/>
    <w:rsid w:val="0CC51EBF"/>
    <w:rsid w:val="0CFD5634"/>
    <w:rsid w:val="0D243F3B"/>
    <w:rsid w:val="0D336B10"/>
    <w:rsid w:val="0D3D2D51"/>
    <w:rsid w:val="0D496DB6"/>
    <w:rsid w:val="0D511FBA"/>
    <w:rsid w:val="0D5D4F0E"/>
    <w:rsid w:val="0D696CF5"/>
    <w:rsid w:val="0D7B793D"/>
    <w:rsid w:val="0D9411EB"/>
    <w:rsid w:val="0D9E26E0"/>
    <w:rsid w:val="0DA135DA"/>
    <w:rsid w:val="0DA97734"/>
    <w:rsid w:val="0DC6319C"/>
    <w:rsid w:val="0DCF4A5D"/>
    <w:rsid w:val="0DDD70C5"/>
    <w:rsid w:val="0DE9763D"/>
    <w:rsid w:val="0E192CFD"/>
    <w:rsid w:val="0E1F7E1C"/>
    <w:rsid w:val="0E2A0D2E"/>
    <w:rsid w:val="0E2D232A"/>
    <w:rsid w:val="0E2F533C"/>
    <w:rsid w:val="0E315722"/>
    <w:rsid w:val="0E521671"/>
    <w:rsid w:val="0E7C2D64"/>
    <w:rsid w:val="0E8936BD"/>
    <w:rsid w:val="0E8F2EF1"/>
    <w:rsid w:val="0EBE17DB"/>
    <w:rsid w:val="0ED0565F"/>
    <w:rsid w:val="0EEA4EBF"/>
    <w:rsid w:val="0EEF746C"/>
    <w:rsid w:val="0EF851BE"/>
    <w:rsid w:val="0F0061CC"/>
    <w:rsid w:val="0F483390"/>
    <w:rsid w:val="0F512E99"/>
    <w:rsid w:val="0F8C68D9"/>
    <w:rsid w:val="0F961A42"/>
    <w:rsid w:val="0FAB7C4C"/>
    <w:rsid w:val="0FB02914"/>
    <w:rsid w:val="0FC31251"/>
    <w:rsid w:val="0FD8035C"/>
    <w:rsid w:val="0FF2341A"/>
    <w:rsid w:val="1006491A"/>
    <w:rsid w:val="10064A97"/>
    <w:rsid w:val="10257F2A"/>
    <w:rsid w:val="105F45F9"/>
    <w:rsid w:val="10780801"/>
    <w:rsid w:val="108C5424"/>
    <w:rsid w:val="10AB7BC6"/>
    <w:rsid w:val="10B57E19"/>
    <w:rsid w:val="10F35934"/>
    <w:rsid w:val="10FB2531"/>
    <w:rsid w:val="11421784"/>
    <w:rsid w:val="114308AE"/>
    <w:rsid w:val="11587AEF"/>
    <w:rsid w:val="11902F2B"/>
    <w:rsid w:val="119745E3"/>
    <w:rsid w:val="11B53672"/>
    <w:rsid w:val="11BC1882"/>
    <w:rsid w:val="11BD1D76"/>
    <w:rsid w:val="11C205DF"/>
    <w:rsid w:val="11D148EB"/>
    <w:rsid w:val="11D34328"/>
    <w:rsid w:val="11D63480"/>
    <w:rsid w:val="11E12B6C"/>
    <w:rsid w:val="11E9594F"/>
    <w:rsid w:val="11ED1C8A"/>
    <w:rsid w:val="11F411AE"/>
    <w:rsid w:val="11FC15CC"/>
    <w:rsid w:val="12001025"/>
    <w:rsid w:val="12137129"/>
    <w:rsid w:val="12192316"/>
    <w:rsid w:val="1237582A"/>
    <w:rsid w:val="12485247"/>
    <w:rsid w:val="126A2363"/>
    <w:rsid w:val="12797AB1"/>
    <w:rsid w:val="12E209F5"/>
    <w:rsid w:val="12EB3512"/>
    <w:rsid w:val="13092F1F"/>
    <w:rsid w:val="13193697"/>
    <w:rsid w:val="13457986"/>
    <w:rsid w:val="136D1652"/>
    <w:rsid w:val="13872762"/>
    <w:rsid w:val="13A96352"/>
    <w:rsid w:val="13B90F01"/>
    <w:rsid w:val="13C00CD1"/>
    <w:rsid w:val="13C50571"/>
    <w:rsid w:val="13C968C1"/>
    <w:rsid w:val="13E85EA6"/>
    <w:rsid w:val="13F30957"/>
    <w:rsid w:val="1400357C"/>
    <w:rsid w:val="141B48DF"/>
    <w:rsid w:val="1445499D"/>
    <w:rsid w:val="144D1792"/>
    <w:rsid w:val="145149AC"/>
    <w:rsid w:val="1463611C"/>
    <w:rsid w:val="1464711A"/>
    <w:rsid w:val="14695BFF"/>
    <w:rsid w:val="14745418"/>
    <w:rsid w:val="149179C5"/>
    <w:rsid w:val="14C317E4"/>
    <w:rsid w:val="14D82F34"/>
    <w:rsid w:val="14E40B7B"/>
    <w:rsid w:val="14E63C03"/>
    <w:rsid w:val="151C3593"/>
    <w:rsid w:val="153273C0"/>
    <w:rsid w:val="153F08BC"/>
    <w:rsid w:val="15420764"/>
    <w:rsid w:val="15666031"/>
    <w:rsid w:val="15726C7D"/>
    <w:rsid w:val="159409CD"/>
    <w:rsid w:val="15A86FC8"/>
    <w:rsid w:val="15D359FB"/>
    <w:rsid w:val="15EE6C53"/>
    <w:rsid w:val="161D0D4D"/>
    <w:rsid w:val="1646122F"/>
    <w:rsid w:val="165078DF"/>
    <w:rsid w:val="16711F5D"/>
    <w:rsid w:val="16854065"/>
    <w:rsid w:val="16980660"/>
    <w:rsid w:val="16C11453"/>
    <w:rsid w:val="17172B76"/>
    <w:rsid w:val="171D3C7B"/>
    <w:rsid w:val="17441B86"/>
    <w:rsid w:val="17533E71"/>
    <w:rsid w:val="1755405F"/>
    <w:rsid w:val="17571652"/>
    <w:rsid w:val="178568BF"/>
    <w:rsid w:val="17871072"/>
    <w:rsid w:val="17B747DF"/>
    <w:rsid w:val="17C074BE"/>
    <w:rsid w:val="17C827A8"/>
    <w:rsid w:val="17D86017"/>
    <w:rsid w:val="181773CF"/>
    <w:rsid w:val="18292B8C"/>
    <w:rsid w:val="182D2C9B"/>
    <w:rsid w:val="183852A1"/>
    <w:rsid w:val="185114D2"/>
    <w:rsid w:val="186C162A"/>
    <w:rsid w:val="1870673C"/>
    <w:rsid w:val="189064AF"/>
    <w:rsid w:val="189C2D23"/>
    <w:rsid w:val="18AA598C"/>
    <w:rsid w:val="18C35646"/>
    <w:rsid w:val="18E27634"/>
    <w:rsid w:val="18FA6EFB"/>
    <w:rsid w:val="190439A7"/>
    <w:rsid w:val="191749F9"/>
    <w:rsid w:val="191943C1"/>
    <w:rsid w:val="192756C4"/>
    <w:rsid w:val="192F49F6"/>
    <w:rsid w:val="19573AE3"/>
    <w:rsid w:val="19635FA1"/>
    <w:rsid w:val="19785C77"/>
    <w:rsid w:val="19AA246C"/>
    <w:rsid w:val="19B0285A"/>
    <w:rsid w:val="19B22B15"/>
    <w:rsid w:val="19B809AC"/>
    <w:rsid w:val="19C71EB2"/>
    <w:rsid w:val="19C80D00"/>
    <w:rsid w:val="19CC3EC2"/>
    <w:rsid w:val="19CD031B"/>
    <w:rsid w:val="19D22E6B"/>
    <w:rsid w:val="19D715CC"/>
    <w:rsid w:val="19EB5311"/>
    <w:rsid w:val="19F555E0"/>
    <w:rsid w:val="1A0A3ECD"/>
    <w:rsid w:val="1A252449"/>
    <w:rsid w:val="1A4240A2"/>
    <w:rsid w:val="1A517915"/>
    <w:rsid w:val="1A714D9C"/>
    <w:rsid w:val="1A7A1336"/>
    <w:rsid w:val="1A7D76C1"/>
    <w:rsid w:val="1A815413"/>
    <w:rsid w:val="1A9A1135"/>
    <w:rsid w:val="1A9F11EA"/>
    <w:rsid w:val="1AC06D2E"/>
    <w:rsid w:val="1AEF31EC"/>
    <w:rsid w:val="1AF52D2C"/>
    <w:rsid w:val="1B5167EA"/>
    <w:rsid w:val="1B6508D3"/>
    <w:rsid w:val="1B702AAC"/>
    <w:rsid w:val="1B7E3250"/>
    <w:rsid w:val="1B932D65"/>
    <w:rsid w:val="1BA20997"/>
    <w:rsid w:val="1BB1399F"/>
    <w:rsid w:val="1BEF7540"/>
    <w:rsid w:val="1BF31FD4"/>
    <w:rsid w:val="1C002AED"/>
    <w:rsid w:val="1C0866C7"/>
    <w:rsid w:val="1C393096"/>
    <w:rsid w:val="1C447B31"/>
    <w:rsid w:val="1C527D1A"/>
    <w:rsid w:val="1C6260C4"/>
    <w:rsid w:val="1C671E73"/>
    <w:rsid w:val="1C700170"/>
    <w:rsid w:val="1C76321E"/>
    <w:rsid w:val="1C85513B"/>
    <w:rsid w:val="1C99328A"/>
    <w:rsid w:val="1CA15DED"/>
    <w:rsid w:val="1CC421C0"/>
    <w:rsid w:val="1CCB1A1A"/>
    <w:rsid w:val="1CE46D07"/>
    <w:rsid w:val="1D052914"/>
    <w:rsid w:val="1D166897"/>
    <w:rsid w:val="1D1F70C6"/>
    <w:rsid w:val="1D2A0E57"/>
    <w:rsid w:val="1D2C2293"/>
    <w:rsid w:val="1D474887"/>
    <w:rsid w:val="1D530731"/>
    <w:rsid w:val="1D672D68"/>
    <w:rsid w:val="1D690134"/>
    <w:rsid w:val="1D7A5B76"/>
    <w:rsid w:val="1D9D235A"/>
    <w:rsid w:val="1DA02EDE"/>
    <w:rsid w:val="1DD47969"/>
    <w:rsid w:val="1DF96C22"/>
    <w:rsid w:val="1DFB702A"/>
    <w:rsid w:val="1E012DFA"/>
    <w:rsid w:val="1E0E4DE9"/>
    <w:rsid w:val="1E1354F6"/>
    <w:rsid w:val="1E155B12"/>
    <w:rsid w:val="1E192697"/>
    <w:rsid w:val="1E311FA6"/>
    <w:rsid w:val="1E352273"/>
    <w:rsid w:val="1E500F81"/>
    <w:rsid w:val="1E500FA7"/>
    <w:rsid w:val="1E5102D3"/>
    <w:rsid w:val="1EA45FA3"/>
    <w:rsid w:val="1EBD3221"/>
    <w:rsid w:val="1EC225F0"/>
    <w:rsid w:val="1ED32013"/>
    <w:rsid w:val="1ED5535D"/>
    <w:rsid w:val="1EEF2518"/>
    <w:rsid w:val="1EFE2655"/>
    <w:rsid w:val="1F0F6123"/>
    <w:rsid w:val="1F2807C7"/>
    <w:rsid w:val="1F3D7C64"/>
    <w:rsid w:val="1F5F5849"/>
    <w:rsid w:val="1F673EDB"/>
    <w:rsid w:val="1F7C5D2C"/>
    <w:rsid w:val="1F8A0974"/>
    <w:rsid w:val="1F8F19E2"/>
    <w:rsid w:val="1FB5340A"/>
    <w:rsid w:val="1FCF27D3"/>
    <w:rsid w:val="1FE75217"/>
    <w:rsid w:val="1FF74587"/>
    <w:rsid w:val="1FFF7B9E"/>
    <w:rsid w:val="20201297"/>
    <w:rsid w:val="202B5541"/>
    <w:rsid w:val="205D4388"/>
    <w:rsid w:val="20706339"/>
    <w:rsid w:val="20724CF4"/>
    <w:rsid w:val="208B2F12"/>
    <w:rsid w:val="209A4D61"/>
    <w:rsid w:val="20A82447"/>
    <w:rsid w:val="20DD621E"/>
    <w:rsid w:val="21092658"/>
    <w:rsid w:val="213D687C"/>
    <w:rsid w:val="21485787"/>
    <w:rsid w:val="21CC2CF6"/>
    <w:rsid w:val="21D02A2F"/>
    <w:rsid w:val="21D951B1"/>
    <w:rsid w:val="21E85270"/>
    <w:rsid w:val="21EA338C"/>
    <w:rsid w:val="21ED6AF1"/>
    <w:rsid w:val="21F3393C"/>
    <w:rsid w:val="21FE2CCF"/>
    <w:rsid w:val="220D4683"/>
    <w:rsid w:val="22242091"/>
    <w:rsid w:val="222B68E3"/>
    <w:rsid w:val="223E6E04"/>
    <w:rsid w:val="224B06F9"/>
    <w:rsid w:val="22562BE5"/>
    <w:rsid w:val="226B7361"/>
    <w:rsid w:val="228871D9"/>
    <w:rsid w:val="228F07AD"/>
    <w:rsid w:val="22B54BA3"/>
    <w:rsid w:val="22D831B3"/>
    <w:rsid w:val="22E96B9F"/>
    <w:rsid w:val="230A08DC"/>
    <w:rsid w:val="233A02D4"/>
    <w:rsid w:val="234A08EB"/>
    <w:rsid w:val="239E185C"/>
    <w:rsid w:val="23BB42CE"/>
    <w:rsid w:val="23D83849"/>
    <w:rsid w:val="24007F09"/>
    <w:rsid w:val="240901EE"/>
    <w:rsid w:val="24376FD3"/>
    <w:rsid w:val="24543F2A"/>
    <w:rsid w:val="245F1F98"/>
    <w:rsid w:val="246D2EB4"/>
    <w:rsid w:val="24706BD4"/>
    <w:rsid w:val="247C0E8F"/>
    <w:rsid w:val="248550A0"/>
    <w:rsid w:val="24AE2BBB"/>
    <w:rsid w:val="24D230BA"/>
    <w:rsid w:val="24F857CD"/>
    <w:rsid w:val="24FE0EB9"/>
    <w:rsid w:val="24FE5E6C"/>
    <w:rsid w:val="250C3F67"/>
    <w:rsid w:val="252C7C90"/>
    <w:rsid w:val="2561092F"/>
    <w:rsid w:val="258A189D"/>
    <w:rsid w:val="259B6680"/>
    <w:rsid w:val="25A70452"/>
    <w:rsid w:val="25DA61DA"/>
    <w:rsid w:val="25E94DDA"/>
    <w:rsid w:val="25ED165F"/>
    <w:rsid w:val="25ED70CE"/>
    <w:rsid w:val="260142F7"/>
    <w:rsid w:val="26487C2A"/>
    <w:rsid w:val="26567D2D"/>
    <w:rsid w:val="26670DEE"/>
    <w:rsid w:val="26704C22"/>
    <w:rsid w:val="267E24C8"/>
    <w:rsid w:val="26B91E2B"/>
    <w:rsid w:val="26CD2BBB"/>
    <w:rsid w:val="26E35699"/>
    <w:rsid w:val="26FE39DF"/>
    <w:rsid w:val="270C3ADF"/>
    <w:rsid w:val="27186CD8"/>
    <w:rsid w:val="2764516C"/>
    <w:rsid w:val="2765540C"/>
    <w:rsid w:val="27676ADF"/>
    <w:rsid w:val="27807E14"/>
    <w:rsid w:val="27863236"/>
    <w:rsid w:val="279A3647"/>
    <w:rsid w:val="27CB21C1"/>
    <w:rsid w:val="27E233E4"/>
    <w:rsid w:val="28165136"/>
    <w:rsid w:val="28200627"/>
    <w:rsid w:val="282D2636"/>
    <w:rsid w:val="285462C1"/>
    <w:rsid w:val="285715AC"/>
    <w:rsid w:val="287A2501"/>
    <w:rsid w:val="287E7F19"/>
    <w:rsid w:val="28AC25AC"/>
    <w:rsid w:val="28D906AF"/>
    <w:rsid w:val="28EC2D77"/>
    <w:rsid w:val="28EF5A1A"/>
    <w:rsid w:val="290370B7"/>
    <w:rsid w:val="291A213C"/>
    <w:rsid w:val="292517E6"/>
    <w:rsid w:val="292B18F7"/>
    <w:rsid w:val="293E4D02"/>
    <w:rsid w:val="295305F2"/>
    <w:rsid w:val="2993796D"/>
    <w:rsid w:val="29B052B2"/>
    <w:rsid w:val="29B10F73"/>
    <w:rsid w:val="29B406F5"/>
    <w:rsid w:val="29C53E57"/>
    <w:rsid w:val="29DD6210"/>
    <w:rsid w:val="29E0702F"/>
    <w:rsid w:val="29E2612B"/>
    <w:rsid w:val="29F23D3B"/>
    <w:rsid w:val="2A082B1E"/>
    <w:rsid w:val="2A170A28"/>
    <w:rsid w:val="2A176120"/>
    <w:rsid w:val="2A2D7332"/>
    <w:rsid w:val="2A634ED2"/>
    <w:rsid w:val="2A777ED0"/>
    <w:rsid w:val="2A7E0BAD"/>
    <w:rsid w:val="2A84498A"/>
    <w:rsid w:val="2A9257AB"/>
    <w:rsid w:val="2ABB4F90"/>
    <w:rsid w:val="2AC55722"/>
    <w:rsid w:val="2ACF5635"/>
    <w:rsid w:val="2AD03F66"/>
    <w:rsid w:val="2ADA3EE3"/>
    <w:rsid w:val="2AF72491"/>
    <w:rsid w:val="2B131323"/>
    <w:rsid w:val="2B56224C"/>
    <w:rsid w:val="2B6455B2"/>
    <w:rsid w:val="2B683C18"/>
    <w:rsid w:val="2B6E35A3"/>
    <w:rsid w:val="2B9D67A2"/>
    <w:rsid w:val="2BD4113F"/>
    <w:rsid w:val="2BD81D04"/>
    <w:rsid w:val="2BEB67FB"/>
    <w:rsid w:val="2BF66CA5"/>
    <w:rsid w:val="2BFA3EAF"/>
    <w:rsid w:val="2BFD4C6A"/>
    <w:rsid w:val="2C105859"/>
    <w:rsid w:val="2C142ECB"/>
    <w:rsid w:val="2C181F2F"/>
    <w:rsid w:val="2C3330DA"/>
    <w:rsid w:val="2C3B3071"/>
    <w:rsid w:val="2C3D641B"/>
    <w:rsid w:val="2C4455F8"/>
    <w:rsid w:val="2C71150D"/>
    <w:rsid w:val="2C8C16DD"/>
    <w:rsid w:val="2CBA107C"/>
    <w:rsid w:val="2CBC02AD"/>
    <w:rsid w:val="2D076146"/>
    <w:rsid w:val="2D12369D"/>
    <w:rsid w:val="2D3D672B"/>
    <w:rsid w:val="2D4A24E3"/>
    <w:rsid w:val="2D572183"/>
    <w:rsid w:val="2DB639D8"/>
    <w:rsid w:val="2DC04934"/>
    <w:rsid w:val="2DFE6962"/>
    <w:rsid w:val="2E3F2977"/>
    <w:rsid w:val="2E3F509A"/>
    <w:rsid w:val="2E9B79C2"/>
    <w:rsid w:val="2EAF0800"/>
    <w:rsid w:val="2EB21BD7"/>
    <w:rsid w:val="2EF1224B"/>
    <w:rsid w:val="2EF72721"/>
    <w:rsid w:val="2F1B0FC3"/>
    <w:rsid w:val="2F1C43A3"/>
    <w:rsid w:val="2F2F4123"/>
    <w:rsid w:val="2F573E95"/>
    <w:rsid w:val="2F5B38F4"/>
    <w:rsid w:val="2F5B4D63"/>
    <w:rsid w:val="2F907718"/>
    <w:rsid w:val="2FA274EB"/>
    <w:rsid w:val="2FA37991"/>
    <w:rsid w:val="2FB35DAB"/>
    <w:rsid w:val="2FC20AA3"/>
    <w:rsid w:val="2FC84196"/>
    <w:rsid w:val="2FDE0264"/>
    <w:rsid w:val="2FEA0E48"/>
    <w:rsid w:val="2FF860D6"/>
    <w:rsid w:val="2FFB3270"/>
    <w:rsid w:val="301724D5"/>
    <w:rsid w:val="30362AD4"/>
    <w:rsid w:val="305D0058"/>
    <w:rsid w:val="30662EDD"/>
    <w:rsid w:val="30765950"/>
    <w:rsid w:val="30813D6D"/>
    <w:rsid w:val="308F5F34"/>
    <w:rsid w:val="30B96720"/>
    <w:rsid w:val="30C066F9"/>
    <w:rsid w:val="30D31A99"/>
    <w:rsid w:val="30E83DEC"/>
    <w:rsid w:val="30FE28D5"/>
    <w:rsid w:val="31692E9C"/>
    <w:rsid w:val="31980805"/>
    <w:rsid w:val="31AD7863"/>
    <w:rsid w:val="31C61600"/>
    <w:rsid w:val="31C74E6E"/>
    <w:rsid w:val="31DB2768"/>
    <w:rsid w:val="31E24F45"/>
    <w:rsid w:val="3201089A"/>
    <w:rsid w:val="320152D1"/>
    <w:rsid w:val="326C7649"/>
    <w:rsid w:val="32755178"/>
    <w:rsid w:val="327C2DF3"/>
    <w:rsid w:val="328050D9"/>
    <w:rsid w:val="32826EA5"/>
    <w:rsid w:val="32896340"/>
    <w:rsid w:val="32B11423"/>
    <w:rsid w:val="32BA320D"/>
    <w:rsid w:val="32CD3A92"/>
    <w:rsid w:val="32ED5CBE"/>
    <w:rsid w:val="330275C8"/>
    <w:rsid w:val="330278DE"/>
    <w:rsid w:val="33045E4C"/>
    <w:rsid w:val="330D17EB"/>
    <w:rsid w:val="331239E4"/>
    <w:rsid w:val="332C4D44"/>
    <w:rsid w:val="3337615B"/>
    <w:rsid w:val="333E7F23"/>
    <w:rsid w:val="33634822"/>
    <w:rsid w:val="336D1E40"/>
    <w:rsid w:val="337D6A70"/>
    <w:rsid w:val="338466A2"/>
    <w:rsid w:val="338B534D"/>
    <w:rsid w:val="338F4BD6"/>
    <w:rsid w:val="33970ABB"/>
    <w:rsid w:val="33A22648"/>
    <w:rsid w:val="33C268F0"/>
    <w:rsid w:val="33CB2D35"/>
    <w:rsid w:val="33D75E11"/>
    <w:rsid w:val="33E6152A"/>
    <w:rsid w:val="33E81CBB"/>
    <w:rsid w:val="33F546EB"/>
    <w:rsid w:val="341568C6"/>
    <w:rsid w:val="34175E35"/>
    <w:rsid w:val="34740673"/>
    <w:rsid w:val="34763CF4"/>
    <w:rsid w:val="34B1718E"/>
    <w:rsid w:val="34CE2BA2"/>
    <w:rsid w:val="34D02376"/>
    <w:rsid w:val="34DA088D"/>
    <w:rsid w:val="34E45FB4"/>
    <w:rsid w:val="34E56153"/>
    <w:rsid w:val="35126200"/>
    <w:rsid w:val="351D1CA6"/>
    <w:rsid w:val="3560600A"/>
    <w:rsid w:val="356D68BC"/>
    <w:rsid w:val="35767923"/>
    <w:rsid w:val="357F2635"/>
    <w:rsid w:val="35814E81"/>
    <w:rsid w:val="35886226"/>
    <w:rsid w:val="35B4275F"/>
    <w:rsid w:val="35C07983"/>
    <w:rsid w:val="35C13F2C"/>
    <w:rsid w:val="35D03CB4"/>
    <w:rsid w:val="35D85EAB"/>
    <w:rsid w:val="35DD211F"/>
    <w:rsid w:val="35DD6D18"/>
    <w:rsid w:val="36156DD4"/>
    <w:rsid w:val="363F5D3A"/>
    <w:rsid w:val="36410F8F"/>
    <w:rsid w:val="36481D49"/>
    <w:rsid w:val="364E1A21"/>
    <w:rsid w:val="3652020A"/>
    <w:rsid w:val="366E0FE1"/>
    <w:rsid w:val="366E667B"/>
    <w:rsid w:val="36724DF8"/>
    <w:rsid w:val="36947ABB"/>
    <w:rsid w:val="369E270D"/>
    <w:rsid w:val="36A3086B"/>
    <w:rsid w:val="36B45BEF"/>
    <w:rsid w:val="36B64F62"/>
    <w:rsid w:val="36D64C90"/>
    <w:rsid w:val="36DB1F65"/>
    <w:rsid w:val="370A0F92"/>
    <w:rsid w:val="37254624"/>
    <w:rsid w:val="37444761"/>
    <w:rsid w:val="37493A58"/>
    <w:rsid w:val="37523CA6"/>
    <w:rsid w:val="3761375F"/>
    <w:rsid w:val="3769129F"/>
    <w:rsid w:val="377471DF"/>
    <w:rsid w:val="377B51FE"/>
    <w:rsid w:val="379A1D27"/>
    <w:rsid w:val="37A673FC"/>
    <w:rsid w:val="37AC3BA0"/>
    <w:rsid w:val="37B45555"/>
    <w:rsid w:val="37CB2373"/>
    <w:rsid w:val="37F42269"/>
    <w:rsid w:val="38045BB3"/>
    <w:rsid w:val="38485B55"/>
    <w:rsid w:val="384C6B8C"/>
    <w:rsid w:val="38660FFD"/>
    <w:rsid w:val="386A3759"/>
    <w:rsid w:val="386B3DD6"/>
    <w:rsid w:val="38A701B5"/>
    <w:rsid w:val="38A820CB"/>
    <w:rsid w:val="38B02F0C"/>
    <w:rsid w:val="38BC0F1A"/>
    <w:rsid w:val="38C370A9"/>
    <w:rsid w:val="38CE7C9F"/>
    <w:rsid w:val="38DC70A0"/>
    <w:rsid w:val="38DE4E5A"/>
    <w:rsid w:val="39161424"/>
    <w:rsid w:val="393C7CD0"/>
    <w:rsid w:val="393D2C3E"/>
    <w:rsid w:val="395F2B56"/>
    <w:rsid w:val="398D6D20"/>
    <w:rsid w:val="39BB3873"/>
    <w:rsid w:val="39C6297B"/>
    <w:rsid w:val="39CC7255"/>
    <w:rsid w:val="39DD5EA2"/>
    <w:rsid w:val="39EC3E66"/>
    <w:rsid w:val="3A05754D"/>
    <w:rsid w:val="3A497820"/>
    <w:rsid w:val="3A6D6089"/>
    <w:rsid w:val="3A7C0D90"/>
    <w:rsid w:val="3A884AD5"/>
    <w:rsid w:val="3AD820A7"/>
    <w:rsid w:val="3AFC6BDC"/>
    <w:rsid w:val="3B3C08C6"/>
    <w:rsid w:val="3B3F3968"/>
    <w:rsid w:val="3B441AF3"/>
    <w:rsid w:val="3B786849"/>
    <w:rsid w:val="3B812234"/>
    <w:rsid w:val="3B84319F"/>
    <w:rsid w:val="3B947C73"/>
    <w:rsid w:val="3BA275C1"/>
    <w:rsid w:val="3BA7313D"/>
    <w:rsid w:val="3BAC74CA"/>
    <w:rsid w:val="3BBE39B2"/>
    <w:rsid w:val="3BCE5CF8"/>
    <w:rsid w:val="3BDF4EE6"/>
    <w:rsid w:val="3BEC5ECF"/>
    <w:rsid w:val="3BECE841"/>
    <w:rsid w:val="3BED2D1D"/>
    <w:rsid w:val="3C05029E"/>
    <w:rsid w:val="3C094AB2"/>
    <w:rsid w:val="3C676804"/>
    <w:rsid w:val="3C707AF4"/>
    <w:rsid w:val="3C892837"/>
    <w:rsid w:val="3CDB3549"/>
    <w:rsid w:val="3CDE204C"/>
    <w:rsid w:val="3CE22EED"/>
    <w:rsid w:val="3CF967F4"/>
    <w:rsid w:val="3D281C3C"/>
    <w:rsid w:val="3D370D79"/>
    <w:rsid w:val="3D37447C"/>
    <w:rsid w:val="3D3E5352"/>
    <w:rsid w:val="3D440178"/>
    <w:rsid w:val="3D4839B8"/>
    <w:rsid w:val="3D677472"/>
    <w:rsid w:val="3D6A4844"/>
    <w:rsid w:val="3D9D7630"/>
    <w:rsid w:val="3DA70BE4"/>
    <w:rsid w:val="3DC165AF"/>
    <w:rsid w:val="3DCB37BF"/>
    <w:rsid w:val="3DD65FF0"/>
    <w:rsid w:val="3DDC294F"/>
    <w:rsid w:val="3DE01FF8"/>
    <w:rsid w:val="3E1B30C7"/>
    <w:rsid w:val="3E657D05"/>
    <w:rsid w:val="3E6926D7"/>
    <w:rsid w:val="3E745183"/>
    <w:rsid w:val="3E8B5DC1"/>
    <w:rsid w:val="3E8C2400"/>
    <w:rsid w:val="3EAC04AF"/>
    <w:rsid w:val="3EC255E1"/>
    <w:rsid w:val="3EFA0C4B"/>
    <w:rsid w:val="3F0170AF"/>
    <w:rsid w:val="3F0B1AC9"/>
    <w:rsid w:val="3F0D4035"/>
    <w:rsid w:val="3F123CA6"/>
    <w:rsid w:val="3F166BCF"/>
    <w:rsid w:val="3F326741"/>
    <w:rsid w:val="3F451C57"/>
    <w:rsid w:val="3F4D6363"/>
    <w:rsid w:val="3F7819DB"/>
    <w:rsid w:val="3FB216ED"/>
    <w:rsid w:val="3FCC660B"/>
    <w:rsid w:val="3FDE5724"/>
    <w:rsid w:val="3FF7797D"/>
    <w:rsid w:val="402F2EA2"/>
    <w:rsid w:val="403951B1"/>
    <w:rsid w:val="404400B4"/>
    <w:rsid w:val="4044740D"/>
    <w:rsid w:val="40474044"/>
    <w:rsid w:val="405F1CAB"/>
    <w:rsid w:val="4076482B"/>
    <w:rsid w:val="408A6196"/>
    <w:rsid w:val="40BA2B88"/>
    <w:rsid w:val="40C94A91"/>
    <w:rsid w:val="40CB01E6"/>
    <w:rsid w:val="40D074E6"/>
    <w:rsid w:val="40D44721"/>
    <w:rsid w:val="40FA1820"/>
    <w:rsid w:val="4100607E"/>
    <w:rsid w:val="410232AB"/>
    <w:rsid w:val="410F691E"/>
    <w:rsid w:val="41465799"/>
    <w:rsid w:val="415D232B"/>
    <w:rsid w:val="415D3E87"/>
    <w:rsid w:val="416811BC"/>
    <w:rsid w:val="41883735"/>
    <w:rsid w:val="41906FC7"/>
    <w:rsid w:val="419D3DDB"/>
    <w:rsid w:val="41A325BD"/>
    <w:rsid w:val="41CB3AF9"/>
    <w:rsid w:val="41D65B8F"/>
    <w:rsid w:val="41EA1C59"/>
    <w:rsid w:val="42091210"/>
    <w:rsid w:val="420A6D1E"/>
    <w:rsid w:val="422916DF"/>
    <w:rsid w:val="424F0B1E"/>
    <w:rsid w:val="42676860"/>
    <w:rsid w:val="427658CC"/>
    <w:rsid w:val="42786C54"/>
    <w:rsid w:val="4284139E"/>
    <w:rsid w:val="42BB24E2"/>
    <w:rsid w:val="42C479AC"/>
    <w:rsid w:val="42D26DE4"/>
    <w:rsid w:val="42DC4D77"/>
    <w:rsid w:val="4310444F"/>
    <w:rsid w:val="43232040"/>
    <w:rsid w:val="43307F1A"/>
    <w:rsid w:val="435C6256"/>
    <w:rsid w:val="43607D63"/>
    <w:rsid w:val="436815E1"/>
    <w:rsid w:val="43847ED2"/>
    <w:rsid w:val="43AB4443"/>
    <w:rsid w:val="43B86090"/>
    <w:rsid w:val="43DF1775"/>
    <w:rsid w:val="43E36BB7"/>
    <w:rsid w:val="44051254"/>
    <w:rsid w:val="44263199"/>
    <w:rsid w:val="442A26FF"/>
    <w:rsid w:val="442F4AFC"/>
    <w:rsid w:val="443E0943"/>
    <w:rsid w:val="444E3367"/>
    <w:rsid w:val="44540484"/>
    <w:rsid w:val="446668E7"/>
    <w:rsid w:val="446B0F8B"/>
    <w:rsid w:val="44C263CC"/>
    <w:rsid w:val="44CD0B6C"/>
    <w:rsid w:val="45024302"/>
    <w:rsid w:val="45032B65"/>
    <w:rsid w:val="451E53C5"/>
    <w:rsid w:val="451F3ECA"/>
    <w:rsid w:val="452008BC"/>
    <w:rsid w:val="4544066F"/>
    <w:rsid w:val="45455C83"/>
    <w:rsid w:val="454E4411"/>
    <w:rsid w:val="45557FB5"/>
    <w:rsid w:val="458C1963"/>
    <w:rsid w:val="458E7D4E"/>
    <w:rsid w:val="459147C8"/>
    <w:rsid w:val="45A23AC0"/>
    <w:rsid w:val="45C41610"/>
    <w:rsid w:val="45CE3718"/>
    <w:rsid w:val="45E77767"/>
    <w:rsid w:val="45F67DA4"/>
    <w:rsid w:val="460B5576"/>
    <w:rsid w:val="46192C3E"/>
    <w:rsid w:val="46394A52"/>
    <w:rsid w:val="46474647"/>
    <w:rsid w:val="46564D3D"/>
    <w:rsid w:val="46617B04"/>
    <w:rsid w:val="46762A68"/>
    <w:rsid w:val="467907AE"/>
    <w:rsid w:val="467B7A88"/>
    <w:rsid w:val="469F26B4"/>
    <w:rsid w:val="46B93F88"/>
    <w:rsid w:val="46C458E3"/>
    <w:rsid w:val="46DA3706"/>
    <w:rsid w:val="46E1339A"/>
    <w:rsid w:val="46E63FF4"/>
    <w:rsid w:val="471667F8"/>
    <w:rsid w:val="472C498D"/>
    <w:rsid w:val="473E0ADE"/>
    <w:rsid w:val="474147C4"/>
    <w:rsid w:val="47426ECC"/>
    <w:rsid w:val="474F6F7E"/>
    <w:rsid w:val="475B1539"/>
    <w:rsid w:val="47B308D3"/>
    <w:rsid w:val="47EA0EEB"/>
    <w:rsid w:val="480F7B1E"/>
    <w:rsid w:val="485625CB"/>
    <w:rsid w:val="48857E2B"/>
    <w:rsid w:val="488C16D7"/>
    <w:rsid w:val="48C10BF9"/>
    <w:rsid w:val="48C27F5F"/>
    <w:rsid w:val="48E34A60"/>
    <w:rsid w:val="48FD62B9"/>
    <w:rsid w:val="49152094"/>
    <w:rsid w:val="49364112"/>
    <w:rsid w:val="49992718"/>
    <w:rsid w:val="49AF77D0"/>
    <w:rsid w:val="49B261FF"/>
    <w:rsid w:val="49B42808"/>
    <w:rsid w:val="49C8779E"/>
    <w:rsid w:val="49E66C96"/>
    <w:rsid w:val="49EE5E87"/>
    <w:rsid w:val="4A073A1F"/>
    <w:rsid w:val="4A084A7A"/>
    <w:rsid w:val="4A49278A"/>
    <w:rsid w:val="4A4B2C2D"/>
    <w:rsid w:val="4A5B201C"/>
    <w:rsid w:val="4A5C3E2C"/>
    <w:rsid w:val="4A7F6FAF"/>
    <w:rsid w:val="4A8156C3"/>
    <w:rsid w:val="4A9519FB"/>
    <w:rsid w:val="4A9751B5"/>
    <w:rsid w:val="4A996725"/>
    <w:rsid w:val="4AA87C9D"/>
    <w:rsid w:val="4AAE3C50"/>
    <w:rsid w:val="4AB22FA9"/>
    <w:rsid w:val="4ABB46FA"/>
    <w:rsid w:val="4ACB5E7F"/>
    <w:rsid w:val="4AE02CAA"/>
    <w:rsid w:val="4B353D75"/>
    <w:rsid w:val="4B3D385B"/>
    <w:rsid w:val="4B412E12"/>
    <w:rsid w:val="4B50152B"/>
    <w:rsid w:val="4B611802"/>
    <w:rsid w:val="4B965349"/>
    <w:rsid w:val="4BA75595"/>
    <w:rsid w:val="4BD02DF1"/>
    <w:rsid w:val="4BEB6533"/>
    <w:rsid w:val="4BF61D79"/>
    <w:rsid w:val="4BFE08A7"/>
    <w:rsid w:val="4C2A1651"/>
    <w:rsid w:val="4C3971A2"/>
    <w:rsid w:val="4C58551E"/>
    <w:rsid w:val="4C6D67D6"/>
    <w:rsid w:val="4C881B3B"/>
    <w:rsid w:val="4C881C50"/>
    <w:rsid w:val="4CC54E82"/>
    <w:rsid w:val="4D2A4AF0"/>
    <w:rsid w:val="4D582174"/>
    <w:rsid w:val="4D66178B"/>
    <w:rsid w:val="4D6A44E9"/>
    <w:rsid w:val="4D774F08"/>
    <w:rsid w:val="4D8D485E"/>
    <w:rsid w:val="4D944C65"/>
    <w:rsid w:val="4D962A69"/>
    <w:rsid w:val="4D9945C6"/>
    <w:rsid w:val="4DA107A8"/>
    <w:rsid w:val="4DAF5E54"/>
    <w:rsid w:val="4DDF5C24"/>
    <w:rsid w:val="4DE255F3"/>
    <w:rsid w:val="4DE828D0"/>
    <w:rsid w:val="4DEA0BFB"/>
    <w:rsid w:val="4E121673"/>
    <w:rsid w:val="4E186956"/>
    <w:rsid w:val="4E46269E"/>
    <w:rsid w:val="4E6810CF"/>
    <w:rsid w:val="4E8C739C"/>
    <w:rsid w:val="4E96288D"/>
    <w:rsid w:val="4EA179A4"/>
    <w:rsid w:val="4EC368FC"/>
    <w:rsid w:val="4EC54B5C"/>
    <w:rsid w:val="4ECF1B16"/>
    <w:rsid w:val="4ECF240F"/>
    <w:rsid w:val="4EE42C61"/>
    <w:rsid w:val="4EEB7D1E"/>
    <w:rsid w:val="4EF14BFA"/>
    <w:rsid w:val="4F19121D"/>
    <w:rsid w:val="4F1B0F23"/>
    <w:rsid w:val="4F3D5053"/>
    <w:rsid w:val="4F445A90"/>
    <w:rsid w:val="4FC97B9B"/>
    <w:rsid w:val="4FCC320A"/>
    <w:rsid w:val="4FF21AF7"/>
    <w:rsid w:val="501739A5"/>
    <w:rsid w:val="501E3786"/>
    <w:rsid w:val="503D16AF"/>
    <w:rsid w:val="50593936"/>
    <w:rsid w:val="50602972"/>
    <w:rsid w:val="506F321C"/>
    <w:rsid w:val="509573D1"/>
    <w:rsid w:val="50AD1F4E"/>
    <w:rsid w:val="50C90E35"/>
    <w:rsid w:val="513C740D"/>
    <w:rsid w:val="516D3639"/>
    <w:rsid w:val="519953FD"/>
    <w:rsid w:val="51A03C2B"/>
    <w:rsid w:val="51A46A3E"/>
    <w:rsid w:val="51A550A9"/>
    <w:rsid w:val="51A93998"/>
    <w:rsid w:val="51C130F6"/>
    <w:rsid w:val="51C64725"/>
    <w:rsid w:val="52092CDF"/>
    <w:rsid w:val="52140B47"/>
    <w:rsid w:val="521776D6"/>
    <w:rsid w:val="52191FF5"/>
    <w:rsid w:val="5223726C"/>
    <w:rsid w:val="52330A63"/>
    <w:rsid w:val="52391FC9"/>
    <w:rsid w:val="52867DCD"/>
    <w:rsid w:val="529F1A9F"/>
    <w:rsid w:val="52B8342B"/>
    <w:rsid w:val="52CE6294"/>
    <w:rsid w:val="52D763DD"/>
    <w:rsid w:val="52EC2CB0"/>
    <w:rsid w:val="52F35A64"/>
    <w:rsid w:val="531473A1"/>
    <w:rsid w:val="5318071B"/>
    <w:rsid w:val="532E3263"/>
    <w:rsid w:val="533A2082"/>
    <w:rsid w:val="535B58A6"/>
    <w:rsid w:val="53644029"/>
    <w:rsid w:val="539A5738"/>
    <w:rsid w:val="53BD06CF"/>
    <w:rsid w:val="53F466C8"/>
    <w:rsid w:val="53FB3D58"/>
    <w:rsid w:val="540E394B"/>
    <w:rsid w:val="540F417D"/>
    <w:rsid w:val="54320387"/>
    <w:rsid w:val="544B61EF"/>
    <w:rsid w:val="54613A5A"/>
    <w:rsid w:val="54776D55"/>
    <w:rsid w:val="54822A57"/>
    <w:rsid w:val="548C229D"/>
    <w:rsid w:val="549129A6"/>
    <w:rsid w:val="54A908E6"/>
    <w:rsid w:val="54CA34F0"/>
    <w:rsid w:val="5517141D"/>
    <w:rsid w:val="55175D7F"/>
    <w:rsid w:val="551833FB"/>
    <w:rsid w:val="5546685C"/>
    <w:rsid w:val="55627DD4"/>
    <w:rsid w:val="55966EFE"/>
    <w:rsid w:val="55AA5397"/>
    <w:rsid w:val="55BC10AB"/>
    <w:rsid w:val="55BE4F80"/>
    <w:rsid w:val="55C555F8"/>
    <w:rsid w:val="55C61783"/>
    <w:rsid w:val="55E1698B"/>
    <w:rsid w:val="55ED6991"/>
    <w:rsid w:val="55EE38AC"/>
    <w:rsid w:val="55F564E7"/>
    <w:rsid w:val="55F61C40"/>
    <w:rsid w:val="561A50E7"/>
    <w:rsid w:val="56300AF7"/>
    <w:rsid w:val="563F467E"/>
    <w:rsid w:val="56534ACF"/>
    <w:rsid w:val="56693A53"/>
    <w:rsid w:val="567574C0"/>
    <w:rsid w:val="56A10FF8"/>
    <w:rsid w:val="56A612E3"/>
    <w:rsid w:val="56DA7AAE"/>
    <w:rsid w:val="56ED6251"/>
    <w:rsid w:val="56F11829"/>
    <w:rsid w:val="57230B7A"/>
    <w:rsid w:val="574F0348"/>
    <w:rsid w:val="57516779"/>
    <w:rsid w:val="578402C5"/>
    <w:rsid w:val="578602FA"/>
    <w:rsid w:val="57A84D39"/>
    <w:rsid w:val="57AC1D3E"/>
    <w:rsid w:val="57C166D8"/>
    <w:rsid w:val="57E864DA"/>
    <w:rsid w:val="57E8677F"/>
    <w:rsid w:val="57F05BE0"/>
    <w:rsid w:val="58144C1C"/>
    <w:rsid w:val="58335AF5"/>
    <w:rsid w:val="58737690"/>
    <w:rsid w:val="5877746C"/>
    <w:rsid w:val="58810585"/>
    <w:rsid w:val="58E33390"/>
    <w:rsid w:val="58F238F3"/>
    <w:rsid w:val="58FF67AC"/>
    <w:rsid w:val="59082F95"/>
    <w:rsid w:val="591B138B"/>
    <w:rsid w:val="59382716"/>
    <w:rsid w:val="59583173"/>
    <w:rsid w:val="59AE3D89"/>
    <w:rsid w:val="59B1492C"/>
    <w:rsid w:val="59CC3594"/>
    <w:rsid w:val="59D249B5"/>
    <w:rsid w:val="59DA1DA6"/>
    <w:rsid w:val="59F53A55"/>
    <w:rsid w:val="59FC03D8"/>
    <w:rsid w:val="5A30732F"/>
    <w:rsid w:val="5A384897"/>
    <w:rsid w:val="5A3F003F"/>
    <w:rsid w:val="5A45105D"/>
    <w:rsid w:val="5A4A1809"/>
    <w:rsid w:val="5A5A2053"/>
    <w:rsid w:val="5A5B7CA4"/>
    <w:rsid w:val="5A676CBF"/>
    <w:rsid w:val="5A873775"/>
    <w:rsid w:val="5AA903B8"/>
    <w:rsid w:val="5ACD3F78"/>
    <w:rsid w:val="5B186DB8"/>
    <w:rsid w:val="5B1F2BDA"/>
    <w:rsid w:val="5B2F13D1"/>
    <w:rsid w:val="5B5A0FA9"/>
    <w:rsid w:val="5B7D64E5"/>
    <w:rsid w:val="5B9409F4"/>
    <w:rsid w:val="5BA06608"/>
    <w:rsid w:val="5BAF612C"/>
    <w:rsid w:val="5BB76B19"/>
    <w:rsid w:val="5BBA2492"/>
    <w:rsid w:val="5BD61A38"/>
    <w:rsid w:val="5BE67501"/>
    <w:rsid w:val="5BEC33AA"/>
    <w:rsid w:val="5BFF6039"/>
    <w:rsid w:val="5C1212ED"/>
    <w:rsid w:val="5C2C2A4F"/>
    <w:rsid w:val="5C6716AE"/>
    <w:rsid w:val="5C6726F3"/>
    <w:rsid w:val="5C723385"/>
    <w:rsid w:val="5C861E69"/>
    <w:rsid w:val="5C983B27"/>
    <w:rsid w:val="5CA265C8"/>
    <w:rsid w:val="5CE656B9"/>
    <w:rsid w:val="5CF84F5A"/>
    <w:rsid w:val="5CFD710C"/>
    <w:rsid w:val="5D1F627A"/>
    <w:rsid w:val="5D257AA2"/>
    <w:rsid w:val="5D2C54F8"/>
    <w:rsid w:val="5D2D2BD4"/>
    <w:rsid w:val="5D38313E"/>
    <w:rsid w:val="5D51765B"/>
    <w:rsid w:val="5D567084"/>
    <w:rsid w:val="5D6D5ED0"/>
    <w:rsid w:val="5D76A616"/>
    <w:rsid w:val="5D7F20B9"/>
    <w:rsid w:val="5D875DC1"/>
    <w:rsid w:val="5DA2620B"/>
    <w:rsid w:val="5DAC7D0E"/>
    <w:rsid w:val="5DB9221D"/>
    <w:rsid w:val="5DBA44B9"/>
    <w:rsid w:val="5DD57A96"/>
    <w:rsid w:val="5DD63B26"/>
    <w:rsid w:val="5DE21DE3"/>
    <w:rsid w:val="5DF403B4"/>
    <w:rsid w:val="5DFB0861"/>
    <w:rsid w:val="5E0D3CE1"/>
    <w:rsid w:val="5E182195"/>
    <w:rsid w:val="5E384236"/>
    <w:rsid w:val="5E403B84"/>
    <w:rsid w:val="5E5A3C8B"/>
    <w:rsid w:val="5E666136"/>
    <w:rsid w:val="5E68237D"/>
    <w:rsid w:val="5E723BEF"/>
    <w:rsid w:val="5E743EFD"/>
    <w:rsid w:val="5E892E56"/>
    <w:rsid w:val="5EBA2AD4"/>
    <w:rsid w:val="5ECC3907"/>
    <w:rsid w:val="5EE35990"/>
    <w:rsid w:val="5EEA7537"/>
    <w:rsid w:val="5F04267E"/>
    <w:rsid w:val="5F201BAC"/>
    <w:rsid w:val="5F380329"/>
    <w:rsid w:val="5F567814"/>
    <w:rsid w:val="5F9E2E2A"/>
    <w:rsid w:val="5FB93739"/>
    <w:rsid w:val="5FC1218A"/>
    <w:rsid w:val="5FC56553"/>
    <w:rsid w:val="5FFE8511"/>
    <w:rsid w:val="5FFEACE2"/>
    <w:rsid w:val="60143F98"/>
    <w:rsid w:val="601E494F"/>
    <w:rsid w:val="60306F84"/>
    <w:rsid w:val="603E76C7"/>
    <w:rsid w:val="605F6BD5"/>
    <w:rsid w:val="6063563C"/>
    <w:rsid w:val="607828B2"/>
    <w:rsid w:val="607914B0"/>
    <w:rsid w:val="608A3101"/>
    <w:rsid w:val="609B5E19"/>
    <w:rsid w:val="60AF2866"/>
    <w:rsid w:val="60C464A7"/>
    <w:rsid w:val="60F07CF6"/>
    <w:rsid w:val="60F13751"/>
    <w:rsid w:val="610535DD"/>
    <w:rsid w:val="613909D1"/>
    <w:rsid w:val="613969BF"/>
    <w:rsid w:val="614622F3"/>
    <w:rsid w:val="61480F32"/>
    <w:rsid w:val="61780969"/>
    <w:rsid w:val="61875452"/>
    <w:rsid w:val="618B2596"/>
    <w:rsid w:val="61906E4C"/>
    <w:rsid w:val="6196418B"/>
    <w:rsid w:val="619F04FB"/>
    <w:rsid w:val="61B60817"/>
    <w:rsid w:val="61C471B3"/>
    <w:rsid w:val="62035BC6"/>
    <w:rsid w:val="621D0679"/>
    <w:rsid w:val="623B25C2"/>
    <w:rsid w:val="626201F2"/>
    <w:rsid w:val="627206C7"/>
    <w:rsid w:val="62730585"/>
    <w:rsid w:val="62743E63"/>
    <w:rsid w:val="627552B8"/>
    <w:rsid w:val="627C4B42"/>
    <w:rsid w:val="628C18DF"/>
    <w:rsid w:val="62913503"/>
    <w:rsid w:val="62C350CE"/>
    <w:rsid w:val="62CB4C93"/>
    <w:rsid w:val="62D1301B"/>
    <w:rsid w:val="62E74F4B"/>
    <w:rsid w:val="62EA0D14"/>
    <w:rsid w:val="62EF6F8D"/>
    <w:rsid w:val="630229E9"/>
    <w:rsid w:val="631F7193"/>
    <w:rsid w:val="6371097D"/>
    <w:rsid w:val="63EE6B84"/>
    <w:rsid w:val="63EF1966"/>
    <w:rsid w:val="6410773D"/>
    <w:rsid w:val="643EE26D"/>
    <w:rsid w:val="644F6BCE"/>
    <w:rsid w:val="64625B42"/>
    <w:rsid w:val="64632F6D"/>
    <w:rsid w:val="646738A4"/>
    <w:rsid w:val="6474131E"/>
    <w:rsid w:val="648F2A0E"/>
    <w:rsid w:val="64985A3C"/>
    <w:rsid w:val="64B91173"/>
    <w:rsid w:val="64E24E1C"/>
    <w:rsid w:val="64FA04A1"/>
    <w:rsid w:val="651C7858"/>
    <w:rsid w:val="65424725"/>
    <w:rsid w:val="655866C6"/>
    <w:rsid w:val="657A41C3"/>
    <w:rsid w:val="65832908"/>
    <w:rsid w:val="659E732A"/>
    <w:rsid w:val="65BD3608"/>
    <w:rsid w:val="65C953C1"/>
    <w:rsid w:val="65CD0BCB"/>
    <w:rsid w:val="65CF3D9E"/>
    <w:rsid w:val="65E16272"/>
    <w:rsid w:val="65E52246"/>
    <w:rsid w:val="65F656E9"/>
    <w:rsid w:val="66052C98"/>
    <w:rsid w:val="66113918"/>
    <w:rsid w:val="66132B05"/>
    <w:rsid w:val="66316846"/>
    <w:rsid w:val="663A02D6"/>
    <w:rsid w:val="66445EA6"/>
    <w:rsid w:val="664C0E71"/>
    <w:rsid w:val="66A17FCB"/>
    <w:rsid w:val="66AB402C"/>
    <w:rsid w:val="66C0402A"/>
    <w:rsid w:val="66EF2CE3"/>
    <w:rsid w:val="670E6D06"/>
    <w:rsid w:val="67455BBA"/>
    <w:rsid w:val="67615592"/>
    <w:rsid w:val="6766FBE0"/>
    <w:rsid w:val="67786E0B"/>
    <w:rsid w:val="677A797C"/>
    <w:rsid w:val="677C1530"/>
    <w:rsid w:val="67853154"/>
    <w:rsid w:val="67990894"/>
    <w:rsid w:val="679D6E48"/>
    <w:rsid w:val="67BE79AC"/>
    <w:rsid w:val="67DA64FE"/>
    <w:rsid w:val="67E2582F"/>
    <w:rsid w:val="6869164B"/>
    <w:rsid w:val="688C1956"/>
    <w:rsid w:val="68B070DE"/>
    <w:rsid w:val="68B60948"/>
    <w:rsid w:val="68D120F4"/>
    <w:rsid w:val="68D9093F"/>
    <w:rsid w:val="68E1689C"/>
    <w:rsid w:val="68E278B4"/>
    <w:rsid w:val="68E344B9"/>
    <w:rsid w:val="68ED012A"/>
    <w:rsid w:val="69070E7D"/>
    <w:rsid w:val="69396B90"/>
    <w:rsid w:val="69456D72"/>
    <w:rsid w:val="6950217B"/>
    <w:rsid w:val="695B0FB5"/>
    <w:rsid w:val="699F2B81"/>
    <w:rsid w:val="69AC0334"/>
    <w:rsid w:val="69C472C1"/>
    <w:rsid w:val="69E62E8D"/>
    <w:rsid w:val="6A113B6B"/>
    <w:rsid w:val="6A1A1CE2"/>
    <w:rsid w:val="6A440743"/>
    <w:rsid w:val="6A463698"/>
    <w:rsid w:val="6A4A6CE0"/>
    <w:rsid w:val="6A4C1380"/>
    <w:rsid w:val="6A505336"/>
    <w:rsid w:val="6A747A5F"/>
    <w:rsid w:val="6A7E77E8"/>
    <w:rsid w:val="6AAA3111"/>
    <w:rsid w:val="6AB309A1"/>
    <w:rsid w:val="6AF1629A"/>
    <w:rsid w:val="6B0E1155"/>
    <w:rsid w:val="6B267874"/>
    <w:rsid w:val="6B4A3D89"/>
    <w:rsid w:val="6B7B3C86"/>
    <w:rsid w:val="6B8C1969"/>
    <w:rsid w:val="6B951F5B"/>
    <w:rsid w:val="6BB85FEC"/>
    <w:rsid w:val="6BD507F2"/>
    <w:rsid w:val="6BF12135"/>
    <w:rsid w:val="6BF27554"/>
    <w:rsid w:val="6BF83386"/>
    <w:rsid w:val="6C252D81"/>
    <w:rsid w:val="6C317891"/>
    <w:rsid w:val="6C3F067C"/>
    <w:rsid w:val="6C46596F"/>
    <w:rsid w:val="6C4C0D34"/>
    <w:rsid w:val="6C78099D"/>
    <w:rsid w:val="6C8606A2"/>
    <w:rsid w:val="6C91527B"/>
    <w:rsid w:val="6C9E58F4"/>
    <w:rsid w:val="6CCB6EF2"/>
    <w:rsid w:val="6D166AC3"/>
    <w:rsid w:val="6D18450A"/>
    <w:rsid w:val="6D2C5A6E"/>
    <w:rsid w:val="6D3702BC"/>
    <w:rsid w:val="6D48597E"/>
    <w:rsid w:val="6D6328EA"/>
    <w:rsid w:val="6D6C4268"/>
    <w:rsid w:val="6DA66E66"/>
    <w:rsid w:val="6DA94DB9"/>
    <w:rsid w:val="6DB91A15"/>
    <w:rsid w:val="6DF53B28"/>
    <w:rsid w:val="6DF872A2"/>
    <w:rsid w:val="6E1A2218"/>
    <w:rsid w:val="6E3645BA"/>
    <w:rsid w:val="6E397595"/>
    <w:rsid w:val="6E3D07B0"/>
    <w:rsid w:val="6E675141"/>
    <w:rsid w:val="6E6C2414"/>
    <w:rsid w:val="6E6E118E"/>
    <w:rsid w:val="6E727A95"/>
    <w:rsid w:val="6E7F49F6"/>
    <w:rsid w:val="6E8046EC"/>
    <w:rsid w:val="6E914120"/>
    <w:rsid w:val="6E9F0B03"/>
    <w:rsid w:val="6EAA1D40"/>
    <w:rsid w:val="6EE45569"/>
    <w:rsid w:val="6EF1102B"/>
    <w:rsid w:val="6F136F6D"/>
    <w:rsid w:val="6F166901"/>
    <w:rsid w:val="6F240063"/>
    <w:rsid w:val="6F5A6049"/>
    <w:rsid w:val="6FAC7D96"/>
    <w:rsid w:val="6FAD696D"/>
    <w:rsid w:val="6FAF6C78"/>
    <w:rsid w:val="6FB12FCF"/>
    <w:rsid w:val="6FF170A7"/>
    <w:rsid w:val="6FF42E1E"/>
    <w:rsid w:val="701A057F"/>
    <w:rsid w:val="702B7D0C"/>
    <w:rsid w:val="703B0C12"/>
    <w:rsid w:val="703B6E9C"/>
    <w:rsid w:val="704A15F5"/>
    <w:rsid w:val="704E593D"/>
    <w:rsid w:val="705154F2"/>
    <w:rsid w:val="707542E2"/>
    <w:rsid w:val="70BC5B53"/>
    <w:rsid w:val="70F53DD7"/>
    <w:rsid w:val="710206E8"/>
    <w:rsid w:val="7104628A"/>
    <w:rsid w:val="711A1355"/>
    <w:rsid w:val="712D2B77"/>
    <w:rsid w:val="7134505D"/>
    <w:rsid w:val="71514A28"/>
    <w:rsid w:val="71863D4C"/>
    <w:rsid w:val="719F017B"/>
    <w:rsid w:val="71FA48C1"/>
    <w:rsid w:val="723060EB"/>
    <w:rsid w:val="72323B6E"/>
    <w:rsid w:val="724A7504"/>
    <w:rsid w:val="72585286"/>
    <w:rsid w:val="725B53FB"/>
    <w:rsid w:val="72724977"/>
    <w:rsid w:val="72983924"/>
    <w:rsid w:val="72AD4DE8"/>
    <w:rsid w:val="72B14301"/>
    <w:rsid w:val="72B33F85"/>
    <w:rsid w:val="72BF3CAB"/>
    <w:rsid w:val="72DE740D"/>
    <w:rsid w:val="72EF371D"/>
    <w:rsid w:val="72F063BE"/>
    <w:rsid w:val="72F77D2C"/>
    <w:rsid w:val="7317C656"/>
    <w:rsid w:val="73591562"/>
    <w:rsid w:val="737C7F1F"/>
    <w:rsid w:val="7385757C"/>
    <w:rsid w:val="73867B39"/>
    <w:rsid w:val="73E170BC"/>
    <w:rsid w:val="73E60827"/>
    <w:rsid w:val="74195F13"/>
    <w:rsid w:val="74387305"/>
    <w:rsid w:val="743F2C35"/>
    <w:rsid w:val="7484759A"/>
    <w:rsid w:val="7499074D"/>
    <w:rsid w:val="74A15178"/>
    <w:rsid w:val="74A97A10"/>
    <w:rsid w:val="74CA4AE8"/>
    <w:rsid w:val="74D220DC"/>
    <w:rsid w:val="74D7665C"/>
    <w:rsid w:val="74E60E73"/>
    <w:rsid w:val="74E71142"/>
    <w:rsid w:val="74FA402C"/>
    <w:rsid w:val="7523457F"/>
    <w:rsid w:val="75234F57"/>
    <w:rsid w:val="75306A9E"/>
    <w:rsid w:val="75481A24"/>
    <w:rsid w:val="754B3F77"/>
    <w:rsid w:val="757509F5"/>
    <w:rsid w:val="757F30B7"/>
    <w:rsid w:val="758565AD"/>
    <w:rsid w:val="758D5DE2"/>
    <w:rsid w:val="758F7005"/>
    <w:rsid w:val="759B268D"/>
    <w:rsid w:val="759D6F8E"/>
    <w:rsid w:val="75B739CA"/>
    <w:rsid w:val="75CB2C24"/>
    <w:rsid w:val="75CD2057"/>
    <w:rsid w:val="75F17640"/>
    <w:rsid w:val="75FF32BF"/>
    <w:rsid w:val="76402104"/>
    <w:rsid w:val="76491A7F"/>
    <w:rsid w:val="76997F61"/>
    <w:rsid w:val="76A03AA1"/>
    <w:rsid w:val="76A13A26"/>
    <w:rsid w:val="76C039E0"/>
    <w:rsid w:val="76C77743"/>
    <w:rsid w:val="76D04A23"/>
    <w:rsid w:val="76D949C6"/>
    <w:rsid w:val="76E10ADD"/>
    <w:rsid w:val="76E35316"/>
    <w:rsid w:val="76EF3663"/>
    <w:rsid w:val="76F76AC0"/>
    <w:rsid w:val="77513458"/>
    <w:rsid w:val="776E7636"/>
    <w:rsid w:val="776F5C95"/>
    <w:rsid w:val="778C1017"/>
    <w:rsid w:val="77B9799D"/>
    <w:rsid w:val="77BD7A60"/>
    <w:rsid w:val="77D43A2C"/>
    <w:rsid w:val="77FD8BE9"/>
    <w:rsid w:val="780D136C"/>
    <w:rsid w:val="783C78EA"/>
    <w:rsid w:val="78403425"/>
    <w:rsid w:val="78604FA9"/>
    <w:rsid w:val="786C36BF"/>
    <w:rsid w:val="78744B3C"/>
    <w:rsid w:val="78772CDE"/>
    <w:rsid w:val="7877560A"/>
    <w:rsid w:val="787854C6"/>
    <w:rsid w:val="78B4701A"/>
    <w:rsid w:val="78C848EC"/>
    <w:rsid w:val="78D3411B"/>
    <w:rsid w:val="78D7709F"/>
    <w:rsid w:val="78E55D81"/>
    <w:rsid w:val="78E815CF"/>
    <w:rsid w:val="78FF5934"/>
    <w:rsid w:val="78FF6F94"/>
    <w:rsid w:val="790B379B"/>
    <w:rsid w:val="79260F02"/>
    <w:rsid w:val="7933666A"/>
    <w:rsid w:val="795A4A78"/>
    <w:rsid w:val="79A9BD3F"/>
    <w:rsid w:val="79B3230A"/>
    <w:rsid w:val="79BB54A2"/>
    <w:rsid w:val="79CF518A"/>
    <w:rsid w:val="79F16A03"/>
    <w:rsid w:val="7A052F65"/>
    <w:rsid w:val="7A101D7B"/>
    <w:rsid w:val="7A1047A5"/>
    <w:rsid w:val="7A1265B9"/>
    <w:rsid w:val="7A295227"/>
    <w:rsid w:val="7A4159A8"/>
    <w:rsid w:val="7A465A34"/>
    <w:rsid w:val="7A5B39B1"/>
    <w:rsid w:val="7A5C003F"/>
    <w:rsid w:val="7A716C5D"/>
    <w:rsid w:val="7A767BF5"/>
    <w:rsid w:val="7A8B03F8"/>
    <w:rsid w:val="7A8B60FE"/>
    <w:rsid w:val="7AA253E9"/>
    <w:rsid w:val="7AAC031D"/>
    <w:rsid w:val="7AD04724"/>
    <w:rsid w:val="7AF214EA"/>
    <w:rsid w:val="7AF43797"/>
    <w:rsid w:val="7AF452EB"/>
    <w:rsid w:val="7B2130B4"/>
    <w:rsid w:val="7B265254"/>
    <w:rsid w:val="7B3E17C4"/>
    <w:rsid w:val="7B503F30"/>
    <w:rsid w:val="7B66119E"/>
    <w:rsid w:val="7B734BB4"/>
    <w:rsid w:val="7B86727F"/>
    <w:rsid w:val="7BC33D60"/>
    <w:rsid w:val="7BFD13C0"/>
    <w:rsid w:val="7BFFFDD0"/>
    <w:rsid w:val="7C167147"/>
    <w:rsid w:val="7C1E1B62"/>
    <w:rsid w:val="7C2559EC"/>
    <w:rsid w:val="7C2F7947"/>
    <w:rsid w:val="7C303FF1"/>
    <w:rsid w:val="7C351CF4"/>
    <w:rsid w:val="7C3A45D8"/>
    <w:rsid w:val="7C6F46C3"/>
    <w:rsid w:val="7CCB46D5"/>
    <w:rsid w:val="7CCE325B"/>
    <w:rsid w:val="7CF34C12"/>
    <w:rsid w:val="7D0145A8"/>
    <w:rsid w:val="7D106473"/>
    <w:rsid w:val="7D155912"/>
    <w:rsid w:val="7D177637"/>
    <w:rsid w:val="7D4564C5"/>
    <w:rsid w:val="7D713B54"/>
    <w:rsid w:val="7D7A5F86"/>
    <w:rsid w:val="7D9A2153"/>
    <w:rsid w:val="7DA72350"/>
    <w:rsid w:val="7DB7094A"/>
    <w:rsid w:val="7DB87916"/>
    <w:rsid w:val="7DC34FA3"/>
    <w:rsid w:val="7DE35D12"/>
    <w:rsid w:val="7DE91463"/>
    <w:rsid w:val="7DFC0EBD"/>
    <w:rsid w:val="7E0C6331"/>
    <w:rsid w:val="7E0E5D78"/>
    <w:rsid w:val="7E0F6262"/>
    <w:rsid w:val="7E142F42"/>
    <w:rsid w:val="7E5C25B8"/>
    <w:rsid w:val="7E6C3389"/>
    <w:rsid w:val="7E7944EF"/>
    <w:rsid w:val="7EAE33C8"/>
    <w:rsid w:val="7EB136EB"/>
    <w:rsid w:val="7EB41A68"/>
    <w:rsid w:val="7EB60285"/>
    <w:rsid w:val="7EB64843"/>
    <w:rsid w:val="7ED47B23"/>
    <w:rsid w:val="7EDB5CD6"/>
    <w:rsid w:val="7EE00502"/>
    <w:rsid w:val="7EED4F0A"/>
    <w:rsid w:val="7F014518"/>
    <w:rsid w:val="7F1E16D1"/>
    <w:rsid w:val="7F1F0408"/>
    <w:rsid w:val="7F291099"/>
    <w:rsid w:val="7F2C6E53"/>
    <w:rsid w:val="7F37BB4E"/>
    <w:rsid w:val="7FAB18F4"/>
    <w:rsid w:val="7FBB725E"/>
    <w:rsid w:val="7FBD3B90"/>
    <w:rsid w:val="7FD87AF4"/>
    <w:rsid w:val="7FED1642"/>
    <w:rsid w:val="7FEF918E"/>
    <w:rsid w:val="7FF1602C"/>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jc w:val="center"/>
      <w:outlineLvl w:val="1"/>
    </w:pPr>
    <w:rPr>
      <w:rFonts w:ascii="Arial" w:hAnsi="Arial" w:eastAsia="仿宋"/>
      <w:b/>
      <w:sz w:val="44"/>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annotation text"/>
    <w:basedOn w:val="1"/>
    <w:link w:val="23"/>
    <w:qFormat/>
    <w:uiPriority w:val="99"/>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Balloon Text"/>
    <w:basedOn w:val="1"/>
    <w:link w:val="28"/>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2"/>
    <w:qFormat/>
    <w:uiPriority w:val="0"/>
    <w:pPr>
      <w:tabs>
        <w:tab w:val="center" w:pos="4153"/>
        <w:tab w:val="right" w:pos="8306"/>
      </w:tabs>
      <w:snapToGrid w:val="0"/>
      <w:jc w:val="center"/>
    </w:pPr>
    <w:rPr>
      <w:sz w:val="18"/>
      <w:szCs w:val="18"/>
    </w:rPr>
  </w:style>
  <w:style w:type="paragraph" w:styleId="11">
    <w:name w:val="Normal (Web)"/>
    <w:basedOn w:val="1"/>
    <w:unhideWhenUsed/>
    <w:qFormat/>
    <w:uiPriority w:val="99"/>
    <w:pPr>
      <w:widowControl/>
      <w:jc w:val="left"/>
    </w:pPr>
    <w:rPr>
      <w:rFonts w:ascii="宋体" w:hAnsi="宋体" w:cs="宋体"/>
      <w:kern w:val="0"/>
      <w:sz w:val="24"/>
    </w:rPr>
  </w:style>
  <w:style w:type="paragraph" w:styleId="12">
    <w:name w:val="Body Text First Indent"/>
    <w:basedOn w:val="6"/>
    <w:qFormat/>
    <w:uiPriority w:val="0"/>
    <w:pPr>
      <w:spacing w:after="0"/>
      <w:ind w:firstLine="200" w:firstLineChars="200"/>
    </w:pPr>
  </w:style>
  <w:style w:type="paragraph" w:styleId="13">
    <w:name w:val="Body Text First Indent 2"/>
    <w:basedOn w:val="7"/>
    <w:qFormat/>
    <w:uiPriority w:val="0"/>
    <w:pPr>
      <w:ind w:firstLine="420" w:firstLineChars="20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bCs/>
    </w:rPr>
  </w:style>
  <w:style w:type="character" w:styleId="18">
    <w:name w:val="annotation reference"/>
    <w:basedOn w:val="16"/>
    <w:qFormat/>
    <w:uiPriority w:val="99"/>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paragraph" w:customStyle="1" w:styleId="21">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页眉 Char"/>
    <w:basedOn w:val="16"/>
    <w:link w:val="10"/>
    <w:qFormat/>
    <w:uiPriority w:val="0"/>
    <w:rPr>
      <w:rFonts w:ascii="Times New Roman" w:hAnsi="Times New Roman" w:eastAsia="宋体" w:cs="Times New Roman"/>
      <w:kern w:val="2"/>
      <w:sz w:val="18"/>
      <w:szCs w:val="18"/>
    </w:rPr>
  </w:style>
  <w:style w:type="character" w:customStyle="1" w:styleId="23">
    <w:name w:val="批注文字 Char"/>
    <w:basedOn w:val="16"/>
    <w:link w:val="5"/>
    <w:qFormat/>
    <w:uiPriority w:val="99"/>
    <w:rPr>
      <w:rFonts w:ascii="Times New Roman" w:hAnsi="Times New Roman" w:eastAsia="宋体" w:cs="Times New Roman"/>
      <w:kern w:val="2"/>
      <w:sz w:val="21"/>
      <w:szCs w:val="24"/>
    </w:rPr>
  </w:style>
  <w:style w:type="paragraph" w:styleId="24">
    <w:name w:val="List Paragraph"/>
    <w:basedOn w:val="1"/>
    <w:unhideWhenUsed/>
    <w:qFormat/>
    <w:uiPriority w:val="99"/>
    <w:pPr>
      <w:ind w:firstLine="420" w:firstLineChars="200"/>
    </w:pPr>
  </w:style>
  <w:style w:type="character" w:customStyle="1" w:styleId="25">
    <w:name w:val="font81"/>
    <w:basedOn w:val="16"/>
    <w:qFormat/>
    <w:uiPriority w:val="0"/>
    <w:rPr>
      <w:rFonts w:hint="eastAsia" w:ascii="宋体" w:hAnsi="宋体" w:eastAsia="宋体" w:cs="宋体"/>
      <w:color w:val="000000"/>
      <w:sz w:val="18"/>
      <w:szCs w:val="18"/>
      <w:u w:val="none"/>
    </w:rPr>
  </w:style>
  <w:style w:type="character" w:customStyle="1" w:styleId="26">
    <w:name w:val="font31"/>
    <w:basedOn w:val="16"/>
    <w:qFormat/>
    <w:uiPriority w:val="0"/>
    <w:rPr>
      <w:rFonts w:hint="eastAsia" w:ascii="宋体" w:hAnsi="宋体" w:eastAsia="宋体" w:cs="宋体"/>
      <w:color w:val="000000"/>
      <w:sz w:val="16"/>
      <w:szCs w:val="16"/>
      <w:u w:val="none"/>
    </w:rPr>
  </w:style>
  <w:style w:type="character" w:customStyle="1" w:styleId="27">
    <w:name w:val="font71"/>
    <w:basedOn w:val="16"/>
    <w:qFormat/>
    <w:uiPriority w:val="0"/>
    <w:rPr>
      <w:rFonts w:hint="eastAsia" w:ascii="宋体" w:hAnsi="宋体" w:eastAsia="宋体" w:cs="宋体"/>
      <w:color w:val="000000"/>
      <w:sz w:val="18"/>
      <w:szCs w:val="18"/>
      <w:u w:val="none"/>
    </w:rPr>
  </w:style>
  <w:style w:type="character" w:customStyle="1" w:styleId="28">
    <w:name w:val="批注框文本 Char"/>
    <w:basedOn w:val="16"/>
    <w:link w:val="8"/>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8573</Words>
  <Characters>9070</Characters>
  <Lines>10</Lines>
  <Paragraphs>19</Paragraphs>
  <TotalTime>15</TotalTime>
  <ScaleCrop>false</ScaleCrop>
  <LinksUpToDate>false</LinksUpToDate>
  <CharactersWithSpaces>9092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薛俊璇</cp:lastModifiedBy>
  <dcterms:modified xsi:type="dcterms:W3CDTF">2024-08-27T11:13:33Z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0CA58AF8364FF55815C8066417B177EA</vt:lpwstr>
  </property>
</Properties>
</file>