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C9EFF">
      <w:pPr>
        <w:spacing w:line="540" w:lineRule="exact"/>
        <w:jc w:val="center"/>
        <w:rPr>
          <w:rFonts w:eastAsia="华文中宋"/>
          <w:b/>
          <w:kern w:val="0"/>
          <w:sz w:val="52"/>
          <w:szCs w:val="52"/>
        </w:rPr>
      </w:pPr>
    </w:p>
    <w:p w14:paraId="1EE08998">
      <w:pPr>
        <w:spacing w:line="540" w:lineRule="exact"/>
        <w:rPr>
          <w:rFonts w:eastAsia="华文中宋"/>
          <w:b/>
          <w:kern w:val="0"/>
          <w:sz w:val="52"/>
          <w:szCs w:val="52"/>
        </w:rPr>
      </w:pPr>
    </w:p>
    <w:p w14:paraId="41706855">
      <w:pPr>
        <w:spacing w:line="540" w:lineRule="exact"/>
        <w:jc w:val="center"/>
        <w:rPr>
          <w:rFonts w:eastAsia="华文中宋"/>
          <w:b/>
          <w:kern w:val="0"/>
          <w:sz w:val="52"/>
          <w:szCs w:val="52"/>
        </w:rPr>
      </w:pPr>
    </w:p>
    <w:p w14:paraId="347B96A7">
      <w:pPr>
        <w:spacing w:line="540" w:lineRule="exact"/>
        <w:jc w:val="center"/>
        <w:rPr>
          <w:rFonts w:eastAsia="华文中宋"/>
          <w:b/>
          <w:kern w:val="0"/>
          <w:sz w:val="52"/>
          <w:szCs w:val="52"/>
        </w:rPr>
      </w:pPr>
    </w:p>
    <w:p w14:paraId="4DB1C8D9">
      <w:pPr>
        <w:spacing w:line="540" w:lineRule="exact"/>
        <w:jc w:val="center"/>
        <w:rPr>
          <w:rFonts w:eastAsia="方正小标宋_GBK"/>
          <w:kern w:val="0"/>
          <w:sz w:val="52"/>
          <w:szCs w:val="52"/>
        </w:rPr>
      </w:pPr>
      <w:r>
        <w:rPr>
          <w:rFonts w:hint="eastAsia" w:eastAsia="方正小标宋_GBK"/>
          <w:kern w:val="0"/>
          <w:sz w:val="52"/>
          <w:szCs w:val="52"/>
        </w:rPr>
        <w:t>政府采购</w:t>
      </w:r>
      <w:r>
        <w:rPr>
          <w:rFonts w:eastAsia="方正小标宋_GBK"/>
          <w:kern w:val="0"/>
          <w:sz w:val="52"/>
          <w:szCs w:val="52"/>
        </w:rPr>
        <w:t>资金项目支出</w:t>
      </w:r>
    </w:p>
    <w:p w14:paraId="455F4C52">
      <w:pPr>
        <w:spacing w:line="540" w:lineRule="exact"/>
        <w:jc w:val="center"/>
        <w:rPr>
          <w:rFonts w:eastAsia="方正小标宋_GBK"/>
          <w:kern w:val="0"/>
          <w:sz w:val="52"/>
          <w:szCs w:val="52"/>
        </w:rPr>
      </w:pPr>
      <w:r>
        <w:rPr>
          <w:rFonts w:eastAsia="方正小标宋_GBK"/>
          <w:kern w:val="0"/>
          <w:sz w:val="52"/>
          <w:szCs w:val="52"/>
        </w:rPr>
        <w:t>绩效评价报告</w:t>
      </w:r>
    </w:p>
    <w:p w14:paraId="4852F8BD">
      <w:pPr>
        <w:spacing w:line="540" w:lineRule="exact"/>
        <w:jc w:val="center"/>
        <w:rPr>
          <w:rFonts w:eastAsia="华文中宋"/>
          <w:b/>
          <w:kern w:val="0"/>
          <w:sz w:val="52"/>
          <w:szCs w:val="52"/>
        </w:rPr>
      </w:pPr>
    </w:p>
    <w:p w14:paraId="4F32F195">
      <w:pPr>
        <w:spacing w:line="540" w:lineRule="exact"/>
        <w:jc w:val="center"/>
        <w:rPr>
          <w:rFonts w:eastAsia="仿宋_GB2312"/>
          <w:kern w:val="0"/>
          <w:sz w:val="36"/>
          <w:szCs w:val="36"/>
        </w:rPr>
      </w:pPr>
      <w:r>
        <w:rPr>
          <w:rFonts w:eastAsia="仿宋_GB2312"/>
          <w:kern w:val="0"/>
          <w:sz w:val="36"/>
          <w:szCs w:val="36"/>
        </w:rPr>
        <w:t>（ 2023年度）</w:t>
      </w:r>
    </w:p>
    <w:p w14:paraId="5E34F81E">
      <w:pPr>
        <w:spacing w:line="540" w:lineRule="exact"/>
        <w:jc w:val="center"/>
        <w:rPr>
          <w:rFonts w:eastAsia="仿宋_GB2312"/>
          <w:kern w:val="0"/>
          <w:sz w:val="30"/>
          <w:szCs w:val="30"/>
        </w:rPr>
      </w:pPr>
    </w:p>
    <w:p w14:paraId="254A2BCE">
      <w:pPr>
        <w:spacing w:line="540" w:lineRule="exact"/>
        <w:jc w:val="center"/>
        <w:rPr>
          <w:rFonts w:eastAsia="仿宋_GB2312"/>
          <w:kern w:val="0"/>
          <w:sz w:val="30"/>
          <w:szCs w:val="30"/>
        </w:rPr>
      </w:pPr>
    </w:p>
    <w:p w14:paraId="37A5DF2E">
      <w:pPr>
        <w:spacing w:line="540" w:lineRule="exact"/>
        <w:jc w:val="center"/>
        <w:rPr>
          <w:rFonts w:eastAsia="仿宋_GB2312"/>
          <w:kern w:val="0"/>
          <w:sz w:val="30"/>
          <w:szCs w:val="30"/>
        </w:rPr>
      </w:pPr>
    </w:p>
    <w:p w14:paraId="4659B0F9">
      <w:pPr>
        <w:spacing w:line="540" w:lineRule="exact"/>
        <w:jc w:val="center"/>
        <w:rPr>
          <w:rFonts w:eastAsia="仿宋_GB2312"/>
          <w:kern w:val="0"/>
          <w:sz w:val="30"/>
          <w:szCs w:val="30"/>
        </w:rPr>
      </w:pPr>
    </w:p>
    <w:p w14:paraId="535F5DA0">
      <w:pPr>
        <w:spacing w:line="540" w:lineRule="exact"/>
        <w:rPr>
          <w:rFonts w:eastAsia="仿宋_GB2312"/>
          <w:kern w:val="0"/>
          <w:sz w:val="30"/>
          <w:szCs w:val="30"/>
        </w:rPr>
      </w:pPr>
    </w:p>
    <w:p w14:paraId="0F436B21">
      <w:pPr>
        <w:spacing w:line="700" w:lineRule="exact"/>
        <w:ind w:firstLine="1280" w:firstLineChars="400"/>
        <w:jc w:val="left"/>
        <w:rPr>
          <w:rFonts w:eastAsia="仿宋_GB2312"/>
          <w:kern w:val="0"/>
          <w:sz w:val="32"/>
          <w:szCs w:val="32"/>
        </w:rPr>
      </w:pPr>
      <w:r>
        <w:rPr>
          <w:rFonts w:eastAsia="仿宋_GB2312"/>
          <w:kern w:val="0"/>
          <w:sz w:val="32"/>
          <w:szCs w:val="32"/>
        </w:rPr>
        <w:t>项目名称：</w:t>
      </w:r>
      <w:r>
        <w:rPr>
          <w:rFonts w:hint="eastAsia" w:eastAsia="仿宋_GB2312"/>
          <w:kern w:val="0"/>
          <w:sz w:val="32"/>
          <w:szCs w:val="32"/>
          <w:lang w:val="en-US" w:eastAsia="zh-CN"/>
        </w:rPr>
        <w:t>医院</w:t>
      </w:r>
      <w:bookmarkStart w:id="4" w:name="_GoBack"/>
      <w:bookmarkEnd w:id="4"/>
      <w:r>
        <w:rPr>
          <w:rFonts w:hint="eastAsia" w:eastAsia="仿宋_GB2312"/>
          <w:kern w:val="0"/>
          <w:sz w:val="32"/>
          <w:szCs w:val="32"/>
        </w:rPr>
        <w:t>政府采购项目</w:t>
      </w:r>
    </w:p>
    <w:p w14:paraId="2B047912">
      <w:pPr>
        <w:spacing w:line="700" w:lineRule="exact"/>
        <w:ind w:firstLine="1280" w:firstLineChars="400"/>
        <w:jc w:val="left"/>
        <w:rPr>
          <w:rFonts w:eastAsia="仿宋_GB2312"/>
          <w:kern w:val="0"/>
          <w:sz w:val="32"/>
          <w:szCs w:val="32"/>
        </w:rPr>
      </w:pPr>
      <w:r>
        <w:rPr>
          <w:rFonts w:eastAsia="仿宋_GB2312"/>
          <w:kern w:val="0"/>
          <w:sz w:val="32"/>
          <w:szCs w:val="32"/>
        </w:rPr>
        <w:t>实施单位（公章）：</w:t>
      </w:r>
      <w:r>
        <w:rPr>
          <w:rFonts w:hint="eastAsia" w:eastAsia="仿宋_GB2312"/>
          <w:kern w:val="0"/>
          <w:sz w:val="32"/>
          <w:szCs w:val="32"/>
        </w:rPr>
        <w:t>新疆医科大学第七附属医院</w:t>
      </w:r>
    </w:p>
    <w:p w14:paraId="4F74DF30">
      <w:pPr>
        <w:spacing w:line="700" w:lineRule="exact"/>
        <w:ind w:firstLine="1280" w:firstLineChars="400"/>
        <w:jc w:val="left"/>
        <w:rPr>
          <w:rFonts w:eastAsia="仿宋_GB2312"/>
          <w:kern w:val="0"/>
          <w:sz w:val="32"/>
          <w:szCs w:val="32"/>
        </w:rPr>
      </w:pPr>
      <w:r>
        <w:rPr>
          <w:rFonts w:eastAsia="仿宋_GB2312"/>
          <w:kern w:val="0"/>
          <w:sz w:val="32"/>
          <w:szCs w:val="32"/>
        </w:rPr>
        <w:t>主管部门（公章）：</w:t>
      </w:r>
      <w:r>
        <w:rPr>
          <w:rFonts w:hint="eastAsia" w:eastAsia="仿宋_GB2312"/>
          <w:kern w:val="0"/>
          <w:sz w:val="32"/>
          <w:szCs w:val="32"/>
        </w:rPr>
        <w:t>自治区卫生健康委员会</w:t>
      </w:r>
    </w:p>
    <w:p w14:paraId="07F92FAF">
      <w:pPr>
        <w:spacing w:line="700" w:lineRule="exact"/>
        <w:ind w:firstLine="1280" w:firstLineChars="400"/>
        <w:jc w:val="left"/>
        <w:rPr>
          <w:rFonts w:eastAsia="仿宋_GB2312"/>
          <w:kern w:val="0"/>
          <w:sz w:val="32"/>
          <w:szCs w:val="32"/>
        </w:rPr>
      </w:pPr>
      <w:r>
        <w:rPr>
          <w:rFonts w:eastAsia="仿宋_GB2312"/>
          <w:kern w:val="0"/>
          <w:sz w:val="32"/>
          <w:szCs w:val="32"/>
        </w:rPr>
        <w:t>项目负责人（签章）：</w:t>
      </w:r>
      <w:r>
        <w:rPr>
          <w:rFonts w:hint="eastAsia" w:eastAsia="仿宋_GB2312"/>
          <w:kern w:val="0"/>
          <w:sz w:val="32"/>
          <w:szCs w:val="32"/>
        </w:rPr>
        <w:t>陈婷婷</w:t>
      </w:r>
    </w:p>
    <w:p w14:paraId="7C84590E">
      <w:pPr>
        <w:spacing w:line="700" w:lineRule="exact"/>
        <w:ind w:firstLine="1280" w:firstLineChars="400"/>
        <w:jc w:val="left"/>
        <w:rPr>
          <w:rFonts w:eastAsia="仿宋_GB2312"/>
          <w:kern w:val="0"/>
          <w:sz w:val="32"/>
          <w:szCs w:val="32"/>
        </w:rPr>
      </w:pPr>
      <w:r>
        <w:rPr>
          <w:rFonts w:eastAsia="仿宋_GB2312"/>
          <w:kern w:val="0"/>
          <w:sz w:val="32"/>
          <w:szCs w:val="32"/>
        </w:rPr>
        <w:t>填报时间：</w:t>
      </w:r>
      <w:r>
        <w:rPr>
          <w:rFonts w:hint="eastAsia" w:eastAsia="仿宋_GB2312"/>
          <w:kern w:val="0"/>
          <w:sz w:val="32"/>
          <w:szCs w:val="32"/>
        </w:rPr>
        <w:t>2024</w:t>
      </w:r>
      <w:r>
        <w:rPr>
          <w:rFonts w:eastAsia="仿宋_GB2312"/>
          <w:kern w:val="0"/>
          <w:sz w:val="32"/>
          <w:szCs w:val="32"/>
        </w:rPr>
        <w:t>年</w:t>
      </w:r>
      <w:r>
        <w:rPr>
          <w:rFonts w:hint="eastAsia" w:eastAsia="仿宋_GB2312"/>
          <w:kern w:val="0"/>
          <w:sz w:val="32"/>
          <w:szCs w:val="32"/>
        </w:rPr>
        <w:t>3</w:t>
      </w:r>
      <w:r>
        <w:rPr>
          <w:rFonts w:eastAsia="仿宋_GB2312"/>
          <w:kern w:val="0"/>
          <w:sz w:val="32"/>
          <w:szCs w:val="32"/>
        </w:rPr>
        <w:t>月</w:t>
      </w:r>
      <w:r>
        <w:rPr>
          <w:rFonts w:hint="eastAsia" w:eastAsia="仿宋_GB2312"/>
          <w:kern w:val="0"/>
          <w:sz w:val="32"/>
          <w:szCs w:val="32"/>
        </w:rPr>
        <w:t>5</w:t>
      </w:r>
      <w:r>
        <w:rPr>
          <w:rFonts w:eastAsia="仿宋_GB2312"/>
          <w:kern w:val="0"/>
          <w:sz w:val="32"/>
          <w:szCs w:val="32"/>
        </w:rPr>
        <w:t>日</w:t>
      </w:r>
    </w:p>
    <w:p w14:paraId="4350B733">
      <w:pPr>
        <w:spacing w:line="540" w:lineRule="exact"/>
        <w:jc w:val="center"/>
        <w:rPr>
          <w:rFonts w:eastAsia="仿宋_GB2312"/>
          <w:kern w:val="0"/>
          <w:sz w:val="30"/>
          <w:szCs w:val="30"/>
        </w:rPr>
      </w:pPr>
    </w:p>
    <w:p w14:paraId="754A63E9">
      <w:pPr>
        <w:spacing w:line="540" w:lineRule="exact"/>
        <w:rPr>
          <w:rStyle w:val="16"/>
          <w:rFonts w:eastAsia="黑体"/>
          <w:b w:val="0"/>
          <w:spacing w:val="-4"/>
          <w:sz w:val="32"/>
          <w:szCs w:val="32"/>
        </w:rPr>
      </w:pPr>
    </w:p>
    <w:p w14:paraId="772404D0">
      <w:pPr>
        <w:spacing w:line="540" w:lineRule="exact"/>
        <w:ind w:firstLine="640"/>
        <w:rPr>
          <w:rStyle w:val="16"/>
          <w:rFonts w:eastAsia="黑体"/>
          <w:b w:val="0"/>
          <w:spacing w:val="-4"/>
          <w:sz w:val="32"/>
          <w:szCs w:val="32"/>
        </w:rPr>
      </w:pPr>
    </w:p>
    <w:p w14:paraId="4DA0883D">
      <w:pPr>
        <w:spacing w:line="540" w:lineRule="exact"/>
        <w:rPr>
          <w:rStyle w:val="16"/>
          <w:rFonts w:eastAsia="黑体"/>
          <w:b w:val="0"/>
          <w:spacing w:val="-4"/>
          <w:sz w:val="32"/>
          <w:szCs w:val="32"/>
        </w:rPr>
      </w:pPr>
    </w:p>
    <w:p w14:paraId="52DD180C">
      <w:pPr>
        <w:spacing w:line="600" w:lineRule="exact"/>
        <w:jc w:val="center"/>
        <w:rPr>
          <w:rFonts w:eastAsia="黑体"/>
          <w:bCs/>
          <w:sz w:val="32"/>
          <w:szCs w:val="32"/>
        </w:rPr>
      </w:pPr>
    </w:p>
    <w:p w14:paraId="2FAE54E6">
      <w:pPr>
        <w:spacing w:line="560" w:lineRule="exact"/>
        <w:rPr>
          <w:rFonts w:eastAsia="黑体"/>
          <w:bCs/>
          <w:sz w:val="32"/>
          <w:szCs w:val="32"/>
        </w:rPr>
      </w:pPr>
    </w:p>
    <w:p w14:paraId="16B735AC">
      <w:pPr>
        <w:spacing w:line="560" w:lineRule="exact"/>
        <w:ind w:firstLine="640" w:firstLineChars="200"/>
        <w:rPr>
          <w:rFonts w:eastAsia="黑体"/>
          <w:bCs/>
          <w:sz w:val="32"/>
          <w:szCs w:val="32"/>
        </w:rPr>
      </w:pPr>
      <w:r>
        <w:rPr>
          <w:rFonts w:eastAsia="黑体"/>
          <w:bCs/>
          <w:sz w:val="32"/>
          <w:szCs w:val="32"/>
        </w:rPr>
        <w:t>一、基本情况</w:t>
      </w:r>
    </w:p>
    <w:p w14:paraId="13E1A4AD">
      <w:pPr>
        <w:spacing w:line="560" w:lineRule="exact"/>
        <w:ind w:firstLine="643" w:firstLineChars="200"/>
        <w:rPr>
          <w:rFonts w:eastAsia="楷体_GB2312"/>
          <w:b/>
          <w:bCs/>
          <w:sz w:val="32"/>
          <w:szCs w:val="32"/>
        </w:rPr>
      </w:pPr>
      <w:r>
        <w:rPr>
          <w:rFonts w:eastAsia="楷体_GB2312"/>
          <w:b/>
          <w:bCs/>
          <w:sz w:val="32"/>
          <w:szCs w:val="32"/>
        </w:rPr>
        <w:t>（一）项目概况</w:t>
      </w:r>
    </w:p>
    <w:p w14:paraId="5ADE6842">
      <w:pPr>
        <w:spacing w:line="560" w:lineRule="exact"/>
        <w:ind w:firstLine="643" w:firstLineChars="200"/>
        <w:rPr>
          <w:rFonts w:eastAsia="仿宋_GB2312"/>
          <w:b/>
          <w:bCs/>
          <w:sz w:val="32"/>
          <w:szCs w:val="32"/>
        </w:rPr>
      </w:pPr>
      <w:r>
        <w:rPr>
          <w:rFonts w:eastAsia="仿宋_GB2312"/>
          <w:b/>
          <w:bCs/>
          <w:sz w:val="32"/>
          <w:szCs w:val="32"/>
        </w:rPr>
        <w:t>1、项目背景</w:t>
      </w:r>
    </w:p>
    <w:p w14:paraId="481AB1AF">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以来，在医院党委的正确领导下，在上级部门的关心指导下，在医院各科室的配合下，我院政府采购工作严格按照《中华人民共和国政府采购法》《中华人民共和国招投标法》等国家和自治区相关法律法规，强化医院采购工作，合理编制医院采购预算，坚持“无预算，不采购”。紧紧围绕医院项目建设，不断探索新方法，及时、有效地开展各类采购项目的实施，切实维护医院政府采购工作公平、公开、公正、透明的秩序</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认真完成各项政府采购任务。</w:t>
      </w:r>
    </w:p>
    <w:p w14:paraId="4BA60403">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3172DB0B">
      <w:pPr>
        <w:pStyle w:val="2"/>
        <w:spacing w:before="0" w:after="0" w:line="600" w:lineRule="exact"/>
        <w:ind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为合理配置设备资源，科学统筹和规划经费使用。通过医疗设备、网络设备、办公设备等资产的新增和更新换代，更大程度地满足患者医疗服务需求，使诊疗速度更快，服务效率更高，患者就医更加方便、舒适。</w:t>
      </w:r>
    </w:p>
    <w:p w14:paraId="5A5FDB24">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项目实施情况：项目目前已经完成实际设立的目标，项目在实施过程中严格按照目标设立的各阶段任务进行开展工作，在前期立项过程中严把质量关，建立安全防护机制，保证项目实施各阶段安全顺利进行。</w:t>
      </w:r>
    </w:p>
    <w:p w14:paraId="39286C82">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本项目总投资</w:t>
      </w:r>
      <w:r>
        <w:rPr>
          <w:rFonts w:hint="eastAsia" w:ascii="Times New Roman" w:hAnsi="Times New Roman" w:eastAsia="仿宋_GB2312" w:cs="Times New Roman"/>
          <w:b w:val="0"/>
          <w:bCs w:val="0"/>
          <w:kern w:val="2"/>
          <w:sz w:val="32"/>
          <w:szCs w:val="32"/>
          <w:lang w:val="en-US" w:eastAsia="zh-CN" w:bidi="ar-SA"/>
        </w:rPr>
        <w:t>14,727.1</w:t>
      </w:r>
      <w:r>
        <w:rPr>
          <w:rFonts w:hint="default" w:ascii="Times New Roman" w:hAnsi="Times New Roman" w:eastAsia="仿宋_GB2312" w:cs="Times New Roman"/>
          <w:b w:val="0"/>
          <w:bCs w:val="0"/>
          <w:kern w:val="2"/>
          <w:sz w:val="32"/>
          <w:szCs w:val="32"/>
          <w:lang w:val="en-US" w:eastAsia="zh-CN" w:bidi="ar-SA"/>
        </w:rPr>
        <w:t>万元，其中：财政</w:t>
      </w:r>
      <w:r>
        <w:rPr>
          <w:rFonts w:hint="eastAsia" w:ascii="Times New Roman" w:hAnsi="Times New Roman" w:eastAsia="仿宋_GB2312" w:cs="Times New Roman"/>
          <w:b w:val="0"/>
          <w:bCs w:val="0"/>
          <w:kern w:val="2"/>
          <w:sz w:val="32"/>
          <w:szCs w:val="32"/>
          <w:lang w:val="en-US" w:eastAsia="zh-CN" w:bidi="ar-SA"/>
        </w:rPr>
        <w:t>拨款</w:t>
      </w:r>
      <w:r>
        <w:rPr>
          <w:rFonts w:hint="default" w:ascii="Times New Roman" w:hAnsi="Times New Roman" w:eastAsia="仿宋_GB2312" w:cs="Times New Roman"/>
          <w:b w:val="0"/>
          <w:bCs w:val="0"/>
          <w:kern w:val="2"/>
          <w:sz w:val="32"/>
          <w:szCs w:val="32"/>
          <w:lang w:val="en-US" w:eastAsia="zh-CN" w:bidi="ar-SA"/>
        </w:rPr>
        <w:t>资金</w:t>
      </w:r>
      <w:r>
        <w:rPr>
          <w:rFonts w:hint="eastAsia" w:ascii="Times New Roman" w:hAnsi="Times New Roman" w:eastAsia="仿宋_GB2312" w:cs="Times New Roman"/>
          <w:b w:val="0"/>
          <w:bCs w:val="0"/>
          <w:kern w:val="2"/>
          <w:sz w:val="32"/>
          <w:szCs w:val="32"/>
          <w:lang w:val="en-US" w:eastAsia="zh-CN" w:bidi="ar-SA"/>
        </w:rPr>
        <w:t>0.00</w:t>
      </w:r>
      <w:r>
        <w:rPr>
          <w:rFonts w:hint="default" w:ascii="Times New Roman" w:hAnsi="Times New Roman" w:eastAsia="仿宋_GB2312" w:cs="Times New Roman"/>
          <w:b w:val="0"/>
          <w:bCs w:val="0"/>
          <w:kern w:val="2"/>
          <w:sz w:val="32"/>
          <w:szCs w:val="32"/>
          <w:lang w:val="en-US" w:eastAsia="zh-CN" w:bidi="ar-SA"/>
        </w:rPr>
        <w:t>万元。</w:t>
      </w:r>
      <w:r>
        <w:rPr>
          <w:rFonts w:hint="eastAsia" w:ascii="Times New Roman" w:hAnsi="Times New Roman" w:eastAsia="仿宋_GB2312" w:cs="Times New Roman"/>
          <w:b w:val="0"/>
          <w:bCs w:val="0"/>
          <w:kern w:val="2"/>
          <w:sz w:val="32"/>
          <w:szCs w:val="32"/>
          <w:lang w:val="en-US" w:eastAsia="zh-CN" w:bidi="ar-SA"/>
        </w:rPr>
        <w:t>其他资金14,727.1万元。</w:t>
      </w:r>
      <w:r>
        <w:rPr>
          <w:rFonts w:hint="default" w:ascii="Times New Roman" w:hAnsi="Times New Roman" w:eastAsia="仿宋_GB2312" w:cs="Times New Roman"/>
          <w:b w:val="0"/>
          <w:bCs w:val="0"/>
          <w:kern w:val="2"/>
          <w:sz w:val="32"/>
          <w:szCs w:val="32"/>
          <w:lang w:val="en-US" w:eastAsia="zh-CN" w:bidi="ar-SA"/>
        </w:rPr>
        <w:t>项目实际支出</w:t>
      </w:r>
      <w:r>
        <w:rPr>
          <w:rFonts w:hint="eastAsia" w:ascii="Times New Roman" w:hAnsi="Times New Roman" w:eastAsia="仿宋_GB2312" w:cs="Times New Roman"/>
          <w:b w:val="0"/>
          <w:bCs w:val="0"/>
          <w:kern w:val="2"/>
          <w:sz w:val="32"/>
          <w:szCs w:val="32"/>
          <w:lang w:val="en-US" w:eastAsia="zh-CN" w:bidi="ar-SA"/>
        </w:rPr>
        <w:t>13,802.10</w:t>
      </w:r>
      <w:r>
        <w:rPr>
          <w:rFonts w:hint="default" w:ascii="Times New Roman" w:hAnsi="Times New Roman" w:eastAsia="仿宋_GB2312" w:cs="Times New Roman"/>
          <w:b w:val="0"/>
          <w:bCs w:val="0"/>
          <w:kern w:val="2"/>
          <w:sz w:val="32"/>
          <w:szCs w:val="32"/>
          <w:lang w:val="en-US" w:eastAsia="zh-CN" w:bidi="ar-SA"/>
        </w:rPr>
        <w:t>万元，支出率为</w:t>
      </w:r>
      <w:r>
        <w:rPr>
          <w:rFonts w:hint="eastAsia" w:ascii="Times New Roman" w:hAnsi="Times New Roman" w:eastAsia="仿宋_GB2312" w:cs="Times New Roman"/>
          <w:b w:val="0"/>
          <w:bCs w:val="0"/>
          <w:kern w:val="2"/>
          <w:sz w:val="32"/>
          <w:szCs w:val="32"/>
          <w:lang w:val="en-US" w:eastAsia="zh-CN" w:bidi="ar-SA"/>
        </w:rPr>
        <w:t>93.72</w:t>
      </w:r>
      <w:r>
        <w:rPr>
          <w:rFonts w:hint="default" w:ascii="Times New Roman" w:hAnsi="Times New Roman" w:eastAsia="仿宋_GB2312" w:cs="Times New Roman"/>
          <w:b w:val="0"/>
          <w:bCs w:val="0"/>
          <w:kern w:val="2"/>
          <w:sz w:val="32"/>
          <w:szCs w:val="32"/>
          <w:lang w:val="en-US" w:eastAsia="zh-CN" w:bidi="ar-SA"/>
        </w:rPr>
        <w:t>%。</w:t>
      </w:r>
    </w:p>
    <w:p w14:paraId="04F2B5A6">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0CBDEFAC">
      <w:pPr>
        <w:spacing w:line="560" w:lineRule="exact"/>
        <w:ind w:firstLine="640" w:firstLineChars="200"/>
        <w:rPr>
          <w:rFonts w:hint="eastAsia" w:eastAsia="仿宋_GB2312"/>
          <w:sz w:val="32"/>
          <w:szCs w:val="32"/>
        </w:rPr>
      </w:pPr>
      <w:r>
        <w:rPr>
          <w:rFonts w:hint="eastAsia" w:eastAsia="仿宋_GB2312"/>
          <w:sz w:val="32"/>
          <w:szCs w:val="32"/>
        </w:rPr>
        <w:t>（1）资金投入情况</w:t>
      </w:r>
    </w:p>
    <w:p w14:paraId="142EA9D3">
      <w:pPr>
        <w:spacing w:line="560" w:lineRule="exact"/>
        <w:ind w:firstLine="640" w:firstLineChars="200"/>
        <w:rPr>
          <w:rFonts w:hint="eastAsia" w:eastAsia="仿宋_GB2312"/>
          <w:sz w:val="32"/>
          <w:szCs w:val="32"/>
        </w:rPr>
      </w:pPr>
      <w:r>
        <w:rPr>
          <w:rFonts w:hint="eastAsia" w:eastAsia="仿宋_GB2312"/>
          <w:sz w:val="32"/>
          <w:szCs w:val="32"/>
        </w:rPr>
        <w:t>该项目年初预算数14,727.1万元，全年预算数14,727.1万元，实际总投入14,727.1万元，该项目资金已全部落实到位，资金来源为</w:t>
      </w:r>
      <w:r>
        <w:rPr>
          <w:rFonts w:hint="eastAsia" w:eastAsia="仿宋_GB2312"/>
          <w:sz w:val="32"/>
          <w:szCs w:val="32"/>
          <w:lang w:val="en-US" w:eastAsia="zh-CN"/>
        </w:rPr>
        <w:t>财政资金</w:t>
      </w:r>
      <w:r>
        <w:rPr>
          <w:rFonts w:hint="eastAsia" w:eastAsia="仿宋_GB2312"/>
          <w:sz w:val="32"/>
          <w:szCs w:val="32"/>
        </w:rPr>
        <w:t>。</w:t>
      </w:r>
    </w:p>
    <w:p w14:paraId="7D7A99E3">
      <w:pPr>
        <w:spacing w:line="560" w:lineRule="exact"/>
        <w:ind w:firstLine="640" w:firstLineChars="200"/>
        <w:rPr>
          <w:rFonts w:hint="eastAsia" w:eastAsia="仿宋_GB2312"/>
          <w:sz w:val="32"/>
          <w:szCs w:val="32"/>
        </w:rPr>
      </w:pPr>
      <w:r>
        <w:rPr>
          <w:rFonts w:hint="eastAsia" w:eastAsia="仿宋_GB2312"/>
          <w:sz w:val="32"/>
          <w:szCs w:val="32"/>
        </w:rPr>
        <w:t>（2）资金使用情况</w:t>
      </w:r>
    </w:p>
    <w:p w14:paraId="4C34B661">
      <w:pPr>
        <w:spacing w:line="560" w:lineRule="exact"/>
        <w:ind w:firstLine="640" w:firstLineChars="200"/>
        <w:rPr>
          <w:rFonts w:eastAsia="仿宋_GB2312"/>
          <w:sz w:val="20"/>
          <w:szCs w:val="20"/>
        </w:rPr>
      </w:pPr>
      <w:r>
        <w:rPr>
          <w:rFonts w:hint="eastAsia" w:eastAsia="仿宋_GB2312"/>
          <w:sz w:val="32"/>
          <w:szCs w:val="32"/>
        </w:rPr>
        <w:t>该项目年初预算数14,727.1万元，全年预算数14,727.1万元</w:t>
      </w:r>
      <w:r>
        <w:rPr>
          <w:rFonts w:hint="eastAsia" w:eastAsia="仿宋_GB2312"/>
          <w:sz w:val="32"/>
          <w:szCs w:val="32"/>
          <w:lang w:eastAsia="zh-CN"/>
        </w:rPr>
        <w:t>，</w:t>
      </w:r>
      <w:r>
        <w:rPr>
          <w:rFonts w:hint="eastAsia" w:eastAsia="仿宋_GB2312"/>
          <w:sz w:val="32"/>
          <w:szCs w:val="32"/>
        </w:rPr>
        <w:t>全年执行数13,802.10万元，预算执行率为</w:t>
      </w:r>
      <w:r>
        <w:rPr>
          <w:rFonts w:hint="eastAsia" w:eastAsia="仿宋_GB2312"/>
          <w:sz w:val="32"/>
          <w:szCs w:val="32"/>
          <w:lang w:val="en-US" w:eastAsia="zh-CN"/>
        </w:rPr>
        <w:t>93.72</w:t>
      </w:r>
      <w:r>
        <w:rPr>
          <w:rFonts w:hint="eastAsia" w:eastAsia="仿宋_GB2312"/>
          <w:sz w:val="32"/>
          <w:szCs w:val="32"/>
        </w:rPr>
        <w:t>%，主要用于</w:t>
      </w:r>
      <w:r>
        <w:rPr>
          <w:rFonts w:hint="eastAsia" w:ascii="Times New Roman" w:hAnsi="Times New Roman" w:eastAsia="仿宋_GB2312" w:cs="Times New Roman"/>
          <w:sz w:val="32"/>
          <w:szCs w:val="32"/>
        </w:rPr>
        <w:t>：支付项目实施进程中的各项费用。</w:t>
      </w:r>
    </w:p>
    <w:p w14:paraId="05235570">
      <w:pPr>
        <w:spacing w:line="560" w:lineRule="exact"/>
        <w:ind w:firstLine="643" w:firstLineChars="200"/>
        <w:rPr>
          <w:rFonts w:eastAsia="楷体_GB2312"/>
          <w:b/>
          <w:bCs/>
          <w:sz w:val="32"/>
          <w:szCs w:val="32"/>
        </w:rPr>
      </w:pPr>
      <w:r>
        <w:rPr>
          <w:rFonts w:eastAsia="楷体_GB2312"/>
          <w:b/>
          <w:bCs/>
          <w:sz w:val="32"/>
          <w:szCs w:val="32"/>
        </w:rPr>
        <w:t>（二）项目绩效目标</w:t>
      </w:r>
    </w:p>
    <w:p w14:paraId="5B89BA1F">
      <w:pPr>
        <w:spacing w:line="560" w:lineRule="exact"/>
        <w:ind w:firstLine="640" w:firstLineChars="200"/>
        <w:rPr>
          <w:rFonts w:eastAsia="仿宋_GB2312"/>
          <w:sz w:val="32"/>
          <w:szCs w:val="32"/>
        </w:rPr>
      </w:pPr>
      <w:r>
        <w:rPr>
          <w:rFonts w:eastAsia="仿宋_GB2312"/>
          <w:sz w:val="32"/>
          <w:szCs w:val="32"/>
        </w:rPr>
        <w:t>1、总体目标</w:t>
      </w:r>
    </w:p>
    <w:p w14:paraId="7E70FC60">
      <w:pPr>
        <w:spacing w:line="560" w:lineRule="exact"/>
        <w:ind w:firstLine="640" w:firstLineChars="200"/>
        <w:rPr>
          <w:rFonts w:eastAsia="仿宋_GB2312"/>
          <w:sz w:val="32"/>
          <w:szCs w:val="32"/>
        </w:rPr>
      </w:pPr>
      <w:r>
        <w:rPr>
          <w:rFonts w:hint="eastAsia" w:eastAsia="仿宋_GB2312"/>
          <w:sz w:val="32"/>
          <w:szCs w:val="32"/>
        </w:rPr>
        <w:t xml:space="preserve">（1）优化医疗收入结构，进一步降低医疗成本，提高医疗服务效率。                                     </w:t>
      </w:r>
    </w:p>
    <w:p w14:paraId="55EE9258">
      <w:pPr>
        <w:spacing w:line="560" w:lineRule="exact"/>
        <w:ind w:firstLine="640" w:firstLineChars="200"/>
        <w:rPr>
          <w:rFonts w:eastAsia="仿宋_GB2312"/>
          <w:sz w:val="32"/>
          <w:szCs w:val="32"/>
        </w:rPr>
      </w:pPr>
      <w:r>
        <w:rPr>
          <w:rFonts w:hint="eastAsia" w:eastAsia="仿宋_GB2312"/>
          <w:sz w:val="32"/>
          <w:szCs w:val="32"/>
        </w:rPr>
        <w:t xml:space="preserve">（2）结合十四五规划，增强特色优势、提高服务效率。                                </w:t>
      </w:r>
    </w:p>
    <w:p w14:paraId="2C2D540A">
      <w:pPr>
        <w:spacing w:line="560" w:lineRule="exact"/>
        <w:ind w:firstLine="640" w:firstLineChars="200"/>
        <w:rPr>
          <w:rFonts w:eastAsia="仿宋_GB2312"/>
          <w:sz w:val="32"/>
          <w:szCs w:val="32"/>
        </w:rPr>
      </w:pPr>
      <w:r>
        <w:rPr>
          <w:rFonts w:hint="eastAsia" w:eastAsia="仿宋_GB2312"/>
          <w:sz w:val="32"/>
          <w:szCs w:val="32"/>
        </w:rPr>
        <w:t>（3）加强精细化管理，保持门急诊量、出院病人数、手术量等核心指标平稳增长。</w:t>
      </w:r>
    </w:p>
    <w:p w14:paraId="0EC95E68">
      <w:pPr>
        <w:spacing w:line="560" w:lineRule="exact"/>
        <w:ind w:firstLine="640" w:firstLineChars="200"/>
      </w:pPr>
      <w:r>
        <w:rPr>
          <w:rFonts w:eastAsia="仿宋_GB2312"/>
          <w:sz w:val="32"/>
          <w:szCs w:val="32"/>
        </w:rPr>
        <w:t>2、阶段性目标</w:t>
      </w:r>
    </w:p>
    <w:p w14:paraId="48B9DBBE">
      <w:pPr>
        <w:spacing w:line="560" w:lineRule="exact"/>
        <w:ind w:firstLine="640" w:firstLineChars="200"/>
        <w:rPr>
          <w:rFonts w:eastAsia="仿宋_GB2312"/>
          <w:sz w:val="32"/>
          <w:szCs w:val="32"/>
        </w:rPr>
      </w:pPr>
      <w:r>
        <w:rPr>
          <w:rFonts w:eastAsia="仿宋_GB2312"/>
          <w:sz w:val="32"/>
          <w:szCs w:val="32"/>
        </w:rPr>
        <w:t>（1）前期准备：通过制定项目实施方案，经</w:t>
      </w:r>
      <w:r>
        <w:rPr>
          <w:rFonts w:hint="eastAsia" w:eastAsia="仿宋_GB2312"/>
          <w:sz w:val="32"/>
          <w:szCs w:val="32"/>
        </w:rPr>
        <w:t>院党委审议</w:t>
      </w:r>
      <w:r>
        <w:rPr>
          <w:rFonts w:eastAsia="仿宋_GB2312"/>
          <w:sz w:val="32"/>
          <w:szCs w:val="32"/>
        </w:rPr>
        <w:t>通过后，有序开展后续工作。</w:t>
      </w:r>
    </w:p>
    <w:p w14:paraId="536D0670">
      <w:pPr>
        <w:spacing w:line="560" w:lineRule="exact"/>
        <w:ind w:firstLine="640" w:firstLineChars="200"/>
        <w:rPr>
          <w:rFonts w:eastAsia="仿宋_GB2312"/>
          <w:sz w:val="32"/>
          <w:szCs w:val="32"/>
        </w:rPr>
      </w:pPr>
      <w:r>
        <w:rPr>
          <w:rFonts w:eastAsia="仿宋_GB2312"/>
          <w:sz w:val="32"/>
          <w:szCs w:val="32"/>
        </w:rPr>
        <w:t>（2）组织实施：资金到位，立即根据项目要求实施项目。</w:t>
      </w:r>
      <w:r>
        <w:rPr>
          <w:rFonts w:hint="eastAsia" w:eastAsia="仿宋_GB2312"/>
          <w:sz w:val="32"/>
          <w:szCs w:val="32"/>
        </w:rPr>
        <w:t>院党委</w:t>
      </w:r>
      <w:r>
        <w:rPr>
          <w:rFonts w:eastAsia="仿宋_GB2312"/>
          <w:sz w:val="32"/>
          <w:szCs w:val="32"/>
        </w:rPr>
        <w:t>按照项目实施方案要求逐一进行项目部署安排，提高项目质量及效率性。</w:t>
      </w:r>
    </w:p>
    <w:p w14:paraId="2681A64E">
      <w:pPr>
        <w:spacing w:line="560" w:lineRule="exact"/>
        <w:ind w:firstLine="640" w:firstLineChars="200"/>
        <w:rPr>
          <w:rFonts w:eastAsia="黑体"/>
          <w:sz w:val="32"/>
          <w:szCs w:val="32"/>
        </w:rPr>
      </w:pPr>
      <w:r>
        <w:rPr>
          <w:rFonts w:eastAsia="黑体"/>
          <w:sz w:val="32"/>
          <w:szCs w:val="32"/>
        </w:rPr>
        <w:t>二、绩效评价工作开展情况</w:t>
      </w:r>
    </w:p>
    <w:p w14:paraId="67BBF67B">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7E513B4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1、绩效评价的目的</w:t>
      </w:r>
    </w:p>
    <w:p w14:paraId="3A0F53ED">
      <w:pPr>
        <w:pStyle w:val="19"/>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通过开展有效的财政支出绩效评价管理，</w:t>
      </w:r>
      <w:r>
        <w:rPr>
          <w:rFonts w:hint="eastAsia" w:ascii="Times New Roman" w:hAnsi="Times New Roman" w:eastAsia="仿宋_GB2312" w:cs="Times New Roman"/>
          <w:b w:val="0"/>
          <w:bCs w:val="0"/>
          <w:kern w:val="2"/>
          <w:sz w:val="32"/>
          <w:szCs w:val="32"/>
          <w:lang w:val="en-US" w:eastAsia="zh-CN" w:bidi="ar-SA"/>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hint="default" w:ascii="Times New Roman" w:hAnsi="Times New Roman" w:eastAsia="仿宋_GB2312" w:cs="Times New Roman"/>
          <w:b w:val="0"/>
          <w:bCs w:val="0"/>
          <w:kern w:val="2"/>
          <w:sz w:val="32"/>
          <w:szCs w:val="32"/>
          <w:lang w:val="en-US" w:eastAsia="zh-CN" w:bidi="ar-SA"/>
        </w:rPr>
        <w:t>改进预算管理、控制节约成本，</w:t>
      </w:r>
      <w:r>
        <w:rPr>
          <w:rFonts w:hint="eastAsia" w:ascii="Times New Roman" w:hAnsi="Times New Roman" w:eastAsia="仿宋_GB2312" w:cs="Times New Roman"/>
          <w:b w:val="0"/>
          <w:bCs w:val="0"/>
          <w:kern w:val="2"/>
          <w:sz w:val="32"/>
          <w:szCs w:val="32"/>
          <w:lang w:val="en-US" w:eastAsia="zh-CN" w:bidi="ar-SA"/>
        </w:rPr>
        <w:t>优化资源配置、</w:t>
      </w:r>
      <w:r>
        <w:rPr>
          <w:rFonts w:hint="default" w:ascii="Times New Roman" w:hAnsi="Times New Roman" w:eastAsia="仿宋_GB2312" w:cs="Times New Roman"/>
          <w:b w:val="0"/>
          <w:bCs w:val="0"/>
          <w:kern w:val="2"/>
          <w:sz w:val="32"/>
          <w:szCs w:val="32"/>
          <w:lang w:val="en-US" w:eastAsia="zh-CN" w:bidi="ar-SA"/>
        </w:rPr>
        <w:t>提高预算资金使用效益的目的。</w:t>
      </w:r>
    </w:p>
    <w:p w14:paraId="7E4927B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2、绩效评价的对象</w:t>
      </w:r>
    </w:p>
    <w:p w14:paraId="7C8470D6">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政府采购项目所包含的全部项目内容。</w:t>
      </w:r>
    </w:p>
    <w:p w14:paraId="76BEB0E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3、绩效评价的范围</w:t>
      </w:r>
    </w:p>
    <w:p w14:paraId="534A4EE7">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政府采购项目的决策、过程、产出、效益等。</w:t>
      </w:r>
    </w:p>
    <w:p w14:paraId="3EA22E5A">
      <w:pPr>
        <w:spacing w:line="560" w:lineRule="exact"/>
        <w:ind w:firstLine="643" w:firstLineChars="200"/>
      </w:pPr>
      <w:r>
        <w:rPr>
          <w:rFonts w:eastAsia="楷体_GB2312"/>
          <w:b/>
          <w:bCs/>
          <w:sz w:val="32"/>
          <w:szCs w:val="32"/>
        </w:rPr>
        <w:t>（二）绩效评价原则、评价指标体系（详情见表1）、评价方法、评价标准。</w:t>
      </w:r>
    </w:p>
    <w:p w14:paraId="6BF5B57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1、绩效评价原则</w:t>
      </w:r>
    </w:p>
    <w:p w14:paraId="2C767BC8">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本次项目绩效评价遵循以下基本原则：</w:t>
      </w:r>
    </w:p>
    <w:p w14:paraId="34272702">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（1）科学公正。绩效评价应当运用科学合理的方法，按照规范的程序，对项目绩效进行客观、公正</w:t>
      </w:r>
      <w:r>
        <w:rPr>
          <w:rFonts w:hint="eastAsia" w:ascii="Times New Roman" w:hAnsi="Times New Roman" w:eastAsia="仿宋_GB2312" w:cs="Times New Roman"/>
          <w:b w:val="0"/>
          <w:bCs w:val="0"/>
          <w:kern w:val="2"/>
          <w:sz w:val="32"/>
          <w:szCs w:val="32"/>
          <w:lang w:val="en-US" w:eastAsia="zh-CN" w:bidi="ar-SA"/>
        </w:rPr>
        <w:t>地</w:t>
      </w:r>
      <w:r>
        <w:rPr>
          <w:rFonts w:hint="default" w:ascii="Times New Roman" w:hAnsi="Times New Roman" w:eastAsia="仿宋_GB2312" w:cs="Times New Roman"/>
          <w:b w:val="0"/>
          <w:bCs w:val="0"/>
          <w:kern w:val="2"/>
          <w:sz w:val="32"/>
          <w:szCs w:val="32"/>
          <w:lang w:val="en-US" w:eastAsia="zh-CN" w:bidi="ar-SA"/>
        </w:rPr>
        <w:t>反映。</w:t>
      </w:r>
    </w:p>
    <w:p w14:paraId="688482FD">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（2）统筹兼顾。单位自评、部门评价和财政评价应职责明确，各有侧重，相互衔接。单位自评应由项目单位自主实施，即“谁支出、谁自评”。部门评价和财政评价应在单位自评的基础上开展。</w:t>
      </w:r>
    </w:p>
    <w:p w14:paraId="1B2C12B4">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（3）激励约束。绩效评价结果应与预算安排、政策调整、改进管理实质性挂钩，体现奖优罚劣和激励相容导向，有效要安排、低效要压减、无效要问责。</w:t>
      </w:r>
    </w:p>
    <w:p w14:paraId="37242E41">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（4）公开透明。绩效评价结果应依法依规公开，并自觉接受社会监督。</w:t>
      </w:r>
    </w:p>
    <w:p w14:paraId="5D6239F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2、评价指标体系</w:t>
      </w:r>
    </w:p>
    <w:p w14:paraId="09862B62">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绩效评价框架是开展绩效评价的核心。绩效评价框架包括评价准则、关键评价问题、评价指标、数据来源、数据收集方法等。指标体系建立过程如下：</w:t>
      </w:r>
    </w:p>
    <w:p w14:paraId="6E094F54">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（1）确定评价指标</w:t>
      </w:r>
    </w:p>
    <w:p w14:paraId="20D3F8DA">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7D83287D">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（2）确定权重</w:t>
      </w:r>
    </w:p>
    <w:p w14:paraId="65D3259C">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确定各个指标相对于项目总体绩效的权重分值。在绩效评价指标体系中，项目决策权重为20分，项目过程权重为20分，项目产出权重为40分，项目效益权重为20分。</w:t>
      </w:r>
    </w:p>
    <w:p w14:paraId="2F4A1A34">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（3）确定指标标准值</w:t>
      </w:r>
    </w:p>
    <w:p w14:paraId="5C284048">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指标标准值是绩效评价指标的尺度，既要反映同类项目的先进水平，又要符合项目的实际绩效水平。具体采用计划标准等确定此次绩效评价指标标准值。</w:t>
      </w:r>
    </w:p>
    <w:p w14:paraId="33D38853">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绩效评价总分值100分，根据综合评分结果，评价计分90分</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100分（含90分）对应的评分结果级别为优，80</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90分（含80分）对应的评分结果级别为良，60</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80分（含60分）对应的评分结果级别为中，60分以下对应的评分结果级别为差。</w:t>
      </w:r>
    </w:p>
    <w:p w14:paraId="708BED72">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具体评价指标体系详情见附件1</w:t>
      </w:r>
    </w:p>
    <w:p w14:paraId="7BF2E7A6">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3、绩效评价方法</w:t>
      </w:r>
    </w:p>
    <w:p w14:paraId="67C05B1C">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绩效评价从项目决策、项目过程、项目产出、项目效益四个维度进行评价。评价对象为项目目标实施情况，  评价核心为资金的支出完成情况和项目的产出效益。</w:t>
      </w:r>
    </w:p>
    <w:p w14:paraId="412B25F2">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本次评价指标中，既有定性指标又有定量指标，各类指标因考核内容不同和客观标准不同存在较大差异，因此核定具体指标时采用了不同方法，具体评价方法如下：</w:t>
      </w:r>
    </w:p>
    <w:p w14:paraId="65EA310A">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（1）比较法</w:t>
      </w:r>
    </w:p>
    <w:p w14:paraId="6BC5E154">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通过对绩效目标与实施效果、历史与当期情况，综合分析绩效目标实现程度。对项目最终验收情况与年度绩效目标对比、预算资金执行情况等相关因素进行比较。</w:t>
      </w:r>
    </w:p>
    <w:p w14:paraId="61982EA3">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（2）因素分析法</w:t>
      </w:r>
    </w:p>
    <w:p w14:paraId="108BA122">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0332B5B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4、评价标准</w:t>
      </w:r>
    </w:p>
    <w:p w14:paraId="42215F76">
      <w:pPr>
        <w:spacing w:line="560" w:lineRule="exact"/>
        <w:ind w:firstLine="64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绩效评价标准通常包括计划标准、行业标准、历史标准等，用于对绩效指标完成情况进行比较、分析、评价。本次评价主要采用了计划标准。</w:t>
      </w:r>
    </w:p>
    <w:p w14:paraId="6405E3D9">
      <w:pPr>
        <w:spacing w:line="560" w:lineRule="exact"/>
        <w:ind w:firstLine="640"/>
        <w:rPr>
          <w:rFonts w:eastAsia="方正仿宋_GBK" w:cs="方正仿宋_GBK"/>
          <w:sz w:val="32"/>
          <w:szCs w:val="32"/>
        </w:rPr>
      </w:pPr>
      <w:bookmarkStart w:id="0" w:name="_Toc17882"/>
      <w:bookmarkStart w:id="1" w:name="_Toc31464"/>
      <w:r>
        <w:rPr>
          <w:rFonts w:hint="eastAsia" w:eastAsia="方正仿宋_GBK" w:cs="方正仿宋_GBK"/>
          <w:b/>
          <w:bCs/>
          <w:sz w:val="32"/>
          <w:szCs w:val="32"/>
        </w:rPr>
        <w:t>计划标准：</w:t>
      </w:r>
      <w:r>
        <w:rPr>
          <w:rFonts w:hint="eastAsia" w:eastAsia="方正仿宋_GBK" w:cs="方正仿宋_GBK"/>
          <w:sz w:val="32"/>
          <w:szCs w:val="32"/>
        </w:rPr>
        <w:t>指以预先制定的目标、计划、预算、定额等作为评价标准。</w:t>
      </w:r>
      <w:bookmarkEnd w:id="0"/>
      <w:bookmarkEnd w:id="1"/>
    </w:p>
    <w:p w14:paraId="4B581C09">
      <w:pPr>
        <w:pStyle w:val="2"/>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1AD47F7B">
      <w:pPr>
        <w:spacing w:line="560" w:lineRule="exact"/>
        <w:ind w:firstLine="64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前期准备。首先成立评价工作组，开展前期调研；其次明确项目绩效目标，设计绩效评价指标体系并确定绩效评价方法；接着确定现场和非现场评价范围，设计资料清单；最后制定评价实施方案并进行论证。</w:t>
      </w:r>
    </w:p>
    <w:p w14:paraId="2F1549F0">
      <w:pPr>
        <w:spacing w:line="560" w:lineRule="exact"/>
        <w:ind w:firstLine="64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组织实施。制定绩效评价工作方案，具体包括项目概况、评价思路、方法手段、组织实施、进度安排等。收集项目立项依据、相关会议纪要、实施方案、财政资金分配方案、支付管理情况等相关评价资料并进行梳理。</w:t>
      </w:r>
    </w:p>
    <w:p w14:paraId="6E731376">
      <w:pPr>
        <w:spacing w:line="560" w:lineRule="exact"/>
        <w:ind w:firstLine="64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分析评价。根据收集梳理的资料围绕项目立项、资金落实、业务管理、财务管理、项目产出、项目效益等内容，对照已确定的绩效评价指标进行详细全面的分析评价，逐项打分并形成绩效评价最终结果。</w:t>
      </w:r>
    </w:p>
    <w:p w14:paraId="26548235">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0549C549">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2A2825AC">
      <w:pPr>
        <w:spacing w:line="560" w:lineRule="exact"/>
        <w:ind w:firstLine="64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项目总体组织规范，在项目实施过</w:t>
      </w:r>
      <w:r>
        <w:rPr>
          <w:rFonts w:hint="eastAsia" w:eastAsia="仿宋_GB2312" w:cs="Times New Roman"/>
          <w:b w:val="0"/>
          <w:bCs w:val="0"/>
          <w:kern w:val="2"/>
          <w:sz w:val="32"/>
          <w:szCs w:val="32"/>
          <w:lang w:val="en-US" w:eastAsia="zh-CN" w:bidi="ar-SA"/>
        </w:rPr>
        <w:t>程中</w:t>
      </w:r>
      <w:r>
        <w:rPr>
          <w:rFonts w:hint="eastAsia" w:ascii="Times New Roman" w:hAnsi="Times New Roman" w:eastAsia="仿宋_GB2312" w:cs="Times New Roman"/>
          <w:b w:val="0"/>
          <w:bCs w:val="0"/>
          <w:kern w:val="2"/>
          <w:sz w:val="32"/>
          <w:szCs w:val="32"/>
          <w:lang w:val="en-US" w:eastAsia="zh-CN" w:bidi="ar-SA"/>
        </w:rPr>
        <w:t>做到认真履职，监督到位。按照相关制度的要求，项目负责人对项目绩效监控执行情况进行跟踪监督，有效完成了本项目的工作目标，确保资金使用安全和最大效益</w:t>
      </w:r>
      <w:r>
        <w:rPr>
          <w:rFonts w:hint="eastAsia" w:eastAsia="仿宋_GB2312" w:cs="Times New Roman"/>
          <w:b w:val="0"/>
          <w:bCs w:val="0"/>
          <w:kern w:val="2"/>
          <w:sz w:val="32"/>
          <w:szCs w:val="32"/>
          <w:lang w:val="en-US" w:eastAsia="zh-CN" w:bidi="ar-SA"/>
        </w:rPr>
        <w:t>地</w:t>
      </w:r>
      <w:r>
        <w:rPr>
          <w:rFonts w:hint="eastAsia" w:ascii="Times New Roman" w:hAnsi="Times New Roman" w:eastAsia="仿宋_GB2312" w:cs="Times New Roman"/>
          <w:b w:val="0"/>
          <w:bCs w:val="0"/>
          <w:kern w:val="2"/>
          <w:sz w:val="32"/>
          <w:szCs w:val="32"/>
          <w:lang w:val="en-US" w:eastAsia="zh-CN" w:bidi="ar-SA"/>
        </w:rPr>
        <w:t>发挥，保障项目如期按要求完成。规范了项目档案资料的整理。项目的实施达到项目预期效果。</w:t>
      </w:r>
    </w:p>
    <w:p w14:paraId="7807C5E9">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4D159AFE">
      <w:pPr>
        <w:pStyle w:val="2"/>
        <w:widowControl w:val="0"/>
        <w:spacing w:before="0" w:after="0" w:line="560" w:lineRule="exact"/>
        <w:ind w:firstLine="640" w:firstLineChars="200"/>
        <w:jc w:val="both"/>
        <w:outlineLvl w:val="9"/>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运用绩效评价组制定的评价指标体系以及财政部《项目支出绩效评价管理办法》（财预〔2020〕10号）文件的评分标准，通过数据采集、问卷调查及访谈等方式，对政府采购项目进行客观评价，最终评分结果：总得分为97.50分，属于“优”。其中，项目决策类指标权重为20分，得分为19.50分，得分率为97.50%。项目过程类指标权重为20分，得分为19分，得分率为95%。项目产出类指标权重为40分，得分为40分，得分率为100%。项目效益类指标权重为20分，得分为19分，得分率为95%。</w:t>
      </w:r>
    </w:p>
    <w:p w14:paraId="65D289D9">
      <w:pPr>
        <w:pStyle w:val="2"/>
        <w:rPr>
          <w:rFonts w:ascii="Times New Roman" w:hAnsi="Times New Roman" w:eastAsia="仿宋_GB2312"/>
          <w:sz w:val="30"/>
          <w:szCs w:val="30"/>
        </w:rPr>
      </w:pPr>
    </w:p>
    <w:p w14:paraId="00111F5E">
      <w:pPr>
        <w:pStyle w:val="2"/>
        <w:rPr>
          <w:rFonts w:ascii="Times New Roman" w:hAnsi="Times New Roman" w:eastAsia="仿宋_GB2312"/>
          <w:sz w:val="30"/>
          <w:szCs w:val="30"/>
        </w:rPr>
      </w:pPr>
    </w:p>
    <w:p w14:paraId="3B185329">
      <w:pPr>
        <w:pStyle w:val="2"/>
        <w:rPr>
          <w:rFonts w:ascii="Times New Roman" w:hAnsi="Times New Roman" w:eastAsia="仿宋_GB2312"/>
          <w:sz w:val="30"/>
          <w:szCs w:val="30"/>
        </w:rPr>
      </w:pPr>
    </w:p>
    <w:p w14:paraId="09979C28">
      <w:pPr>
        <w:rPr>
          <w:rFonts w:ascii="Times New Roman" w:hAnsi="Times New Roman" w:eastAsia="仿宋_GB2312"/>
          <w:sz w:val="30"/>
          <w:szCs w:val="30"/>
        </w:rPr>
      </w:pPr>
    </w:p>
    <w:p w14:paraId="5AA23405">
      <w:pPr>
        <w:pStyle w:val="2"/>
        <w:rPr>
          <w:rFonts w:ascii="Times New Roman" w:hAnsi="Times New Roman" w:eastAsia="仿宋_GB2312"/>
          <w:sz w:val="30"/>
          <w:szCs w:val="30"/>
        </w:rPr>
      </w:pPr>
    </w:p>
    <w:p w14:paraId="26674D4C">
      <w:pPr>
        <w:rPr>
          <w:rFonts w:ascii="Times New Roman" w:hAnsi="Times New Roman" w:eastAsia="仿宋_GB2312"/>
          <w:sz w:val="30"/>
          <w:szCs w:val="30"/>
        </w:rPr>
      </w:pPr>
    </w:p>
    <w:p w14:paraId="4C63AF63">
      <w:pPr>
        <w:pStyle w:val="2"/>
        <w:rPr>
          <w:rFonts w:ascii="Times New Roman" w:hAnsi="Times New Roman" w:eastAsia="仿宋_GB2312"/>
          <w:sz w:val="30"/>
          <w:szCs w:val="30"/>
        </w:rPr>
      </w:pPr>
    </w:p>
    <w:p w14:paraId="153C68C9">
      <w:pPr>
        <w:rPr>
          <w:rFonts w:ascii="Times New Roman" w:hAnsi="Times New Roman" w:eastAsia="仿宋_GB2312"/>
          <w:sz w:val="30"/>
          <w:szCs w:val="30"/>
        </w:rPr>
      </w:pPr>
    </w:p>
    <w:p w14:paraId="594EBDFE">
      <w:pPr>
        <w:pStyle w:val="2"/>
      </w:pPr>
    </w:p>
    <w:p w14:paraId="6F617F46"/>
    <w:p w14:paraId="7BA978D6">
      <w:pPr>
        <w:pStyle w:val="2"/>
        <w:rPr>
          <w:rFonts w:ascii="Times New Roman" w:hAnsi="Times New Roman" w:eastAsia="仿宋_GB2312"/>
          <w:sz w:val="30"/>
          <w:szCs w:val="30"/>
        </w:rPr>
      </w:pPr>
    </w:p>
    <w:p w14:paraId="00094AB1">
      <w:pPr>
        <w:pStyle w:val="2"/>
      </w:pPr>
      <w:r>
        <w:rPr>
          <w:rFonts w:ascii="Times New Roman" w:hAnsi="Times New Roman" w:eastAsia="仿宋_GB2312"/>
          <w:sz w:val="30"/>
          <w:szCs w:val="30"/>
        </w:rPr>
        <w:t>表1综合评分表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690"/>
        <w:gridCol w:w="1155"/>
        <w:gridCol w:w="1665"/>
        <w:gridCol w:w="660"/>
        <w:gridCol w:w="975"/>
        <w:gridCol w:w="810"/>
        <w:gridCol w:w="930"/>
        <w:gridCol w:w="775"/>
      </w:tblGrid>
      <w:tr w14:paraId="2D76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Align w:val="center"/>
          </w:tcPr>
          <w:p w14:paraId="728CBE32">
            <w:pPr>
              <w:widowControl/>
              <w:spacing w:beforeLines="50" w:afterLines="50" w:line="0" w:lineRule="atLeast"/>
              <w:rPr>
                <w:b/>
                <w:bCs/>
                <w:color w:val="000000"/>
                <w:kern w:val="0"/>
                <w:sz w:val="22"/>
                <w:szCs w:val="22"/>
              </w:rPr>
            </w:pPr>
            <w:r>
              <w:rPr>
                <w:b/>
                <w:bCs/>
                <w:color w:val="000000"/>
                <w:kern w:val="0"/>
                <w:sz w:val="22"/>
                <w:szCs w:val="22"/>
              </w:rPr>
              <w:t>一级指标</w:t>
            </w:r>
          </w:p>
        </w:tc>
        <w:tc>
          <w:tcPr>
            <w:tcW w:w="690" w:type="dxa"/>
            <w:vAlign w:val="center"/>
          </w:tcPr>
          <w:p w14:paraId="67A10970">
            <w:pPr>
              <w:widowControl/>
              <w:spacing w:beforeLines="50" w:afterLines="50" w:line="0" w:lineRule="atLeast"/>
              <w:rPr>
                <w:b/>
                <w:bCs/>
                <w:color w:val="000000"/>
                <w:kern w:val="0"/>
                <w:sz w:val="22"/>
                <w:szCs w:val="22"/>
              </w:rPr>
            </w:pPr>
            <w:r>
              <w:rPr>
                <w:b/>
                <w:bCs/>
                <w:color w:val="000000"/>
                <w:kern w:val="0"/>
                <w:sz w:val="22"/>
                <w:szCs w:val="22"/>
              </w:rPr>
              <w:t>分值</w:t>
            </w:r>
          </w:p>
        </w:tc>
        <w:tc>
          <w:tcPr>
            <w:tcW w:w="1155" w:type="dxa"/>
            <w:vAlign w:val="center"/>
          </w:tcPr>
          <w:p w14:paraId="179BF8E4">
            <w:pPr>
              <w:widowControl/>
              <w:spacing w:beforeLines="50" w:afterLines="50" w:line="0" w:lineRule="atLeast"/>
              <w:rPr>
                <w:b/>
                <w:bCs/>
                <w:color w:val="000000"/>
                <w:kern w:val="0"/>
                <w:sz w:val="22"/>
                <w:szCs w:val="22"/>
              </w:rPr>
            </w:pPr>
            <w:r>
              <w:rPr>
                <w:b/>
                <w:bCs/>
                <w:color w:val="000000"/>
                <w:kern w:val="0"/>
                <w:sz w:val="22"/>
                <w:szCs w:val="22"/>
              </w:rPr>
              <w:t>二级指标</w:t>
            </w:r>
          </w:p>
        </w:tc>
        <w:tc>
          <w:tcPr>
            <w:tcW w:w="1665" w:type="dxa"/>
            <w:vAlign w:val="center"/>
          </w:tcPr>
          <w:p w14:paraId="19C07AC5">
            <w:pPr>
              <w:widowControl/>
              <w:spacing w:beforeLines="50" w:afterLines="50" w:line="0" w:lineRule="atLeast"/>
              <w:rPr>
                <w:b/>
                <w:bCs/>
                <w:color w:val="000000"/>
                <w:kern w:val="0"/>
                <w:sz w:val="22"/>
                <w:szCs w:val="22"/>
              </w:rPr>
            </w:pPr>
            <w:r>
              <w:rPr>
                <w:b/>
                <w:bCs/>
                <w:color w:val="000000"/>
                <w:kern w:val="0"/>
                <w:sz w:val="22"/>
                <w:szCs w:val="22"/>
              </w:rPr>
              <w:t>三级指标</w:t>
            </w:r>
          </w:p>
        </w:tc>
        <w:tc>
          <w:tcPr>
            <w:tcW w:w="660" w:type="dxa"/>
            <w:vAlign w:val="center"/>
          </w:tcPr>
          <w:p w14:paraId="6B64D494">
            <w:pPr>
              <w:widowControl/>
              <w:spacing w:beforeLines="50" w:afterLines="50" w:line="0" w:lineRule="atLeast"/>
              <w:rPr>
                <w:b/>
                <w:bCs/>
                <w:color w:val="000000"/>
                <w:kern w:val="0"/>
                <w:sz w:val="22"/>
                <w:szCs w:val="22"/>
              </w:rPr>
            </w:pPr>
            <w:r>
              <w:rPr>
                <w:b/>
                <w:bCs/>
                <w:color w:val="000000"/>
                <w:kern w:val="0"/>
                <w:sz w:val="22"/>
                <w:szCs w:val="22"/>
              </w:rPr>
              <w:t>权重</w:t>
            </w:r>
          </w:p>
        </w:tc>
        <w:tc>
          <w:tcPr>
            <w:tcW w:w="975" w:type="dxa"/>
            <w:vAlign w:val="center"/>
          </w:tcPr>
          <w:p w14:paraId="43001F79">
            <w:pPr>
              <w:widowControl/>
              <w:spacing w:beforeLines="50" w:afterLines="50" w:line="0" w:lineRule="atLeast"/>
              <w:rPr>
                <w:b/>
                <w:bCs/>
                <w:color w:val="000000"/>
                <w:kern w:val="0"/>
                <w:sz w:val="22"/>
                <w:szCs w:val="22"/>
              </w:rPr>
            </w:pPr>
            <w:r>
              <w:rPr>
                <w:b/>
                <w:bCs/>
                <w:color w:val="000000"/>
                <w:kern w:val="0"/>
                <w:sz w:val="22"/>
                <w:szCs w:val="22"/>
              </w:rPr>
              <w:t>目标值</w:t>
            </w:r>
          </w:p>
        </w:tc>
        <w:tc>
          <w:tcPr>
            <w:tcW w:w="810" w:type="dxa"/>
            <w:vAlign w:val="center"/>
          </w:tcPr>
          <w:p w14:paraId="5C102E09">
            <w:pPr>
              <w:widowControl/>
              <w:spacing w:beforeLines="50" w:afterLines="50" w:line="0" w:lineRule="atLeast"/>
              <w:rPr>
                <w:b/>
                <w:bCs/>
                <w:color w:val="000000"/>
                <w:kern w:val="0"/>
                <w:sz w:val="22"/>
                <w:szCs w:val="22"/>
              </w:rPr>
            </w:pPr>
            <w:r>
              <w:rPr>
                <w:b/>
                <w:bCs/>
                <w:color w:val="000000"/>
                <w:kern w:val="0"/>
                <w:sz w:val="22"/>
                <w:szCs w:val="22"/>
              </w:rPr>
              <w:t>业绩值</w:t>
            </w:r>
          </w:p>
        </w:tc>
        <w:tc>
          <w:tcPr>
            <w:tcW w:w="930" w:type="dxa"/>
            <w:vAlign w:val="center"/>
          </w:tcPr>
          <w:p w14:paraId="78250D4B">
            <w:pPr>
              <w:widowControl/>
              <w:spacing w:beforeLines="50" w:afterLines="50" w:line="0" w:lineRule="atLeast"/>
              <w:rPr>
                <w:b/>
                <w:bCs/>
                <w:color w:val="000000"/>
                <w:kern w:val="0"/>
                <w:sz w:val="22"/>
                <w:szCs w:val="22"/>
              </w:rPr>
            </w:pPr>
            <w:r>
              <w:rPr>
                <w:b/>
                <w:bCs/>
                <w:color w:val="000000"/>
                <w:kern w:val="0"/>
                <w:sz w:val="22"/>
                <w:szCs w:val="22"/>
              </w:rPr>
              <w:t>得分率</w:t>
            </w:r>
          </w:p>
        </w:tc>
        <w:tc>
          <w:tcPr>
            <w:tcW w:w="775" w:type="dxa"/>
            <w:vAlign w:val="center"/>
          </w:tcPr>
          <w:p w14:paraId="0D0EC6BC">
            <w:pPr>
              <w:widowControl/>
              <w:spacing w:beforeLines="50" w:afterLines="50" w:line="0" w:lineRule="atLeast"/>
              <w:rPr>
                <w:b/>
                <w:bCs/>
                <w:color w:val="000000"/>
                <w:kern w:val="0"/>
                <w:sz w:val="22"/>
                <w:szCs w:val="22"/>
              </w:rPr>
            </w:pPr>
            <w:r>
              <w:rPr>
                <w:b/>
                <w:bCs/>
                <w:color w:val="000000"/>
                <w:kern w:val="0"/>
                <w:sz w:val="22"/>
                <w:szCs w:val="22"/>
              </w:rPr>
              <w:t>得分</w:t>
            </w:r>
          </w:p>
        </w:tc>
      </w:tr>
      <w:tr w14:paraId="0E32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restart"/>
            <w:vAlign w:val="center"/>
          </w:tcPr>
          <w:p w14:paraId="53ABF10D">
            <w:pPr>
              <w:widowControl/>
              <w:spacing w:beforeLines="50" w:afterLines="50" w:line="0" w:lineRule="atLeast"/>
              <w:jc w:val="center"/>
            </w:pPr>
            <w:r>
              <w:rPr>
                <w:color w:val="000000"/>
                <w:kern w:val="0"/>
                <w:sz w:val="22"/>
                <w:szCs w:val="22"/>
              </w:rPr>
              <w:t>决策</w:t>
            </w:r>
          </w:p>
        </w:tc>
        <w:tc>
          <w:tcPr>
            <w:tcW w:w="690" w:type="dxa"/>
            <w:vMerge w:val="restart"/>
            <w:vAlign w:val="center"/>
          </w:tcPr>
          <w:p w14:paraId="07D4565B">
            <w:pPr>
              <w:widowControl/>
              <w:spacing w:beforeLines="50" w:afterLines="50" w:line="0" w:lineRule="atLeast"/>
              <w:jc w:val="center"/>
            </w:pPr>
            <w:r>
              <w:rPr>
                <w:kern w:val="0"/>
                <w:sz w:val="22"/>
                <w:szCs w:val="22"/>
              </w:rPr>
              <w:t>20分</w:t>
            </w:r>
          </w:p>
        </w:tc>
        <w:tc>
          <w:tcPr>
            <w:tcW w:w="1155" w:type="dxa"/>
            <w:vMerge w:val="restart"/>
            <w:vAlign w:val="center"/>
          </w:tcPr>
          <w:p w14:paraId="0D38E5E8">
            <w:pPr>
              <w:widowControl/>
              <w:spacing w:beforeLines="50" w:afterLines="50" w:line="0" w:lineRule="atLeast"/>
              <w:jc w:val="center"/>
            </w:pPr>
            <w:r>
              <w:rPr>
                <w:color w:val="000000"/>
                <w:kern w:val="0"/>
                <w:sz w:val="22"/>
                <w:szCs w:val="22"/>
              </w:rPr>
              <w:t>项目立项</w:t>
            </w:r>
          </w:p>
        </w:tc>
        <w:tc>
          <w:tcPr>
            <w:tcW w:w="1665" w:type="dxa"/>
            <w:vAlign w:val="center"/>
          </w:tcPr>
          <w:p w14:paraId="21ADAA33">
            <w:pPr>
              <w:widowControl/>
              <w:spacing w:beforeLines="50" w:afterLines="50" w:line="0" w:lineRule="atLeast"/>
              <w:jc w:val="center"/>
              <w:rPr>
                <w:color w:val="000000"/>
                <w:kern w:val="0"/>
                <w:sz w:val="22"/>
                <w:szCs w:val="22"/>
              </w:rPr>
            </w:pPr>
            <w:r>
              <w:rPr>
                <w:color w:val="000000"/>
                <w:kern w:val="0"/>
                <w:sz w:val="22"/>
                <w:szCs w:val="22"/>
              </w:rPr>
              <w:t>立项依据</w:t>
            </w:r>
          </w:p>
          <w:p w14:paraId="42738D32">
            <w:pPr>
              <w:widowControl/>
              <w:spacing w:beforeLines="50" w:afterLines="50" w:line="0" w:lineRule="atLeast"/>
              <w:jc w:val="center"/>
            </w:pPr>
            <w:r>
              <w:rPr>
                <w:color w:val="000000"/>
                <w:kern w:val="0"/>
                <w:sz w:val="22"/>
                <w:szCs w:val="22"/>
              </w:rPr>
              <w:t>充分性</w:t>
            </w:r>
          </w:p>
        </w:tc>
        <w:tc>
          <w:tcPr>
            <w:tcW w:w="660" w:type="dxa"/>
            <w:vAlign w:val="center"/>
          </w:tcPr>
          <w:p w14:paraId="19C3D44E">
            <w:pPr>
              <w:widowControl/>
              <w:spacing w:beforeLines="50" w:afterLines="50" w:line="0" w:lineRule="atLeast"/>
              <w:jc w:val="center"/>
            </w:pPr>
            <w:r>
              <w:rPr>
                <w:color w:val="000000"/>
                <w:kern w:val="0"/>
                <w:sz w:val="22"/>
                <w:szCs w:val="22"/>
              </w:rPr>
              <w:t>3</w:t>
            </w:r>
          </w:p>
        </w:tc>
        <w:tc>
          <w:tcPr>
            <w:tcW w:w="975" w:type="dxa"/>
            <w:vAlign w:val="center"/>
          </w:tcPr>
          <w:p w14:paraId="57DCCFAD">
            <w:pPr>
              <w:widowControl/>
              <w:spacing w:beforeLines="50" w:afterLines="50" w:line="0" w:lineRule="atLeast"/>
              <w:jc w:val="center"/>
            </w:pPr>
            <w:r>
              <w:rPr>
                <w:color w:val="000000"/>
                <w:kern w:val="0"/>
                <w:sz w:val="22"/>
                <w:szCs w:val="22"/>
              </w:rPr>
              <w:t>充分</w:t>
            </w:r>
          </w:p>
        </w:tc>
        <w:tc>
          <w:tcPr>
            <w:tcW w:w="810" w:type="dxa"/>
            <w:vAlign w:val="center"/>
          </w:tcPr>
          <w:p w14:paraId="51439915">
            <w:pPr>
              <w:widowControl/>
              <w:spacing w:beforeLines="50" w:afterLines="50" w:line="0" w:lineRule="atLeast"/>
              <w:jc w:val="center"/>
            </w:pPr>
            <w:r>
              <w:rPr>
                <w:color w:val="000000"/>
                <w:kern w:val="0"/>
                <w:sz w:val="22"/>
                <w:szCs w:val="22"/>
              </w:rPr>
              <w:t>充分</w:t>
            </w:r>
          </w:p>
        </w:tc>
        <w:tc>
          <w:tcPr>
            <w:tcW w:w="930" w:type="dxa"/>
            <w:vAlign w:val="center"/>
          </w:tcPr>
          <w:p w14:paraId="3D1D3F9B">
            <w:pPr>
              <w:widowControl/>
              <w:spacing w:beforeLines="50" w:afterLines="50" w:line="0" w:lineRule="atLeast"/>
              <w:jc w:val="center"/>
            </w:pPr>
            <w:r>
              <w:rPr>
                <w:rFonts w:hint="eastAsia"/>
                <w:color w:val="000000"/>
                <w:kern w:val="0"/>
                <w:sz w:val="22"/>
                <w:szCs w:val="22"/>
              </w:rPr>
              <w:t>100%</w:t>
            </w:r>
          </w:p>
        </w:tc>
        <w:tc>
          <w:tcPr>
            <w:tcW w:w="775" w:type="dxa"/>
            <w:vAlign w:val="center"/>
          </w:tcPr>
          <w:p w14:paraId="749EAAC5">
            <w:pPr>
              <w:widowControl/>
              <w:spacing w:beforeLines="50" w:afterLines="50" w:line="0" w:lineRule="atLeast"/>
              <w:jc w:val="center"/>
            </w:pPr>
            <w:r>
              <w:rPr>
                <w:rFonts w:hint="eastAsia"/>
                <w:color w:val="000000"/>
                <w:kern w:val="0"/>
                <w:sz w:val="22"/>
                <w:szCs w:val="22"/>
              </w:rPr>
              <w:t>3</w:t>
            </w:r>
          </w:p>
        </w:tc>
      </w:tr>
      <w:tr w14:paraId="0235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2E616378"/>
        </w:tc>
        <w:tc>
          <w:tcPr>
            <w:tcW w:w="690" w:type="dxa"/>
            <w:vMerge w:val="continue"/>
          </w:tcPr>
          <w:p w14:paraId="1A551AB2"/>
        </w:tc>
        <w:tc>
          <w:tcPr>
            <w:tcW w:w="1155" w:type="dxa"/>
            <w:vMerge w:val="continue"/>
          </w:tcPr>
          <w:p w14:paraId="489A7B3E"/>
        </w:tc>
        <w:tc>
          <w:tcPr>
            <w:tcW w:w="1665" w:type="dxa"/>
            <w:vAlign w:val="center"/>
          </w:tcPr>
          <w:p w14:paraId="5D9B89D1">
            <w:pPr>
              <w:widowControl/>
              <w:spacing w:beforeLines="50" w:afterLines="50" w:line="0" w:lineRule="atLeast"/>
              <w:jc w:val="center"/>
              <w:rPr>
                <w:color w:val="000000"/>
                <w:kern w:val="0"/>
                <w:sz w:val="22"/>
                <w:szCs w:val="22"/>
              </w:rPr>
            </w:pPr>
            <w:r>
              <w:rPr>
                <w:color w:val="000000"/>
                <w:kern w:val="0"/>
                <w:sz w:val="22"/>
                <w:szCs w:val="22"/>
              </w:rPr>
              <w:t>立项程序</w:t>
            </w:r>
          </w:p>
          <w:p w14:paraId="37D091F0">
            <w:pPr>
              <w:widowControl/>
              <w:spacing w:beforeLines="50" w:afterLines="50" w:line="0" w:lineRule="atLeast"/>
              <w:jc w:val="center"/>
            </w:pPr>
            <w:r>
              <w:rPr>
                <w:color w:val="000000"/>
                <w:kern w:val="0"/>
                <w:sz w:val="22"/>
                <w:szCs w:val="22"/>
              </w:rPr>
              <w:t>规范性</w:t>
            </w:r>
          </w:p>
        </w:tc>
        <w:tc>
          <w:tcPr>
            <w:tcW w:w="660" w:type="dxa"/>
            <w:vAlign w:val="center"/>
          </w:tcPr>
          <w:p w14:paraId="286D376C">
            <w:pPr>
              <w:widowControl/>
              <w:spacing w:beforeLines="50" w:afterLines="50" w:line="0" w:lineRule="atLeast"/>
              <w:jc w:val="center"/>
            </w:pPr>
            <w:r>
              <w:rPr>
                <w:color w:val="000000"/>
                <w:kern w:val="0"/>
                <w:sz w:val="22"/>
                <w:szCs w:val="22"/>
              </w:rPr>
              <w:t>3</w:t>
            </w:r>
          </w:p>
        </w:tc>
        <w:tc>
          <w:tcPr>
            <w:tcW w:w="975" w:type="dxa"/>
            <w:vAlign w:val="center"/>
          </w:tcPr>
          <w:p w14:paraId="4048A397">
            <w:pPr>
              <w:widowControl/>
              <w:spacing w:beforeLines="50" w:afterLines="50" w:line="0" w:lineRule="atLeast"/>
              <w:jc w:val="center"/>
            </w:pPr>
            <w:r>
              <w:rPr>
                <w:color w:val="000000"/>
                <w:kern w:val="0"/>
                <w:sz w:val="22"/>
                <w:szCs w:val="22"/>
              </w:rPr>
              <w:t>规范</w:t>
            </w:r>
          </w:p>
        </w:tc>
        <w:tc>
          <w:tcPr>
            <w:tcW w:w="810" w:type="dxa"/>
            <w:vAlign w:val="center"/>
          </w:tcPr>
          <w:p w14:paraId="0A4F9FEA">
            <w:pPr>
              <w:widowControl/>
              <w:spacing w:beforeLines="50" w:afterLines="50" w:line="0" w:lineRule="atLeast"/>
              <w:jc w:val="center"/>
            </w:pPr>
            <w:r>
              <w:rPr>
                <w:color w:val="000000"/>
                <w:kern w:val="0"/>
                <w:sz w:val="22"/>
                <w:szCs w:val="22"/>
              </w:rPr>
              <w:t>规范</w:t>
            </w:r>
          </w:p>
        </w:tc>
        <w:tc>
          <w:tcPr>
            <w:tcW w:w="930" w:type="dxa"/>
            <w:vAlign w:val="center"/>
          </w:tcPr>
          <w:p w14:paraId="20C49E5A">
            <w:pPr>
              <w:widowControl/>
              <w:spacing w:beforeLines="50" w:afterLines="50" w:line="0" w:lineRule="atLeast"/>
              <w:jc w:val="center"/>
            </w:pPr>
            <w:r>
              <w:rPr>
                <w:rFonts w:hint="eastAsia"/>
                <w:color w:val="000000"/>
                <w:kern w:val="0"/>
                <w:sz w:val="22"/>
                <w:szCs w:val="22"/>
              </w:rPr>
              <w:t>100%</w:t>
            </w:r>
          </w:p>
        </w:tc>
        <w:tc>
          <w:tcPr>
            <w:tcW w:w="775" w:type="dxa"/>
            <w:vAlign w:val="center"/>
          </w:tcPr>
          <w:p w14:paraId="32932EFF">
            <w:pPr>
              <w:widowControl/>
              <w:spacing w:beforeLines="50" w:afterLines="50" w:line="0" w:lineRule="atLeast"/>
              <w:jc w:val="center"/>
            </w:pPr>
            <w:r>
              <w:rPr>
                <w:rFonts w:hint="eastAsia"/>
                <w:color w:val="000000"/>
                <w:kern w:val="0"/>
                <w:sz w:val="22"/>
                <w:szCs w:val="22"/>
              </w:rPr>
              <w:t>3</w:t>
            </w:r>
          </w:p>
        </w:tc>
      </w:tr>
      <w:tr w14:paraId="3339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61B7A36C"/>
        </w:tc>
        <w:tc>
          <w:tcPr>
            <w:tcW w:w="690" w:type="dxa"/>
            <w:vMerge w:val="continue"/>
          </w:tcPr>
          <w:p w14:paraId="6D32971A"/>
        </w:tc>
        <w:tc>
          <w:tcPr>
            <w:tcW w:w="1155" w:type="dxa"/>
            <w:vMerge w:val="restart"/>
            <w:vAlign w:val="center"/>
          </w:tcPr>
          <w:p w14:paraId="09B6192F">
            <w:pPr>
              <w:widowControl/>
              <w:spacing w:beforeLines="50" w:afterLines="50" w:line="0" w:lineRule="atLeast"/>
              <w:jc w:val="center"/>
            </w:pPr>
            <w:r>
              <w:rPr>
                <w:color w:val="000000"/>
                <w:kern w:val="0"/>
                <w:sz w:val="22"/>
                <w:szCs w:val="22"/>
              </w:rPr>
              <w:t>绩效目标</w:t>
            </w:r>
          </w:p>
        </w:tc>
        <w:tc>
          <w:tcPr>
            <w:tcW w:w="1665" w:type="dxa"/>
            <w:vAlign w:val="center"/>
          </w:tcPr>
          <w:p w14:paraId="7244AC1E">
            <w:pPr>
              <w:widowControl/>
              <w:spacing w:beforeLines="50" w:afterLines="50" w:line="0" w:lineRule="atLeast"/>
              <w:jc w:val="center"/>
              <w:rPr>
                <w:color w:val="000000"/>
                <w:kern w:val="0"/>
                <w:sz w:val="22"/>
                <w:szCs w:val="22"/>
              </w:rPr>
            </w:pPr>
            <w:r>
              <w:rPr>
                <w:color w:val="000000"/>
                <w:kern w:val="0"/>
                <w:sz w:val="22"/>
                <w:szCs w:val="22"/>
              </w:rPr>
              <w:t>绩效目标</w:t>
            </w:r>
          </w:p>
          <w:p w14:paraId="4FBFD385">
            <w:pPr>
              <w:widowControl/>
              <w:spacing w:beforeLines="50" w:afterLines="50" w:line="0" w:lineRule="atLeast"/>
              <w:jc w:val="center"/>
            </w:pPr>
            <w:r>
              <w:rPr>
                <w:color w:val="000000"/>
                <w:kern w:val="0"/>
                <w:sz w:val="22"/>
                <w:szCs w:val="22"/>
              </w:rPr>
              <w:t>合理性</w:t>
            </w:r>
          </w:p>
        </w:tc>
        <w:tc>
          <w:tcPr>
            <w:tcW w:w="660" w:type="dxa"/>
            <w:vAlign w:val="center"/>
          </w:tcPr>
          <w:p w14:paraId="000EDA1B">
            <w:pPr>
              <w:widowControl/>
              <w:spacing w:beforeLines="50" w:afterLines="50" w:line="0" w:lineRule="atLeast"/>
              <w:jc w:val="center"/>
            </w:pPr>
            <w:r>
              <w:rPr>
                <w:color w:val="000000"/>
                <w:kern w:val="0"/>
                <w:sz w:val="22"/>
                <w:szCs w:val="22"/>
              </w:rPr>
              <w:t>3</w:t>
            </w:r>
          </w:p>
        </w:tc>
        <w:tc>
          <w:tcPr>
            <w:tcW w:w="975" w:type="dxa"/>
            <w:vAlign w:val="center"/>
          </w:tcPr>
          <w:p w14:paraId="0894E2BE">
            <w:pPr>
              <w:widowControl/>
              <w:spacing w:beforeLines="50" w:afterLines="50" w:line="0" w:lineRule="atLeast"/>
              <w:jc w:val="center"/>
            </w:pPr>
            <w:r>
              <w:rPr>
                <w:color w:val="000000"/>
                <w:kern w:val="0"/>
                <w:sz w:val="22"/>
                <w:szCs w:val="22"/>
              </w:rPr>
              <w:t>合理</w:t>
            </w:r>
          </w:p>
        </w:tc>
        <w:tc>
          <w:tcPr>
            <w:tcW w:w="810" w:type="dxa"/>
            <w:vAlign w:val="center"/>
          </w:tcPr>
          <w:p w14:paraId="460A91B4">
            <w:pPr>
              <w:widowControl/>
              <w:spacing w:beforeLines="50" w:afterLines="50" w:line="0" w:lineRule="atLeast"/>
              <w:jc w:val="center"/>
            </w:pPr>
            <w:r>
              <w:rPr>
                <w:color w:val="000000"/>
                <w:kern w:val="0"/>
                <w:sz w:val="22"/>
                <w:szCs w:val="22"/>
              </w:rPr>
              <w:t>合理</w:t>
            </w:r>
          </w:p>
        </w:tc>
        <w:tc>
          <w:tcPr>
            <w:tcW w:w="930" w:type="dxa"/>
            <w:vAlign w:val="center"/>
          </w:tcPr>
          <w:p w14:paraId="3AEE99BE">
            <w:pPr>
              <w:widowControl/>
              <w:spacing w:beforeLines="50" w:afterLines="50" w:line="0" w:lineRule="atLeast"/>
              <w:jc w:val="center"/>
            </w:pPr>
            <w:r>
              <w:rPr>
                <w:rFonts w:hint="eastAsia"/>
                <w:color w:val="000000"/>
                <w:kern w:val="0"/>
                <w:sz w:val="22"/>
                <w:szCs w:val="22"/>
              </w:rPr>
              <w:t>83.33%</w:t>
            </w:r>
          </w:p>
        </w:tc>
        <w:tc>
          <w:tcPr>
            <w:tcW w:w="775" w:type="dxa"/>
            <w:vAlign w:val="center"/>
          </w:tcPr>
          <w:p w14:paraId="234D32D8">
            <w:pPr>
              <w:widowControl/>
              <w:spacing w:beforeLines="50" w:afterLines="50" w:line="0" w:lineRule="atLeast"/>
              <w:jc w:val="center"/>
            </w:pPr>
            <w:r>
              <w:rPr>
                <w:rFonts w:hint="eastAsia"/>
                <w:color w:val="000000"/>
                <w:kern w:val="0"/>
                <w:sz w:val="22"/>
                <w:szCs w:val="22"/>
              </w:rPr>
              <w:t>2.5</w:t>
            </w:r>
          </w:p>
        </w:tc>
      </w:tr>
      <w:tr w14:paraId="59C8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114FDA20"/>
        </w:tc>
        <w:tc>
          <w:tcPr>
            <w:tcW w:w="690" w:type="dxa"/>
            <w:vMerge w:val="continue"/>
          </w:tcPr>
          <w:p w14:paraId="53859FB0"/>
        </w:tc>
        <w:tc>
          <w:tcPr>
            <w:tcW w:w="1155" w:type="dxa"/>
            <w:vMerge w:val="continue"/>
          </w:tcPr>
          <w:p w14:paraId="772D98FE"/>
        </w:tc>
        <w:tc>
          <w:tcPr>
            <w:tcW w:w="1665" w:type="dxa"/>
            <w:vAlign w:val="center"/>
          </w:tcPr>
          <w:p w14:paraId="492C4BBC">
            <w:pPr>
              <w:widowControl/>
              <w:spacing w:beforeLines="50" w:afterLines="50" w:line="0" w:lineRule="atLeast"/>
              <w:jc w:val="center"/>
              <w:rPr>
                <w:color w:val="000000"/>
                <w:kern w:val="0"/>
                <w:sz w:val="22"/>
                <w:szCs w:val="22"/>
              </w:rPr>
            </w:pPr>
            <w:r>
              <w:rPr>
                <w:color w:val="000000"/>
                <w:kern w:val="0"/>
                <w:sz w:val="22"/>
                <w:szCs w:val="22"/>
              </w:rPr>
              <w:t>绩效指标</w:t>
            </w:r>
          </w:p>
          <w:p w14:paraId="109BDF46">
            <w:pPr>
              <w:widowControl/>
              <w:spacing w:beforeLines="50" w:afterLines="50" w:line="0" w:lineRule="atLeast"/>
              <w:jc w:val="center"/>
            </w:pPr>
            <w:r>
              <w:rPr>
                <w:color w:val="000000"/>
                <w:kern w:val="0"/>
                <w:sz w:val="22"/>
                <w:szCs w:val="22"/>
              </w:rPr>
              <w:t>明确性</w:t>
            </w:r>
          </w:p>
        </w:tc>
        <w:tc>
          <w:tcPr>
            <w:tcW w:w="660" w:type="dxa"/>
            <w:vAlign w:val="center"/>
          </w:tcPr>
          <w:p w14:paraId="7AD45A3B">
            <w:pPr>
              <w:widowControl/>
              <w:spacing w:beforeLines="50" w:afterLines="50" w:line="0" w:lineRule="atLeast"/>
              <w:jc w:val="center"/>
            </w:pPr>
            <w:r>
              <w:rPr>
                <w:color w:val="000000"/>
                <w:kern w:val="0"/>
                <w:sz w:val="22"/>
                <w:szCs w:val="22"/>
              </w:rPr>
              <w:t>3</w:t>
            </w:r>
          </w:p>
        </w:tc>
        <w:tc>
          <w:tcPr>
            <w:tcW w:w="975" w:type="dxa"/>
            <w:vAlign w:val="center"/>
          </w:tcPr>
          <w:p w14:paraId="7C949C8A">
            <w:pPr>
              <w:widowControl/>
              <w:spacing w:beforeLines="50" w:afterLines="50" w:line="0" w:lineRule="atLeast"/>
              <w:jc w:val="center"/>
            </w:pPr>
            <w:r>
              <w:rPr>
                <w:color w:val="000000"/>
                <w:kern w:val="0"/>
                <w:sz w:val="22"/>
                <w:szCs w:val="22"/>
              </w:rPr>
              <w:t>明确</w:t>
            </w:r>
          </w:p>
        </w:tc>
        <w:tc>
          <w:tcPr>
            <w:tcW w:w="810" w:type="dxa"/>
            <w:vAlign w:val="center"/>
          </w:tcPr>
          <w:p w14:paraId="2E799C5F">
            <w:pPr>
              <w:widowControl/>
              <w:spacing w:beforeLines="50" w:afterLines="50" w:line="0" w:lineRule="atLeast"/>
              <w:jc w:val="center"/>
            </w:pPr>
            <w:r>
              <w:rPr>
                <w:color w:val="000000"/>
                <w:kern w:val="0"/>
                <w:sz w:val="22"/>
                <w:szCs w:val="22"/>
              </w:rPr>
              <w:t>明确</w:t>
            </w:r>
          </w:p>
        </w:tc>
        <w:tc>
          <w:tcPr>
            <w:tcW w:w="930" w:type="dxa"/>
            <w:vAlign w:val="center"/>
          </w:tcPr>
          <w:p w14:paraId="2B834025">
            <w:pPr>
              <w:widowControl/>
              <w:spacing w:beforeLines="50" w:afterLines="50" w:line="0" w:lineRule="atLeast"/>
              <w:jc w:val="center"/>
            </w:pPr>
            <w:r>
              <w:rPr>
                <w:rFonts w:hint="eastAsia"/>
                <w:color w:val="000000"/>
                <w:kern w:val="0"/>
                <w:sz w:val="22"/>
                <w:szCs w:val="22"/>
              </w:rPr>
              <w:t>100%</w:t>
            </w:r>
          </w:p>
        </w:tc>
        <w:tc>
          <w:tcPr>
            <w:tcW w:w="775" w:type="dxa"/>
            <w:vAlign w:val="center"/>
          </w:tcPr>
          <w:p w14:paraId="67F89066">
            <w:pPr>
              <w:widowControl/>
              <w:spacing w:beforeLines="50" w:afterLines="50" w:line="0" w:lineRule="atLeast"/>
              <w:jc w:val="center"/>
            </w:pPr>
            <w:r>
              <w:rPr>
                <w:rFonts w:hint="eastAsia"/>
                <w:color w:val="000000"/>
                <w:kern w:val="0"/>
                <w:sz w:val="22"/>
                <w:szCs w:val="22"/>
              </w:rPr>
              <w:t>3</w:t>
            </w:r>
          </w:p>
        </w:tc>
      </w:tr>
      <w:tr w14:paraId="2B08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6CA65DEA"/>
        </w:tc>
        <w:tc>
          <w:tcPr>
            <w:tcW w:w="690" w:type="dxa"/>
            <w:vMerge w:val="continue"/>
          </w:tcPr>
          <w:p w14:paraId="0BEA7A42"/>
        </w:tc>
        <w:tc>
          <w:tcPr>
            <w:tcW w:w="1155" w:type="dxa"/>
            <w:vMerge w:val="restart"/>
            <w:vAlign w:val="center"/>
          </w:tcPr>
          <w:p w14:paraId="30B8A1AA">
            <w:pPr>
              <w:widowControl/>
              <w:spacing w:line="0" w:lineRule="atLeast"/>
              <w:jc w:val="center"/>
            </w:pPr>
            <w:r>
              <w:rPr>
                <w:color w:val="000000"/>
                <w:kern w:val="0"/>
                <w:sz w:val="22"/>
                <w:szCs w:val="22"/>
              </w:rPr>
              <w:t>资金投入</w:t>
            </w:r>
          </w:p>
        </w:tc>
        <w:tc>
          <w:tcPr>
            <w:tcW w:w="1665" w:type="dxa"/>
            <w:vAlign w:val="center"/>
          </w:tcPr>
          <w:p w14:paraId="6A83327B">
            <w:pPr>
              <w:widowControl/>
              <w:spacing w:line="0" w:lineRule="atLeast"/>
              <w:jc w:val="center"/>
              <w:rPr>
                <w:color w:val="000000"/>
                <w:kern w:val="0"/>
                <w:sz w:val="22"/>
                <w:szCs w:val="22"/>
              </w:rPr>
            </w:pPr>
            <w:r>
              <w:rPr>
                <w:color w:val="000000"/>
                <w:kern w:val="0"/>
                <w:sz w:val="22"/>
                <w:szCs w:val="22"/>
              </w:rPr>
              <w:t>预算编制</w:t>
            </w:r>
          </w:p>
          <w:p w14:paraId="405025E2">
            <w:pPr>
              <w:widowControl/>
              <w:spacing w:line="0" w:lineRule="atLeast"/>
              <w:jc w:val="center"/>
            </w:pPr>
            <w:r>
              <w:rPr>
                <w:color w:val="000000"/>
                <w:kern w:val="0"/>
                <w:sz w:val="22"/>
                <w:szCs w:val="22"/>
              </w:rPr>
              <w:t>科学性</w:t>
            </w:r>
          </w:p>
        </w:tc>
        <w:tc>
          <w:tcPr>
            <w:tcW w:w="660" w:type="dxa"/>
            <w:vAlign w:val="center"/>
          </w:tcPr>
          <w:p w14:paraId="4D42F1DC">
            <w:pPr>
              <w:widowControl/>
              <w:spacing w:line="0" w:lineRule="atLeast"/>
              <w:jc w:val="center"/>
            </w:pPr>
            <w:r>
              <w:rPr>
                <w:color w:val="000000"/>
                <w:kern w:val="0"/>
                <w:sz w:val="22"/>
                <w:szCs w:val="22"/>
              </w:rPr>
              <w:t>4</w:t>
            </w:r>
          </w:p>
        </w:tc>
        <w:tc>
          <w:tcPr>
            <w:tcW w:w="975" w:type="dxa"/>
            <w:vAlign w:val="center"/>
          </w:tcPr>
          <w:p w14:paraId="5A2B432C">
            <w:pPr>
              <w:widowControl/>
              <w:spacing w:line="0" w:lineRule="atLeast"/>
              <w:jc w:val="center"/>
            </w:pPr>
            <w:r>
              <w:rPr>
                <w:color w:val="000000"/>
                <w:kern w:val="0"/>
                <w:sz w:val="22"/>
                <w:szCs w:val="22"/>
              </w:rPr>
              <w:t>科学</w:t>
            </w:r>
          </w:p>
        </w:tc>
        <w:tc>
          <w:tcPr>
            <w:tcW w:w="810" w:type="dxa"/>
            <w:vAlign w:val="center"/>
          </w:tcPr>
          <w:p w14:paraId="35F41C7D">
            <w:pPr>
              <w:widowControl/>
              <w:spacing w:line="0" w:lineRule="atLeast"/>
              <w:jc w:val="center"/>
            </w:pPr>
            <w:r>
              <w:rPr>
                <w:color w:val="000000"/>
                <w:kern w:val="0"/>
                <w:sz w:val="22"/>
                <w:szCs w:val="22"/>
              </w:rPr>
              <w:t>科学</w:t>
            </w:r>
          </w:p>
        </w:tc>
        <w:tc>
          <w:tcPr>
            <w:tcW w:w="930" w:type="dxa"/>
            <w:vAlign w:val="center"/>
          </w:tcPr>
          <w:p w14:paraId="2C025E0E">
            <w:pPr>
              <w:widowControl/>
              <w:spacing w:line="0" w:lineRule="atLeast"/>
              <w:jc w:val="center"/>
            </w:pPr>
            <w:r>
              <w:rPr>
                <w:rFonts w:hint="eastAsia"/>
                <w:color w:val="000000"/>
                <w:kern w:val="0"/>
                <w:sz w:val="22"/>
                <w:szCs w:val="22"/>
              </w:rPr>
              <w:t>100%</w:t>
            </w:r>
          </w:p>
        </w:tc>
        <w:tc>
          <w:tcPr>
            <w:tcW w:w="775" w:type="dxa"/>
            <w:vAlign w:val="center"/>
          </w:tcPr>
          <w:p w14:paraId="2ABFFE5B">
            <w:pPr>
              <w:widowControl/>
              <w:spacing w:line="0" w:lineRule="atLeast"/>
              <w:jc w:val="center"/>
            </w:pPr>
            <w:r>
              <w:rPr>
                <w:rFonts w:hint="eastAsia"/>
                <w:color w:val="000000"/>
                <w:kern w:val="0"/>
                <w:sz w:val="22"/>
                <w:szCs w:val="22"/>
              </w:rPr>
              <w:t>4</w:t>
            </w:r>
          </w:p>
        </w:tc>
      </w:tr>
      <w:tr w14:paraId="35CE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232F2E64"/>
        </w:tc>
        <w:tc>
          <w:tcPr>
            <w:tcW w:w="690" w:type="dxa"/>
            <w:vMerge w:val="continue"/>
          </w:tcPr>
          <w:p w14:paraId="453E1659"/>
        </w:tc>
        <w:tc>
          <w:tcPr>
            <w:tcW w:w="1155" w:type="dxa"/>
            <w:vMerge w:val="continue"/>
          </w:tcPr>
          <w:p w14:paraId="5203BBB6"/>
        </w:tc>
        <w:tc>
          <w:tcPr>
            <w:tcW w:w="1665" w:type="dxa"/>
            <w:vAlign w:val="center"/>
          </w:tcPr>
          <w:p w14:paraId="6C0E76DE">
            <w:pPr>
              <w:widowControl/>
              <w:spacing w:line="0" w:lineRule="atLeast"/>
              <w:jc w:val="center"/>
              <w:rPr>
                <w:color w:val="000000"/>
                <w:kern w:val="0"/>
                <w:sz w:val="22"/>
                <w:szCs w:val="22"/>
              </w:rPr>
            </w:pPr>
            <w:r>
              <w:rPr>
                <w:color w:val="000000"/>
                <w:kern w:val="0"/>
                <w:sz w:val="22"/>
                <w:szCs w:val="22"/>
              </w:rPr>
              <w:t>资金分配</w:t>
            </w:r>
          </w:p>
          <w:p w14:paraId="6A1A0BD6">
            <w:pPr>
              <w:widowControl/>
              <w:spacing w:line="0" w:lineRule="atLeast"/>
              <w:jc w:val="center"/>
            </w:pPr>
            <w:r>
              <w:rPr>
                <w:color w:val="000000"/>
                <w:kern w:val="0"/>
                <w:sz w:val="22"/>
                <w:szCs w:val="22"/>
              </w:rPr>
              <w:t>合理性</w:t>
            </w:r>
          </w:p>
        </w:tc>
        <w:tc>
          <w:tcPr>
            <w:tcW w:w="660" w:type="dxa"/>
            <w:vAlign w:val="center"/>
          </w:tcPr>
          <w:p w14:paraId="7A36EF4E">
            <w:pPr>
              <w:widowControl/>
              <w:spacing w:line="0" w:lineRule="atLeast"/>
              <w:jc w:val="center"/>
            </w:pPr>
            <w:r>
              <w:rPr>
                <w:color w:val="000000"/>
                <w:kern w:val="0"/>
                <w:sz w:val="22"/>
                <w:szCs w:val="22"/>
              </w:rPr>
              <w:t>4</w:t>
            </w:r>
          </w:p>
        </w:tc>
        <w:tc>
          <w:tcPr>
            <w:tcW w:w="975" w:type="dxa"/>
            <w:vAlign w:val="center"/>
          </w:tcPr>
          <w:p w14:paraId="6619DFFE">
            <w:pPr>
              <w:widowControl/>
              <w:spacing w:line="0" w:lineRule="atLeast"/>
              <w:jc w:val="center"/>
            </w:pPr>
            <w:r>
              <w:rPr>
                <w:color w:val="000000"/>
                <w:kern w:val="0"/>
                <w:sz w:val="22"/>
                <w:szCs w:val="22"/>
              </w:rPr>
              <w:t>合理</w:t>
            </w:r>
          </w:p>
        </w:tc>
        <w:tc>
          <w:tcPr>
            <w:tcW w:w="810" w:type="dxa"/>
            <w:vAlign w:val="center"/>
          </w:tcPr>
          <w:p w14:paraId="408B46D0">
            <w:pPr>
              <w:widowControl/>
              <w:spacing w:line="0" w:lineRule="atLeast"/>
              <w:jc w:val="center"/>
            </w:pPr>
            <w:r>
              <w:rPr>
                <w:color w:val="000000"/>
                <w:kern w:val="0"/>
                <w:sz w:val="22"/>
                <w:szCs w:val="22"/>
              </w:rPr>
              <w:t>合理</w:t>
            </w:r>
          </w:p>
        </w:tc>
        <w:tc>
          <w:tcPr>
            <w:tcW w:w="930" w:type="dxa"/>
            <w:vAlign w:val="center"/>
          </w:tcPr>
          <w:p w14:paraId="260186DD">
            <w:pPr>
              <w:widowControl/>
              <w:spacing w:line="0" w:lineRule="atLeast"/>
              <w:jc w:val="center"/>
            </w:pPr>
            <w:r>
              <w:rPr>
                <w:rFonts w:hint="eastAsia"/>
                <w:color w:val="000000"/>
                <w:kern w:val="0"/>
                <w:sz w:val="22"/>
                <w:szCs w:val="22"/>
              </w:rPr>
              <w:t>100%</w:t>
            </w:r>
          </w:p>
        </w:tc>
        <w:tc>
          <w:tcPr>
            <w:tcW w:w="775" w:type="dxa"/>
            <w:vAlign w:val="center"/>
          </w:tcPr>
          <w:p w14:paraId="21329167">
            <w:pPr>
              <w:widowControl/>
              <w:spacing w:line="0" w:lineRule="atLeast"/>
              <w:jc w:val="center"/>
            </w:pPr>
            <w:r>
              <w:rPr>
                <w:rFonts w:hint="eastAsia"/>
                <w:color w:val="000000"/>
                <w:kern w:val="0"/>
                <w:sz w:val="22"/>
                <w:szCs w:val="22"/>
              </w:rPr>
              <w:t>4</w:t>
            </w:r>
          </w:p>
        </w:tc>
      </w:tr>
      <w:tr w14:paraId="34B0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restart"/>
            <w:vAlign w:val="center"/>
          </w:tcPr>
          <w:p w14:paraId="098B9B22">
            <w:pPr>
              <w:spacing w:line="0" w:lineRule="atLeast"/>
              <w:jc w:val="center"/>
              <w:rPr>
                <w:color w:val="000000"/>
                <w:kern w:val="0"/>
                <w:sz w:val="22"/>
                <w:szCs w:val="22"/>
              </w:rPr>
            </w:pPr>
            <w:r>
              <w:rPr>
                <w:color w:val="000000"/>
                <w:kern w:val="0"/>
                <w:sz w:val="22"/>
                <w:szCs w:val="22"/>
              </w:rPr>
              <w:t>过程</w:t>
            </w:r>
          </w:p>
          <w:p w14:paraId="65F67555">
            <w:pPr>
              <w:spacing w:line="0" w:lineRule="atLeast"/>
              <w:jc w:val="center"/>
            </w:pPr>
          </w:p>
        </w:tc>
        <w:tc>
          <w:tcPr>
            <w:tcW w:w="690" w:type="dxa"/>
            <w:vMerge w:val="restart"/>
            <w:vAlign w:val="center"/>
          </w:tcPr>
          <w:p w14:paraId="3A8EECFA">
            <w:pPr>
              <w:widowControl/>
              <w:spacing w:line="0" w:lineRule="atLeast"/>
              <w:jc w:val="center"/>
            </w:pPr>
            <w:r>
              <w:rPr>
                <w:kern w:val="0"/>
                <w:sz w:val="22"/>
                <w:szCs w:val="22"/>
              </w:rPr>
              <w:t>20分</w:t>
            </w:r>
          </w:p>
        </w:tc>
        <w:tc>
          <w:tcPr>
            <w:tcW w:w="1155" w:type="dxa"/>
            <w:vMerge w:val="restart"/>
            <w:vAlign w:val="center"/>
          </w:tcPr>
          <w:p w14:paraId="69915631">
            <w:pPr>
              <w:widowControl/>
              <w:spacing w:line="0" w:lineRule="atLeast"/>
              <w:jc w:val="center"/>
            </w:pPr>
            <w:r>
              <w:rPr>
                <w:color w:val="000000"/>
                <w:kern w:val="0"/>
                <w:sz w:val="22"/>
                <w:szCs w:val="22"/>
              </w:rPr>
              <w:t>资金管理</w:t>
            </w:r>
          </w:p>
        </w:tc>
        <w:tc>
          <w:tcPr>
            <w:tcW w:w="1665" w:type="dxa"/>
            <w:vAlign w:val="center"/>
          </w:tcPr>
          <w:p w14:paraId="4ECDE77A">
            <w:pPr>
              <w:widowControl/>
              <w:spacing w:line="0" w:lineRule="atLeast"/>
              <w:jc w:val="center"/>
            </w:pPr>
            <w:r>
              <w:rPr>
                <w:color w:val="000000"/>
                <w:kern w:val="0"/>
                <w:sz w:val="22"/>
                <w:szCs w:val="22"/>
              </w:rPr>
              <w:t>资金到位率</w:t>
            </w:r>
          </w:p>
        </w:tc>
        <w:tc>
          <w:tcPr>
            <w:tcW w:w="660" w:type="dxa"/>
            <w:vAlign w:val="center"/>
          </w:tcPr>
          <w:p w14:paraId="28A59683">
            <w:pPr>
              <w:widowControl/>
              <w:spacing w:line="0" w:lineRule="atLeast"/>
              <w:jc w:val="center"/>
            </w:pPr>
            <w:r>
              <w:rPr>
                <w:color w:val="000000"/>
                <w:kern w:val="0"/>
                <w:sz w:val="22"/>
                <w:szCs w:val="22"/>
              </w:rPr>
              <w:t>4</w:t>
            </w:r>
          </w:p>
        </w:tc>
        <w:tc>
          <w:tcPr>
            <w:tcW w:w="975" w:type="dxa"/>
            <w:vAlign w:val="center"/>
          </w:tcPr>
          <w:p w14:paraId="433AB616">
            <w:pPr>
              <w:widowControl/>
              <w:spacing w:line="0" w:lineRule="atLeast"/>
              <w:jc w:val="center"/>
            </w:pPr>
            <w:r>
              <w:rPr>
                <w:color w:val="000000"/>
                <w:kern w:val="0"/>
                <w:sz w:val="22"/>
                <w:szCs w:val="22"/>
              </w:rPr>
              <w:t>100%</w:t>
            </w:r>
          </w:p>
        </w:tc>
        <w:tc>
          <w:tcPr>
            <w:tcW w:w="810" w:type="dxa"/>
            <w:vAlign w:val="center"/>
          </w:tcPr>
          <w:p w14:paraId="3D53626C">
            <w:pPr>
              <w:widowControl/>
              <w:spacing w:line="0" w:lineRule="atLeast"/>
              <w:jc w:val="center"/>
            </w:pPr>
            <w:r>
              <w:rPr>
                <w:rFonts w:hint="eastAsia"/>
                <w:color w:val="000000"/>
                <w:kern w:val="0"/>
                <w:sz w:val="22"/>
                <w:szCs w:val="22"/>
              </w:rPr>
              <w:t>100%</w:t>
            </w:r>
          </w:p>
        </w:tc>
        <w:tc>
          <w:tcPr>
            <w:tcW w:w="930" w:type="dxa"/>
            <w:vAlign w:val="center"/>
          </w:tcPr>
          <w:p w14:paraId="1EE822DE">
            <w:pPr>
              <w:widowControl/>
              <w:spacing w:line="0" w:lineRule="atLeast"/>
              <w:jc w:val="center"/>
            </w:pPr>
            <w:r>
              <w:rPr>
                <w:rFonts w:hint="eastAsia"/>
                <w:color w:val="000000"/>
                <w:kern w:val="0"/>
                <w:sz w:val="22"/>
                <w:szCs w:val="22"/>
              </w:rPr>
              <w:t>100%</w:t>
            </w:r>
          </w:p>
        </w:tc>
        <w:tc>
          <w:tcPr>
            <w:tcW w:w="775" w:type="dxa"/>
            <w:vAlign w:val="center"/>
          </w:tcPr>
          <w:p w14:paraId="3D9EE34F">
            <w:pPr>
              <w:widowControl/>
              <w:spacing w:line="0" w:lineRule="atLeast"/>
              <w:jc w:val="center"/>
            </w:pPr>
            <w:r>
              <w:rPr>
                <w:rFonts w:hint="eastAsia"/>
                <w:color w:val="000000"/>
                <w:kern w:val="0"/>
                <w:sz w:val="22"/>
                <w:szCs w:val="22"/>
              </w:rPr>
              <w:t>4</w:t>
            </w:r>
          </w:p>
        </w:tc>
      </w:tr>
      <w:tr w14:paraId="66A2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65AF3051"/>
        </w:tc>
        <w:tc>
          <w:tcPr>
            <w:tcW w:w="690" w:type="dxa"/>
            <w:vMerge w:val="continue"/>
          </w:tcPr>
          <w:p w14:paraId="128DC360"/>
        </w:tc>
        <w:tc>
          <w:tcPr>
            <w:tcW w:w="1155" w:type="dxa"/>
            <w:vMerge w:val="continue"/>
          </w:tcPr>
          <w:p w14:paraId="448A5041"/>
        </w:tc>
        <w:tc>
          <w:tcPr>
            <w:tcW w:w="1665" w:type="dxa"/>
            <w:vAlign w:val="center"/>
          </w:tcPr>
          <w:p w14:paraId="2805B35E">
            <w:pPr>
              <w:widowControl/>
              <w:spacing w:line="0" w:lineRule="atLeast"/>
              <w:jc w:val="center"/>
            </w:pPr>
            <w:r>
              <w:rPr>
                <w:color w:val="000000"/>
                <w:kern w:val="0"/>
                <w:sz w:val="22"/>
                <w:szCs w:val="22"/>
              </w:rPr>
              <w:t>预算执行率</w:t>
            </w:r>
          </w:p>
        </w:tc>
        <w:tc>
          <w:tcPr>
            <w:tcW w:w="660" w:type="dxa"/>
            <w:vAlign w:val="center"/>
          </w:tcPr>
          <w:p w14:paraId="098F5BA1">
            <w:pPr>
              <w:widowControl/>
              <w:spacing w:line="0" w:lineRule="atLeast"/>
              <w:jc w:val="center"/>
            </w:pPr>
            <w:r>
              <w:rPr>
                <w:color w:val="000000"/>
                <w:kern w:val="0"/>
                <w:sz w:val="22"/>
                <w:szCs w:val="22"/>
              </w:rPr>
              <w:t>4</w:t>
            </w:r>
          </w:p>
        </w:tc>
        <w:tc>
          <w:tcPr>
            <w:tcW w:w="975" w:type="dxa"/>
            <w:vAlign w:val="center"/>
          </w:tcPr>
          <w:p w14:paraId="153A1BCF">
            <w:pPr>
              <w:widowControl/>
              <w:spacing w:line="0" w:lineRule="atLeast"/>
              <w:jc w:val="center"/>
            </w:pPr>
            <w:r>
              <w:rPr>
                <w:color w:val="000000"/>
                <w:kern w:val="0"/>
                <w:sz w:val="22"/>
                <w:szCs w:val="22"/>
              </w:rPr>
              <w:t>100%</w:t>
            </w:r>
          </w:p>
        </w:tc>
        <w:tc>
          <w:tcPr>
            <w:tcW w:w="810" w:type="dxa"/>
            <w:vAlign w:val="center"/>
          </w:tcPr>
          <w:p w14:paraId="48D8DE65">
            <w:pPr>
              <w:widowControl/>
              <w:spacing w:line="0" w:lineRule="atLeast"/>
              <w:jc w:val="center"/>
            </w:pPr>
            <w:r>
              <w:rPr>
                <w:rFonts w:hint="eastAsia"/>
                <w:color w:val="000000"/>
                <w:kern w:val="0"/>
                <w:sz w:val="22"/>
                <w:szCs w:val="22"/>
                <w:lang w:val="en-US" w:eastAsia="zh-CN"/>
              </w:rPr>
              <w:t>75</w:t>
            </w:r>
            <w:r>
              <w:rPr>
                <w:rFonts w:hint="eastAsia"/>
                <w:color w:val="000000"/>
                <w:kern w:val="0"/>
                <w:sz w:val="22"/>
                <w:szCs w:val="22"/>
              </w:rPr>
              <w:t>%</w:t>
            </w:r>
          </w:p>
        </w:tc>
        <w:tc>
          <w:tcPr>
            <w:tcW w:w="930" w:type="dxa"/>
            <w:vAlign w:val="center"/>
          </w:tcPr>
          <w:p w14:paraId="6D0BB0E1">
            <w:pPr>
              <w:widowControl/>
              <w:spacing w:line="0" w:lineRule="atLeast"/>
              <w:jc w:val="center"/>
            </w:pPr>
            <w:r>
              <w:rPr>
                <w:rFonts w:hint="eastAsia"/>
                <w:color w:val="000000"/>
                <w:kern w:val="0"/>
                <w:sz w:val="22"/>
                <w:szCs w:val="22"/>
              </w:rPr>
              <w:t>75%</w:t>
            </w:r>
          </w:p>
        </w:tc>
        <w:tc>
          <w:tcPr>
            <w:tcW w:w="775" w:type="dxa"/>
            <w:vAlign w:val="center"/>
          </w:tcPr>
          <w:p w14:paraId="27F65800">
            <w:pPr>
              <w:widowControl/>
              <w:spacing w:line="0" w:lineRule="atLeast"/>
              <w:jc w:val="center"/>
            </w:pPr>
            <w:r>
              <w:rPr>
                <w:rFonts w:hint="eastAsia"/>
                <w:color w:val="000000"/>
                <w:kern w:val="0"/>
                <w:sz w:val="22"/>
                <w:szCs w:val="22"/>
              </w:rPr>
              <w:t>3</w:t>
            </w:r>
          </w:p>
        </w:tc>
      </w:tr>
      <w:tr w14:paraId="189C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693FBE12"/>
        </w:tc>
        <w:tc>
          <w:tcPr>
            <w:tcW w:w="690" w:type="dxa"/>
            <w:vMerge w:val="continue"/>
          </w:tcPr>
          <w:p w14:paraId="5CB6D1F9"/>
        </w:tc>
        <w:tc>
          <w:tcPr>
            <w:tcW w:w="1155" w:type="dxa"/>
            <w:vAlign w:val="center"/>
          </w:tcPr>
          <w:p w14:paraId="360D281B">
            <w:pPr>
              <w:widowControl/>
              <w:spacing w:line="0" w:lineRule="atLeast"/>
              <w:jc w:val="center"/>
            </w:pPr>
            <w:r>
              <w:rPr>
                <w:color w:val="000000"/>
                <w:kern w:val="0"/>
                <w:sz w:val="22"/>
                <w:szCs w:val="22"/>
              </w:rPr>
              <w:t>资金管理</w:t>
            </w:r>
          </w:p>
        </w:tc>
        <w:tc>
          <w:tcPr>
            <w:tcW w:w="1665" w:type="dxa"/>
            <w:vAlign w:val="center"/>
          </w:tcPr>
          <w:p w14:paraId="46E66153">
            <w:pPr>
              <w:widowControl/>
              <w:spacing w:line="0" w:lineRule="atLeast"/>
              <w:jc w:val="center"/>
              <w:rPr>
                <w:color w:val="000000"/>
                <w:kern w:val="0"/>
                <w:sz w:val="22"/>
                <w:szCs w:val="22"/>
              </w:rPr>
            </w:pPr>
            <w:r>
              <w:rPr>
                <w:color w:val="000000"/>
                <w:kern w:val="0"/>
                <w:sz w:val="22"/>
                <w:szCs w:val="22"/>
              </w:rPr>
              <w:t>资金使用</w:t>
            </w:r>
          </w:p>
          <w:p w14:paraId="4645BE3F">
            <w:pPr>
              <w:widowControl/>
              <w:spacing w:line="0" w:lineRule="atLeast"/>
              <w:jc w:val="center"/>
            </w:pPr>
            <w:r>
              <w:rPr>
                <w:color w:val="000000"/>
                <w:kern w:val="0"/>
                <w:sz w:val="22"/>
                <w:szCs w:val="22"/>
              </w:rPr>
              <w:t>合规性</w:t>
            </w:r>
          </w:p>
        </w:tc>
        <w:tc>
          <w:tcPr>
            <w:tcW w:w="660" w:type="dxa"/>
            <w:vAlign w:val="center"/>
          </w:tcPr>
          <w:p w14:paraId="0A973523">
            <w:pPr>
              <w:widowControl/>
              <w:spacing w:line="0" w:lineRule="atLeast"/>
              <w:jc w:val="center"/>
            </w:pPr>
            <w:r>
              <w:rPr>
                <w:color w:val="000000"/>
                <w:kern w:val="0"/>
                <w:sz w:val="22"/>
                <w:szCs w:val="22"/>
              </w:rPr>
              <w:t>4</w:t>
            </w:r>
          </w:p>
        </w:tc>
        <w:tc>
          <w:tcPr>
            <w:tcW w:w="975" w:type="dxa"/>
            <w:vAlign w:val="center"/>
          </w:tcPr>
          <w:p w14:paraId="220E8A0B">
            <w:pPr>
              <w:widowControl/>
              <w:spacing w:line="0" w:lineRule="atLeast"/>
              <w:jc w:val="center"/>
            </w:pPr>
            <w:r>
              <w:rPr>
                <w:color w:val="000000"/>
                <w:kern w:val="0"/>
                <w:sz w:val="22"/>
                <w:szCs w:val="22"/>
              </w:rPr>
              <w:t>合格</w:t>
            </w:r>
          </w:p>
        </w:tc>
        <w:tc>
          <w:tcPr>
            <w:tcW w:w="810" w:type="dxa"/>
            <w:vAlign w:val="center"/>
          </w:tcPr>
          <w:p w14:paraId="1F92C76B">
            <w:pPr>
              <w:widowControl/>
              <w:spacing w:line="0" w:lineRule="atLeast"/>
              <w:jc w:val="center"/>
            </w:pPr>
            <w:r>
              <w:rPr>
                <w:color w:val="000000"/>
                <w:kern w:val="0"/>
                <w:sz w:val="22"/>
                <w:szCs w:val="22"/>
              </w:rPr>
              <w:t>合格</w:t>
            </w:r>
          </w:p>
        </w:tc>
        <w:tc>
          <w:tcPr>
            <w:tcW w:w="930" w:type="dxa"/>
            <w:vAlign w:val="center"/>
          </w:tcPr>
          <w:p w14:paraId="528EF8ED">
            <w:pPr>
              <w:widowControl/>
              <w:spacing w:line="0" w:lineRule="atLeast"/>
              <w:jc w:val="center"/>
            </w:pPr>
            <w:r>
              <w:rPr>
                <w:rFonts w:hint="eastAsia"/>
                <w:color w:val="000000"/>
                <w:kern w:val="0"/>
                <w:sz w:val="22"/>
                <w:szCs w:val="22"/>
              </w:rPr>
              <w:t>100%</w:t>
            </w:r>
          </w:p>
        </w:tc>
        <w:tc>
          <w:tcPr>
            <w:tcW w:w="775" w:type="dxa"/>
            <w:vAlign w:val="center"/>
          </w:tcPr>
          <w:p w14:paraId="402F2A40">
            <w:pPr>
              <w:widowControl/>
              <w:spacing w:line="0" w:lineRule="atLeast"/>
              <w:jc w:val="center"/>
            </w:pPr>
            <w:r>
              <w:rPr>
                <w:rFonts w:hint="eastAsia"/>
                <w:color w:val="000000"/>
                <w:kern w:val="0"/>
                <w:sz w:val="22"/>
                <w:szCs w:val="22"/>
              </w:rPr>
              <w:t>4</w:t>
            </w:r>
          </w:p>
        </w:tc>
      </w:tr>
      <w:tr w14:paraId="62F7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0E265091"/>
        </w:tc>
        <w:tc>
          <w:tcPr>
            <w:tcW w:w="690" w:type="dxa"/>
            <w:vMerge w:val="continue"/>
          </w:tcPr>
          <w:p w14:paraId="2C98B166"/>
        </w:tc>
        <w:tc>
          <w:tcPr>
            <w:tcW w:w="1155" w:type="dxa"/>
            <w:vMerge w:val="restart"/>
            <w:vAlign w:val="center"/>
          </w:tcPr>
          <w:p w14:paraId="45161DC3">
            <w:pPr>
              <w:widowControl/>
              <w:spacing w:line="0" w:lineRule="atLeast"/>
              <w:jc w:val="center"/>
            </w:pPr>
            <w:r>
              <w:rPr>
                <w:color w:val="000000"/>
                <w:kern w:val="0"/>
                <w:sz w:val="22"/>
                <w:szCs w:val="22"/>
              </w:rPr>
              <w:t>组织实施</w:t>
            </w:r>
          </w:p>
        </w:tc>
        <w:tc>
          <w:tcPr>
            <w:tcW w:w="1665" w:type="dxa"/>
            <w:vAlign w:val="center"/>
          </w:tcPr>
          <w:p w14:paraId="101C57B1">
            <w:pPr>
              <w:widowControl/>
              <w:spacing w:line="0" w:lineRule="atLeast"/>
              <w:jc w:val="center"/>
              <w:rPr>
                <w:color w:val="000000"/>
                <w:kern w:val="0"/>
                <w:sz w:val="22"/>
                <w:szCs w:val="22"/>
              </w:rPr>
            </w:pPr>
            <w:r>
              <w:rPr>
                <w:color w:val="000000"/>
                <w:kern w:val="0"/>
                <w:sz w:val="22"/>
                <w:szCs w:val="22"/>
              </w:rPr>
              <w:t>管理制度</w:t>
            </w:r>
          </w:p>
          <w:p w14:paraId="0FD98E7B">
            <w:pPr>
              <w:widowControl/>
              <w:spacing w:line="0" w:lineRule="atLeast"/>
              <w:jc w:val="center"/>
            </w:pPr>
            <w:r>
              <w:rPr>
                <w:color w:val="000000"/>
                <w:kern w:val="0"/>
                <w:sz w:val="22"/>
                <w:szCs w:val="22"/>
              </w:rPr>
              <w:t>健全性</w:t>
            </w:r>
          </w:p>
        </w:tc>
        <w:tc>
          <w:tcPr>
            <w:tcW w:w="660" w:type="dxa"/>
            <w:vAlign w:val="center"/>
          </w:tcPr>
          <w:p w14:paraId="3E47E320">
            <w:pPr>
              <w:widowControl/>
              <w:spacing w:line="0" w:lineRule="atLeast"/>
              <w:jc w:val="center"/>
            </w:pPr>
            <w:r>
              <w:rPr>
                <w:color w:val="000000"/>
                <w:kern w:val="0"/>
                <w:sz w:val="22"/>
                <w:szCs w:val="22"/>
              </w:rPr>
              <w:t>4</w:t>
            </w:r>
          </w:p>
        </w:tc>
        <w:tc>
          <w:tcPr>
            <w:tcW w:w="975" w:type="dxa"/>
            <w:vAlign w:val="center"/>
          </w:tcPr>
          <w:p w14:paraId="51B6D22C">
            <w:pPr>
              <w:widowControl/>
              <w:spacing w:line="0" w:lineRule="atLeast"/>
              <w:jc w:val="center"/>
            </w:pPr>
            <w:r>
              <w:rPr>
                <w:color w:val="000000"/>
                <w:kern w:val="0"/>
                <w:sz w:val="22"/>
                <w:szCs w:val="22"/>
              </w:rPr>
              <w:t>健全</w:t>
            </w:r>
          </w:p>
        </w:tc>
        <w:tc>
          <w:tcPr>
            <w:tcW w:w="810" w:type="dxa"/>
            <w:vAlign w:val="center"/>
          </w:tcPr>
          <w:p w14:paraId="2E021D90">
            <w:pPr>
              <w:widowControl/>
              <w:spacing w:line="0" w:lineRule="atLeast"/>
              <w:jc w:val="center"/>
            </w:pPr>
            <w:r>
              <w:rPr>
                <w:color w:val="000000"/>
                <w:kern w:val="0"/>
                <w:sz w:val="22"/>
                <w:szCs w:val="22"/>
              </w:rPr>
              <w:t>健全</w:t>
            </w:r>
          </w:p>
        </w:tc>
        <w:tc>
          <w:tcPr>
            <w:tcW w:w="930" w:type="dxa"/>
            <w:vAlign w:val="center"/>
          </w:tcPr>
          <w:p w14:paraId="6F140D4B">
            <w:pPr>
              <w:widowControl/>
              <w:spacing w:line="0" w:lineRule="atLeast"/>
              <w:jc w:val="center"/>
            </w:pPr>
            <w:r>
              <w:rPr>
                <w:rFonts w:hint="eastAsia"/>
                <w:color w:val="000000"/>
                <w:kern w:val="0"/>
                <w:sz w:val="22"/>
                <w:szCs w:val="22"/>
              </w:rPr>
              <w:t>100%</w:t>
            </w:r>
          </w:p>
        </w:tc>
        <w:tc>
          <w:tcPr>
            <w:tcW w:w="775" w:type="dxa"/>
            <w:vAlign w:val="center"/>
          </w:tcPr>
          <w:p w14:paraId="7636C1C5">
            <w:pPr>
              <w:widowControl/>
              <w:spacing w:line="0" w:lineRule="atLeast"/>
              <w:jc w:val="center"/>
            </w:pPr>
            <w:r>
              <w:rPr>
                <w:rFonts w:hint="eastAsia"/>
                <w:color w:val="000000"/>
                <w:kern w:val="0"/>
                <w:sz w:val="22"/>
                <w:szCs w:val="22"/>
              </w:rPr>
              <w:t>4</w:t>
            </w:r>
          </w:p>
        </w:tc>
      </w:tr>
      <w:tr w14:paraId="48ED9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4130F6B3"/>
        </w:tc>
        <w:tc>
          <w:tcPr>
            <w:tcW w:w="690" w:type="dxa"/>
            <w:vMerge w:val="continue"/>
          </w:tcPr>
          <w:p w14:paraId="0649F506"/>
        </w:tc>
        <w:tc>
          <w:tcPr>
            <w:tcW w:w="1155" w:type="dxa"/>
            <w:vMerge w:val="continue"/>
          </w:tcPr>
          <w:p w14:paraId="7A25F9AE"/>
        </w:tc>
        <w:tc>
          <w:tcPr>
            <w:tcW w:w="1665" w:type="dxa"/>
            <w:vAlign w:val="center"/>
          </w:tcPr>
          <w:p w14:paraId="426A56EA">
            <w:pPr>
              <w:widowControl/>
              <w:spacing w:line="0" w:lineRule="atLeast"/>
              <w:jc w:val="center"/>
              <w:rPr>
                <w:color w:val="000000"/>
                <w:kern w:val="0"/>
                <w:sz w:val="22"/>
                <w:szCs w:val="22"/>
              </w:rPr>
            </w:pPr>
            <w:r>
              <w:rPr>
                <w:color w:val="000000"/>
                <w:kern w:val="0"/>
                <w:sz w:val="22"/>
                <w:szCs w:val="22"/>
              </w:rPr>
              <w:t>制度执行</w:t>
            </w:r>
          </w:p>
          <w:p w14:paraId="5A7BEC30">
            <w:pPr>
              <w:widowControl/>
              <w:spacing w:line="0" w:lineRule="atLeast"/>
              <w:jc w:val="center"/>
            </w:pPr>
            <w:r>
              <w:rPr>
                <w:color w:val="000000"/>
                <w:kern w:val="0"/>
                <w:sz w:val="22"/>
                <w:szCs w:val="22"/>
              </w:rPr>
              <w:t>有效性</w:t>
            </w:r>
          </w:p>
        </w:tc>
        <w:tc>
          <w:tcPr>
            <w:tcW w:w="660" w:type="dxa"/>
            <w:vAlign w:val="center"/>
          </w:tcPr>
          <w:p w14:paraId="263C9400">
            <w:pPr>
              <w:widowControl/>
              <w:spacing w:line="0" w:lineRule="atLeast"/>
              <w:jc w:val="center"/>
            </w:pPr>
            <w:r>
              <w:rPr>
                <w:color w:val="000000"/>
                <w:kern w:val="0"/>
                <w:sz w:val="22"/>
                <w:szCs w:val="22"/>
              </w:rPr>
              <w:t>4</w:t>
            </w:r>
          </w:p>
        </w:tc>
        <w:tc>
          <w:tcPr>
            <w:tcW w:w="975" w:type="dxa"/>
            <w:vAlign w:val="center"/>
          </w:tcPr>
          <w:p w14:paraId="45C35A03">
            <w:pPr>
              <w:widowControl/>
              <w:spacing w:line="0" w:lineRule="atLeast"/>
              <w:jc w:val="center"/>
            </w:pPr>
            <w:r>
              <w:rPr>
                <w:color w:val="000000"/>
                <w:kern w:val="0"/>
                <w:sz w:val="22"/>
                <w:szCs w:val="22"/>
              </w:rPr>
              <w:t>有效</w:t>
            </w:r>
          </w:p>
        </w:tc>
        <w:tc>
          <w:tcPr>
            <w:tcW w:w="810" w:type="dxa"/>
            <w:vAlign w:val="center"/>
          </w:tcPr>
          <w:p w14:paraId="7836AC35">
            <w:pPr>
              <w:widowControl/>
              <w:spacing w:line="0" w:lineRule="atLeast"/>
              <w:jc w:val="center"/>
            </w:pPr>
            <w:r>
              <w:rPr>
                <w:color w:val="000000"/>
                <w:kern w:val="0"/>
                <w:sz w:val="22"/>
                <w:szCs w:val="22"/>
              </w:rPr>
              <w:t>有效</w:t>
            </w:r>
          </w:p>
        </w:tc>
        <w:tc>
          <w:tcPr>
            <w:tcW w:w="930" w:type="dxa"/>
            <w:vAlign w:val="center"/>
          </w:tcPr>
          <w:p w14:paraId="1F380593">
            <w:pPr>
              <w:widowControl/>
              <w:spacing w:line="0" w:lineRule="atLeast"/>
              <w:jc w:val="center"/>
            </w:pPr>
            <w:r>
              <w:rPr>
                <w:rFonts w:hint="eastAsia"/>
                <w:color w:val="000000"/>
                <w:kern w:val="0"/>
                <w:sz w:val="22"/>
                <w:szCs w:val="22"/>
              </w:rPr>
              <w:t>100%</w:t>
            </w:r>
          </w:p>
        </w:tc>
        <w:tc>
          <w:tcPr>
            <w:tcW w:w="775" w:type="dxa"/>
            <w:vAlign w:val="center"/>
          </w:tcPr>
          <w:p w14:paraId="6E91B408">
            <w:pPr>
              <w:widowControl/>
              <w:spacing w:line="0" w:lineRule="atLeast"/>
              <w:jc w:val="center"/>
            </w:pPr>
            <w:r>
              <w:rPr>
                <w:rFonts w:hint="eastAsia"/>
                <w:color w:val="000000"/>
                <w:kern w:val="0"/>
                <w:sz w:val="22"/>
                <w:szCs w:val="22"/>
              </w:rPr>
              <w:t>4</w:t>
            </w:r>
          </w:p>
        </w:tc>
      </w:tr>
      <w:tr w14:paraId="2E86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restart"/>
            <w:vAlign w:val="center"/>
          </w:tcPr>
          <w:p w14:paraId="488D46C0">
            <w:pPr>
              <w:widowControl/>
              <w:spacing w:line="0" w:lineRule="atLeast"/>
              <w:jc w:val="center"/>
            </w:pPr>
            <w:r>
              <w:rPr>
                <w:color w:val="000000"/>
                <w:kern w:val="0"/>
                <w:sz w:val="22"/>
                <w:szCs w:val="22"/>
              </w:rPr>
              <w:t>产出</w:t>
            </w:r>
          </w:p>
        </w:tc>
        <w:tc>
          <w:tcPr>
            <w:tcW w:w="690" w:type="dxa"/>
            <w:vMerge w:val="restart"/>
            <w:vAlign w:val="center"/>
          </w:tcPr>
          <w:p w14:paraId="4998F271">
            <w:pPr>
              <w:widowControl/>
              <w:spacing w:line="0" w:lineRule="atLeast"/>
              <w:jc w:val="center"/>
            </w:pPr>
            <w:r>
              <w:rPr>
                <w:kern w:val="0"/>
                <w:sz w:val="22"/>
                <w:szCs w:val="22"/>
              </w:rPr>
              <w:t>40分</w:t>
            </w:r>
          </w:p>
        </w:tc>
        <w:tc>
          <w:tcPr>
            <w:tcW w:w="1155" w:type="dxa"/>
            <w:vAlign w:val="center"/>
          </w:tcPr>
          <w:p w14:paraId="4BA91BFB">
            <w:pPr>
              <w:widowControl/>
              <w:spacing w:line="0" w:lineRule="atLeast"/>
              <w:jc w:val="center"/>
            </w:pPr>
            <w:r>
              <w:rPr>
                <w:color w:val="000000"/>
                <w:kern w:val="0"/>
                <w:sz w:val="22"/>
                <w:szCs w:val="22"/>
              </w:rPr>
              <w:t>产出数量</w:t>
            </w:r>
          </w:p>
        </w:tc>
        <w:tc>
          <w:tcPr>
            <w:tcW w:w="1665" w:type="dxa"/>
            <w:vAlign w:val="center"/>
          </w:tcPr>
          <w:p w14:paraId="6F4F46CD">
            <w:pPr>
              <w:widowControl/>
              <w:spacing w:line="0" w:lineRule="atLeast"/>
              <w:jc w:val="center"/>
            </w:pPr>
            <w:r>
              <w:rPr>
                <w:color w:val="000000"/>
                <w:kern w:val="0"/>
                <w:sz w:val="22"/>
                <w:szCs w:val="22"/>
              </w:rPr>
              <w:t>实际完成率</w:t>
            </w:r>
          </w:p>
        </w:tc>
        <w:tc>
          <w:tcPr>
            <w:tcW w:w="660" w:type="dxa"/>
            <w:vAlign w:val="center"/>
          </w:tcPr>
          <w:p w14:paraId="4ACAAA9B">
            <w:pPr>
              <w:widowControl/>
              <w:spacing w:line="0" w:lineRule="atLeast"/>
              <w:jc w:val="center"/>
            </w:pPr>
            <w:r>
              <w:rPr>
                <w:color w:val="000000"/>
                <w:kern w:val="0"/>
                <w:sz w:val="22"/>
                <w:szCs w:val="22"/>
              </w:rPr>
              <w:t>10</w:t>
            </w:r>
          </w:p>
        </w:tc>
        <w:tc>
          <w:tcPr>
            <w:tcW w:w="975" w:type="dxa"/>
            <w:vAlign w:val="center"/>
          </w:tcPr>
          <w:p w14:paraId="471579BF">
            <w:pPr>
              <w:widowControl/>
              <w:spacing w:line="0" w:lineRule="atLeast"/>
              <w:jc w:val="center"/>
            </w:pPr>
            <w:r>
              <w:rPr>
                <w:color w:val="000000"/>
                <w:kern w:val="0"/>
                <w:sz w:val="22"/>
                <w:szCs w:val="22"/>
              </w:rPr>
              <w:t>100%</w:t>
            </w:r>
          </w:p>
        </w:tc>
        <w:tc>
          <w:tcPr>
            <w:tcW w:w="810" w:type="dxa"/>
            <w:vAlign w:val="center"/>
          </w:tcPr>
          <w:p w14:paraId="3DC1E267">
            <w:pPr>
              <w:widowControl/>
              <w:spacing w:line="0" w:lineRule="atLeast"/>
              <w:jc w:val="center"/>
            </w:pPr>
            <w:r>
              <w:rPr>
                <w:rFonts w:hint="eastAsia"/>
                <w:color w:val="000000"/>
                <w:kern w:val="0"/>
                <w:sz w:val="22"/>
                <w:szCs w:val="22"/>
              </w:rPr>
              <w:t>100%</w:t>
            </w:r>
          </w:p>
        </w:tc>
        <w:tc>
          <w:tcPr>
            <w:tcW w:w="930" w:type="dxa"/>
            <w:vAlign w:val="center"/>
          </w:tcPr>
          <w:p w14:paraId="5633BD42">
            <w:pPr>
              <w:widowControl/>
              <w:spacing w:line="0" w:lineRule="atLeast"/>
              <w:jc w:val="center"/>
            </w:pPr>
            <w:r>
              <w:rPr>
                <w:rFonts w:hint="eastAsia"/>
                <w:color w:val="000000"/>
                <w:kern w:val="0"/>
                <w:sz w:val="22"/>
                <w:szCs w:val="22"/>
              </w:rPr>
              <w:t>100%</w:t>
            </w:r>
          </w:p>
        </w:tc>
        <w:tc>
          <w:tcPr>
            <w:tcW w:w="775" w:type="dxa"/>
            <w:vAlign w:val="center"/>
          </w:tcPr>
          <w:p w14:paraId="0D8F438A">
            <w:pPr>
              <w:widowControl/>
              <w:spacing w:line="0" w:lineRule="atLeast"/>
              <w:jc w:val="center"/>
            </w:pPr>
            <w:r>
              <w:rPr>
                <w:rFonts w:hint="eastAsia"/>
                <w:color w:val="000000"/>
                <w:kern w:val="0"/>
                <w:sz w:val="22"/>
                <w:szCs w:val="22"/>
              </w:rPr>
              <w:t>10</w:t>
            </w:r>
          </w:p>
        </w:tc>
      </w:tr>
      <w:tr w14:paraId="0D69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4223D2AF"/>
        </w:tc>
        <w:tc>
          <w:tcPr>
            <w:tcW w:w="690" w:type="dxa"/>
            <w:vMerge w:val="continue"/>
          </w:tcPr>
          <w:p w14:paraId="3878ECF7"/>
        </w:tc>
        <w:tc>
          <w:tcPr>
            <w:tcW w:w="1155" w:type="dxa"/>
            <w:vAlign w:val="center"/>
          </w:tcPr>
          <w:p w14:paraId="361E305A">
            <w:pPr>
              <w:widowControl/>
              <w:spacing w:line="0" w:lineRule="atLeast"/>
              <w:jc w:val="center"/>
            </w:pPr>
            <w:r>
              <w:rPr>
                <w:color w:val="000000"/>
                <w:kern w:val="0"/>
                <w:sz w:val="22"/>
                <w:szCs w:val="22"/>
              </w:rPr>
              <w:t>产出质量</w:t>
            </w:r>
          </w:p>
        </w:tc>
        <w:tc>
          <w:tcPr>
            <w:tcW w:w="1665" w:type="dxa"/>
            <w:vAlign w:val="center"/>
          </w:tcPr>
          <w:p w14:paraId="272E9934">
            <w:pPr>
              <w:widowControl/>
              <w:spacing w:line="0" w:lineRule="atLeast"/>
              <w:jc w:val="center"/>
            </w:pPr>
            <w:r>
              <w:rPr>
                <w:color w:val="000000"/>
                <w:kern w:val="0"/>
                <w:sz w:val="22"/>
                <w:szCs w:val="22"/>
              </w:rPr>
              <w:t>质量达标率</w:t>
            </w:r>
          </w:p>
        </w:tc>
        <w:tc>
          <w:tcPr>
            <w:tcW w:w="660" w:type="dxa"/>
            <w:vAlign w:val="center"/>
          </w:tcPr>
          <w:p w14:paraId="52C3C579">
            <w:pPr>
              <w:widowControl/>
              <w:spacing w:line="0" w:lineRule="atLeast"/>
              <w:jc w:val="center"/>
            </w:pPr>
            <w:r>
              <w:rPr>
                <w:color w:val="000000"/>
                <w:kern w:val="0"/>
                <w:sz w:val="22"/>
                <w:szCs w:val="22"/>
              </w:rPr>
              <w:t>10</w:t>
            </w:r>
          </w:p>
        </w:tc>
        <w:tc>
          <w:tcPr>
            <w:tcW w:w="975" w:type="dxa"/>
            <w:vAlign w:val="center"/>
          </w:tcPr>
          <w:p w14:paraId="1F92080A">
            <w:pPr>
              <w:widowControl/>
              <w:spacing w:line="0" w:lineRule="atLeast"/>
              <w:jc w:val="center"/>
            </w:pPr>
            <w:r>
              <w:rPr>
                <w:color w:val="000000"/>
                <w:kern w:val="0"/>
                <w:sz w:val="22"/>
                <w:szCs w:val="22"/>
              </w:rPr>
              <w:t>100%</w:t>
            </w:r>
          </w:p>
        </w:tc>
        <w:tc>
          <w:tcPr>
            <w:tcW w:w="810" w:type="dxa"/>
            <w:vAlign w:val="center"/>
          </w:tcPr>
          <w:p w14:paraId="0A71DC2B">
            <w:pPr>
              <w:widowControl/>
              <w:spacing w:line="0" w:lineRule="atLeast"/>
              <w:jc w:val="center"/>
            </w:pPr>
            <w:r>
              <w:rPr>
                <w:rFonts w:hint="eastAsia"/>
                <w:color w:val="000000"/>
                <w:kern w:val="0"/>
                <w:sz w:val="22"/>
                <w:szCs w:val="22"/>
              </w:rPr>
              <w:t>100%</w:t>
            </w:r>
          </w:p>
        </w:tc>
        <w:tc>
          <w:tcPr>
            <w:tcW w:w="930" w:type="dxa"/>
            <w:vAlign w:val="center"/>
          </w:tcPr>
          <w:p w14:paraId="2D28EF53">
            <w:pPr>
              <w:widowControl/>
              <w:spacing w:line="0" w:lineRule="atLeast"/>
              <w:jc w:val="center"/>
            </w:pPr>
            <w:r>
              <w:rPr>
                <w:rFonts w:hint="eastAsia"/>
                <w:color w:val="000000"/>
                <w:kern w:val="0"/>
                <w:sz w:val="22"/>
                <w:szCs w:val="22"/>
              </w:rPr>
              <w:t>100%</w:t>
            </w:r>
          </w:p>
        </w:tc>
        <w:tc>
          <w:tcPr>
            <w:tcW w:w="775" w:type="dxa"/>
            <w:vAlign w:val="center"/>
          </w:tcPr>
          <w:p w14:paraId="720AE70B">
            <w:pPr>
              <w:widowControl/>
              <w:spacing w:line="0" w:lineRule="atLeast"/>
              <w:jc w:val="center"/>
            </w:pPr>
            <w:r>
              <w:rPr>
                <w:rFonts w:hint="eastAsia"/>
                <w:color w:val="000000"/>
                <w:kern w:val="0"/>
                <w:sz w:val="22"/>
                <w:szCs w:val="22"/>
              </w:rPr>
              <w:t>10</w:t>
            </w:r>
          </w:p>
        </w:tc>
      </w:tr>
      <w:tr w14:paraId="79C5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35706775"/>
        </w:tc>
        <w:tc>
          <w:tcPr>
            <w:tcW w:w="690" w:type="dxa"/>
            <w:vMerge w:val="continue"/>
          </w:tcPr>
          <w:p w14:paraId="1689A1B9"/>
        </w:tc>
        <w:tc>
          <w:tcPr>
            <w:tcW w:w="1155" w:type="dxa"/>
            <w:vAlign w:val="center"/>
          </w:tcPr>
          <w:p w14:paraId="36D713C2">
            <w:pPr>
              <w:spacing w:line="0" w:lineRule="atLeast"/>
              <w:jc w:val="center"/>
            </w:pPr>
            <w:r>
              <w:rPr>
                <w:color w:val="000000"/>
                <w:kern w:val="0"/>
                <w:sz w:val="22"/>
                <w:szCs w:val="22"/>
              </w:rPr>
              <w:t>产出时效</w:t>
            </w:r>
          </w:p>
        </w:tc>
        <w:tc>
          <w:tcPr>
            <w:tcW w:w="1665" w:type="dxa"/>
            <w:vAlign w:val="center"/>
          </w:tcPr>
          <w:p w14:paraId="1756C51F">
            <w:pPr>
              <w:widowControl/>
              <w:spacing w:line="0" w:lineRule="atLeast"/>
              <w:jc w:val="center"/>
            </w:pPr>
            <w:r>
              <w:rPr>
                <w:color w:val="000000"/>
                <w:kern w:val="0"/>
                <w:sz w:val="22"/>
                <w:szCs w:val="22"/>
              </w:rPr>
              <w:t>完成及时性</w:t>
            </w:r>
          </w:p>
        </w:tc>
        <w:tc>
          <w:tcPr>
            <w:tcW w:w="660" w:type="dxa"/>
            <w:vAlign w:val="center"/>
          </w:tcPr>
          <w:p w14:paraId="46D36D68">
            <w:pPr>
              <w:widowControl/>
              <w:spacing w:line="0" w:lineRule="atLeast"/>
              <w:jc w:val="center"/>
            </w:pPr>
            <w:r>
              <w:rPr>
                <w:color w:val="000000"/>
                <w:kern w:val="0"/>
                <w:sz w:val="22"/>
                <w:szCs w:val="22"/>
              </w:rPr>
              <w:t>10</w:t>
            </w:r>
          </w:p>
        </w:tc>
        <w:tc>
          <w:tcPr>
            <w:tcW w:w="975" w:type="dxa"/>
            <w:vAlign w:val="center"/>
          </w:tcPr>
          <w:p w14:paraId="47C71646">
            <w:pPr>
              <w:widowControl/>
              <w:spacing w:line="0" w:lineRule="atLeast"/>
              <w:jc w:val="center"/>
            </w:pPr>
            <w:r>
              <w:rPr>
                <w:color w:val="000000"/>
                <w:kern w:val="0"/>
                <w:sz w:val="22"/>
                <w:szCs w:val="22"/>
              </w:rPr>
              <w:t>及时</w:t>
            </w:r>
          </w:p>
        </w:tc>
        <w:tc>
          <w:tcPr>
            <w:tcW w:w="810" w:type="dxa"/>
            <w:vAlign w:val="center"/>
          </w:tcPr>
          <w:p w14:paraId="695C041C">
            <w:pPr>
              <w:widowControl/>
              <w:spacing w:line="0" w:lineRule="atLeast"/>
              <w:jc w:val="center"/>
            </w:pPr>
            <w:r>
              <w:rPr>
                <w:color w:val="000000"/>
                <w:kern w:val="0"/>
                <w:sz w:val="22"/>
                <w:szCs w:val="22"/>
              </w:rPr>
              <w:t>及时</w:t>
            </w:r>
          </w:p>
        </w:tc>
        <w:tc>
          <w:tcPr>
            <w:tcW w:w="930" w:type="dxa"/>
            <w:vAlign w:val="center"/>
          </w:tcPr>
          <w:p w14:paraId="75D828EF">
            <w:pPr>
              <w:widowControl/>
              <w:spacing w:line="0" w:lineRule="atLeast"/>
              <w:jc w:val="center"/>
            </w:pPr>
            <w:r>
              <w:rPr>
                <w:rFonts w:hint="eastAsia"/>
                <w:color w:val="000000"/>
                <w:kern w:val="0"/>
                <w:sz w:val="22"/>
                <w:szCs w:val="22"/>
              </w:rPr>
              <w:t>100%</w:t>
            </w:r>
          </w:p>
        </w:tc>
        <w:tc>
          <w:tcPr>
            <w:tcW w:w="775" w:type="dxa"/>
            <w:vAlign w:val="center"/>
          </w:tcPr>
          <w:p w14:paraId="51318BDD">
            <w:pPr>
              <w:widowControl/>
              <w:spacing w:line="0" w:lineRule="atLeast"/>
              <w:jc w:val="center"/>
            </w:pPr>
            <w:r>
              <w:rPr>
                <w:rFonts w:hint="eastAsia"/>
                <w:color w:val="000000"/>
                <w:kern w:val="0"/>
                <w:sz w:val="22"/>
                <w:szCs w:val="22"/>
              </w:rPr>
              <w:t>10</w:t>
            </w:r>
          </w:p>
        </w:tc>
      </w:tr>
      <w:tr w14:paraId="11D0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0F02A6D4"/>
        </w:tc>
        <w:tc>
          <w:tcPr>
            <w:tcW w:w="690" w:type="dxa"/>
            <w:vMerge w:val="continue"/>
          </w:tcPr>
          <w:p w14:paraId="468FB07E"/>
        </w:tc>
        <w:tc>
          <w:tcPr>
            <w:tcW w:w="1155" w:type="dxa"/>
            <w:vAlign w:val="center"/>
          </w:tcPr>
          <w:p w14:paraId="58E8A5F6">
            <w:pPr>
              <w:widowControl/>
              <w:spacing w:line="0" w:lineRule="atLeast"/>
              <w:jc w:val="center"/>
            </w:pPr>
            <w:r>
              <w:rPr>
                <w:color w:val="000000"/>
                <w:kern w:val="0"/>
                <w:sz w:val="22"/>
                <w:szCs w:val="22"/>
              </w:rPr>
              <w:t>产出成本</w:t>
            </w:r>
          </w:p>
        </w:tc>
        <w:tc>
          <w:tcPr>
            <w:tcW w:w="1665" w:type="dxa"/>
            <w:vAlign w:val="center"/>
          </w:tcPr>
          <w:p w14:paraId="570EE3CA">
            <w:pPr>
              <w:widowControl/>
              <w:spacing w:line="0" w:lineRule="atLeast"/>
              <w:jc w:val="center"/>
            </w:pPr>
            <w:r>
              <w:rPr>
                <w:color w:val="000000"/>
                <w:kern w:val="0"/>
                <w:sz w:val="22"/>
                <w:szCs w:val="22"/>
              </w:rPr>
              <w:t>成本节约率</w:t>
            </w:r>
          </w:p>
        </w:tc>
        <w:tc>
          <w:tcPr>
            <w:tcW w:w="660" w:type="dxa"/>
            <w:vAlign w:val="center"/>
          </w:tcPr>
          <w:p w14:paraId="722B9213">
            <w:pPr>
              <w:widowControl/>
              <w:spacing w:line="0" w:lineRule="atLeast"/>
              <w:jc w:val="center"/>
            </w:pPr>
            <w:r>
              <w:rPr>
                <w:color w:val="000000"/>
                <w:kern w:val="0"/>
                <w:sz w:val="22"/>
                <w:szCs w:val="22"/>
              </w:rPr>
              <w:t>10</w:t>
            </w:r>
          </w:p>
        </w:tc>
        <w:tc>
          <w:tcPr>
            <w:tcW w:w="975" w:type="dxa"/>
            <w:vAlign w:val="center"/>
          </w:tcPr>
          <w:p w14:paraId="38346C8E">
            <w:pPr>
              <w:widowControl/>
              <w:spacing w:line="0" w:lineRule="atLeast"/>
              <w:jc w:val="center"/>
            </w:pPr>
            <w:r>
              <w:rPr>
                <w:color w:val="000000"/>
                <w:kern w:val="0"/>
                <w:sz w:val="22"/>
                <w:szCs w:val="22"/>
              </w:rPr>
              <w:t>100%</w:t>
            </w:r>
          </w:p>
        </w:tc>
        <w:tc>
          <w:tcPr>
            <w:tcW w:w="810" w:type="dxa"/>
            <w:vAlign w:val="center"/>
          </w:tcPr>
          <w:p w14:paraId="0119A3AB">
            <w:pPr>
              <w:widowControl/>
              <w:spacing w:line="0" w:lineRule="atLeast"/>
              <w:jc w:val="center"/>
            </w:pPr>
            <w:r>
              <w:rPr>
                <w:rFonts w:hint="eastAsia"/>
                <w:color w:val="000000"/>
                <w:kern w:val="0"/>
                <w:sz w:val="22"/>
                <w:szCs w:val="22"/>
              </w:rPr>
              <w:t>100</w:t>
            </w:r>
            <w:r>
              <w:rPr>
                <w:color w:val="000000"/>
                <w:kern w:val="0"/>
                <w:sz w:val="22"/>
                <w:szCs w:val="22"/>
              </w:rPr>
              <w:t>%</w:t>
            </w:r>
          </w:p>
        </w:tc>
        <w:tc>
          <w:tcPr>
            <w:tcW w:w="930" w:type="dxa"/>
            <w:vAlign w:val="center"/>
          </w:tcPr>
          <w:p w14:paraId="1D5FC5F1">
            <w:pPr>
              <w:widowControl/>
              <w:spacing w:line="0" w:lineRule="atLeast"/>
              <w:jc w:val="center"/>
            </w:pPr>
            <w:r>
              <w:rPr>
                <w:rFonts w:hint="eastAsia"/>
                <w:color w:val="000000"/>
                <w:kern w:val="0"/>
                <w:sz w:val="22"/>
                <w:szCs w:val="22"/>
              </w:rPr>
              <w:t>100%</w:t>
            </w:r>
          </w:p>
        </w:tc>
        <w:tc>
          <w:tcPr>
            <w:tcW w:w="775" w:type="dxa"/>
            <w:vAlign w:val="center"/>
          </w:tcPr>
          <w:p w14:paraId="1F9F9D96">
            <w:pPr>
              <w:widowControl/>
              <w:spacing w:line="0" w:lineRule="atLeast"/>
              <w:jc w:val="center"/>
            </w:pPr>
            <w:r>
              <w:rPr>
                <w:rFonts w:hint="eastAsia"/>
                <w:color w:val="000000"/>
                <w:kern w:val="0"/>
                <w:sz w:val="22"/>
                <w:szCs w:val="22"/>
              </w:rPr>
              <w:t>10</w:t>
            </w:r>
          </w:p>
        </w:tc>
      </w:tr>
      <w:tr w14:paraId="3A73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1104" w:type="dxa"/>
            <w:vMerge w:val="restart"/>
            <w:vAlign w:val="center"/>
          </w:tcPr>
          <w:p w14:paraId="64FE7E2B">
            <w:pPr>
              <w:widowControl/>
              <w:spacing w:line="0" w:lineRule="atLeast"/>
              <w:jc w:val="center"/>
            </w:pPr>
            <w:r>
              <w:rPr>
                <w:color w:val="000000"/>
                <w:kern w:val="0"/>
                <w:sz w:val="22"/>
                <w:szCs w:val="22"/>
              </w:rPr>
              <w:t>效益</w:t>
            </w:r>
          </w:p>
        </w:tc>
        <w:tc>
          <w:tcPr>
            <w:tcW w:w="690" w:type="dxa"/>
            <w:vMerge w:val="restart"/>
            <w:vAlign w:val="center"/>
          </w:tcPr>
          <w:p w14:paraId="228B358B">
            <w:pPr>
              <w:widowControl/>
              <w:spacing w:line="0" w:lineRule="atLeast"/>
              <w:jc w:val="center"/>
            </w:pPr>
            <w:r>
              <w:rPr>
                <w:color w:val="000000"/>
                <w:kern w:val="0"/>
                <w:sz w:val="22"/>
                <w:szCs w:val="22"/>
              </w:rPr>
              <w:t>20分</w:t>
            </w:r>
          </w:p>
        </w:tc>
        <w:tc>
          <w:tcPr>
            <w:tcW w:w="1155" w:type="dxa"/>
            <w:vMerge w:val="restart"/>
            <w:vAlign w:val="center"/>
          </w:tcPr>
          <w:p w14:paraId="1EE03EA0">
            <w:pPr>
              <w:widowControl/>
              <w:spacing w:line="0" w:lineRule="atLeast"/>
              <w:jc w:val="center"/>
            </w:pPr>
            <w:r>
              <w:rPr>
                <w:color w:val="000000"/>
                <w:kern w:val="0"/>
                <w:sz w:val="22"/>
                <w:szCs w:val="22"/>
              </w:rPr>
              <w:t>项目效益</w:t>
            </w:r>
          </w:p>
        </w:tc>
        <w:tc>
          <w:tcPr>
            <w:tcW w:w="1665" w:type="dxa"/>
            <w:vAlign w:val="center"/>
          </w:tcPr>
          <w:p w14:paraId="6C1A8A97">
            <w:pPr>
              <w:widowControl/>
              <w:spacing w:line="0" w:lineRule="atLeast"/>
              <w:jc w:val="center"/>
              <w:rPr>
                <w:color w:val="000000"/>
                <w:kern w:val="0"/>
                <w:sz w:val="22"/>
                <w:szCs w:val="22"/>
              </w:rPr>
            </w:pPr>
            <w:r>
              <w:rPr>
                <w:color w:val="000000"/>
                <w:kern w:val="0"/>
                <w:sz w:val="22"/>
                <w:szCs w:val="22"/>
              </w:rPr>
              <w:t>实施效益</w:t>
            </w:r>
          </w:p>
          <w:p w14:paraId="670238E1">
            <w:pPr>
              <w:widowControl/>
              <w:spacing w:line="0" w:lineRule="atLeast"/>
              <w:jc w:val="center"/>
            </w:pPr>
            <w:r>
              <w:rPr>
                <w:color w:val="000000"/>
                <w:kern w:val="0"/>
                <w:sz w:val="22"/>
                <w:szCs w:val="22"/>
              </w:rPr>
              <w:t>（社会效益、经济效益、可持续效益）</w:t>
            </w:r>
          </w:p>
        </w:tc>
        <w:tc>
          <w:tcPr>
            <w:tcW w:w="660" w:type="dxa"/>
            <w:vAlign w:val="center"/>
          </w:tcPr>
          <w:p w14:paraId="05BDC31C">
            <w:pPr>
              <w:widowControl/>
              <w:spacing w:line="0" w:lineRule="atLeast"/>
              <w:jc w:val="center"/>
            </w:pPr>
            <w:r>
              <w:rPr>
                <w:color w:val="000000"/>
                <w:kern w:val="0"/>
                <w:sz w:val="22"/>
                <w:szCs w:val="22"/>
              </w:rPr>
              <w:t>10</w:t>
            </w:r>
          </w:p>
        </w:tc>
        <w:tc>
          <w:tcPr>
            <w:tcW w:w="975" w:type="dxa"/>
            <w:vAlign w:val="center"/>
          </w:tcPr>
          <w:p w14:paraId="28C89042">
            <w:pPr>
              <w:widowControl/>
              <w:spacing w:line="0" w:lineRule="atLeast"/>
              <w:jc w:val="center"/>
            </w:pPr>
            <w:r>
              <w:rPr>
                <w:color w:val="000000"/>
                <w:kern w:val="0"/>
                <w:sz w:val="22"/>
                <w:szCs w:val="22"/>
              </w:rPr>
              <w:t>有效</w:t>
            </w:r>
          </w:p>
        </w:tc>
        <w:tc>
          <w:tcPr>
            <w:tcW w:w="810" w:type="dxa"/>
            <w:vAlign w:val="center"/>
          </w:tcPr>
          <w:p w14:paraId="0237F2DC">
            <w:pPr>
              <w:widowControl/>
              <w:spacing w:line="0" w:lineRule="atLeast"/>
              <w:jc w:val="center"/>
            </w:pPr>
            <w:r>
              <w:rPr>
                <w:color w:val="000000"/>
                <w:kern w:val="0"/>
                <w:sz w:val="22"/>
                <w:szCs w:val="22"/>
              </w:rPr>
              <w:t>有效</w:t>
            </w:r>
          </w:p>
        </w:tc>
        <w:tc>
          <w:tcPr>
            <w:tcW w:w="930" w:type="dxa"/>
            <w:vAlign w:val="center"/>
          </w:tcPr>
          <w:p w14:paraId="7BF2AEC8">
            <w:pPr>
              <w:widowControl/>
              <w:spacing w:line="0" w:lineRule="atLeast"/>
              <w:jc w:val="center"/>
            </w:pPr>
            <w:r>
              <w:rPr>
                <w:rFonts w:hint="eastAsia"/>
                <w:color w:val="000000"/>
                <w:kern w:val="0"/>
                <w:sz w:val="22"/>
                <w:szCs w:val="22"/>
              </w:rPr>
              <w:t>90%</w:t>
            </w:r>
          </w:p>
        </w:tc>
        <w:tc>
          <w:tcPr>
            <w:tcW w:w="775" w:type="dxa"/>
            <w:vAlign w:val="center"/>
          </w:tcPr>
          <w:p w14:paraId="73B73301">
            <w:pPr>
              <w:widowControl/>
              <w:spacing w:line="0" w:lineRule="atLeast"/>
              <w:jc w:val="center"/>
            </w:pPr>
            <w:r>
              <w:rPr>
                <w:rFonts w:hint="eastAsia"/>
                <w:color w:val="000000"/>
                <w:kern w:val="0"/>
                <w:sz w:val="22"/>
                <w:szCs w:val="22"/>
              </w:rPr>
              <w:t>9</w:t>
            </w:r>
          </w:p>
        </w:tc>
      </w:tr>
      <w:tr w14:paraId="4EE05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73E1E561"/>
        </w:tc>
        <w:tc>
          <w:tcPr>
            <w:tcW w:w="690" w:type="dxa"/>
            <w:vMerge w:val="continue"/>
          </w:tcPr>
          <w:p w14:paraId="14990CB8"/>
        </w:tc>
        <w:tc>
          <w:tcPr>
            <w:tcW w:w="1155" w:type="dxa"/>
            <w:vMerge w:val="continue"/>
          </w:tcPr>
          <w:p w14:paraId="3F2ED89E"/>
        </w:tc>
        <w:tc>
          <w:tcPr>
            <w:tcW w:w="1665" w:type="dxa"/>
            <w:vAlign w:val="center"/>
          </w:tcPr>
          <w:p w14:paraId="114F380A">
            <w:pPr>
              <w:widowControl/>
              <w:spacing w:line="0" w:lineRule="atLeast"/>
              <w:jc w:val="center"/>
            </w:pPr>
            <w:r>
              <w:rPr>
                <w:color w:val="000000"/>
                <w:kern w:val="0"/>
                <w:sz w:val="22"/>
                <w:szCs w:val="22"/>
              </w:rPr>
              <w:t>满意度</w:t>
            </w:r>
          </w:p>
        </w:tc>
        <w:tc>
          <w:tcPr>
            <w:tcW w:w="660" w:type="dxa"/>
            <w:vAlign w:val="center"/>
          </w:tcPr>
          <w:p w14:paraId="5522C1F0">
            <w:pPr>
              <w:widowControl/>
              <w:spacing w:line="0" w:lineRule="atLeast"/>
              <w:jc w:val="center"/>
            </w:pPr>
            <w:r>
              <w:rPr>
                <w:color w:val="000000"/>
                <w:kern w:val="0"/>
                <w:sz w:val="22"/>
                <w:szCs w:val="22"/>
              </w:rPr>
              <w:t>10</w:t>
            </w:r>
          </w:p>
        </w:tc>
        <w:tc>
          <w:tcPr>
            <w:tcW w:w="975" w:type="dxa"/>
            <w:vAlign w:val="center"/>
          </w:tcPr>
          <w:p w14:paraId="374E02F9">
            <w:pPr>
              <w:widowControl/>
              <w:spacing w:line="0" w:lineRule="atLeast"/>
              <w:jc w:val="center"/>
            </w:pPr>
            <w:r>
              <w:rPr>
                <w:rFonts w:hint="eastAsia"/>
                <w:color w:val="000000"/>
                <w:kern w:val="0"/>
                <w:sz w:val="22"/>
                <w:szCs w:val="22"/>
              </w:rPr>
              <w:t>≥90%</w:t>
            </w:r>
          </w:p>
        </w:tc>
        <w:tc>
          <w:tcPr>
            <w:tcW w:w="810" w:type="dxa"/>
            <w:vAlign w:val="center"/>
          </w:tcPr>
          <w:p w14:paraId="2277ADF2">
            <w:pPr>
              <w:widowControl/>
              <w:spacing w:line="0" w:lineRule="atLeast"/>
              <w:jc w:val="center"/>
            </w:pPr>
            <w:r>
              <w:rPr>
                <w:rFonts w:hint="eastAsia"/>
                <w:color w:val="000000"/>
                <w:kern w:val="0"/>
                <w:sz w:val="22"/>
                <w:szCs w:val="22"/>
              </w:rPr>
              <w:t>100%</w:t>
            </w:r>
          </w:p>
        </w:tc>
        <w:tc>
          <w:tcPr>
            <w:tcW w:w="930" w:type="dxa"/>
            <w:vAlign w:val="center"/>
          </w:tcPr>
          <w:p w14:paraId="1D491E8B">
            <w:pPr>
              <w:widowControl/>
              <w:spacing w:line="0" w:lineRule="atLeast"/>
              <w:jc w:val="center"/>
            </w:pPr>
            <w:r>
              <w:rPr>
                <w:rFonts w:hint="eastAsia"/>
                <w:color w:val="000000"/>
                <w:kern w:val="0"/>
                <w:sz w:val="22"/>
                <w:szCs w:val="22"/>
              </w:rPr>
              <w:t>98.28%</w:t>
            </w:r>
          </w:p>
        </w:tc>
        <w:tc>
          <w:tcPr>
            <w:tcW w:w="775" w:type="dxa"/>
            <w:vAlign w:val="center"/>
          </w:tcPr>
          <w:p w14:paraId="6721187A">
            <w:pPr>
              <w:widowControl/>
              <w:spacing w:line="0" w:lineRule="atLeast"/>
              <w:jc w:val="center"/>
            </w:pPr>
            <w:r>
              <w:rPr>
                <w:rFonts w:hint="eastAsia"/>
                <w:color w:val="000000"/>
                <w:kern w:val="0"/>
                <w:sz w:val="22"/>
                <w:szCs w:val="22"/>
              </w:rPr>
              <w:t>10</w:t>
            </w:r>
          </w:p>
        </w:tc>
      </w:tr>
    </w:tbl>
    <w:p w14:paraId="25398326">
      <w:pPr>
        <w:spacing w:line="560" w:lineRule="exact"/>
        <w:ind w:firstLine="640" w:firstLineChars="200"/>
        <w:rPr>
          <w:rFonts w:eastAsia="黑体"/>
          <w:sz w:val="32"/>
          <w:szCs w:val="32"/>
        </w:rPr>
      </w:pPr>
    </w:p>
    <w:p w14:paraId="6A6392F3">
      <w:pPr>
        <w:spacing w:line="560" w:lineRule="exact"/>
        <w:ind w:firstLine="640" w:firstLineChars="200"/>
        <w:rPr>
          <w:rFonts w:eastAsia="黑体"/>
          <w:sz w:val="32"/>
          <w:szCs w:val="32"/>
        </w:rPr>
      </w:pPr>
    </w:p>
    <w:p w14:paraId="0D153070">
      <w:pPr>
        <w:spacing w:line="560" w:lineRule="exact"/>
        <w:ind w:firstLine="640" w:firstLineChars="200"/>
        <w:rPr>
          <w:rFonts w:eastAsia="黑体"/>
          <w:sz w:val="32"/>
          <w:szCs w:val="32"/>
        </w:rPr>
      </w:pPr>
    </w:p>
    <w:p w14:paraId="74F55DE3">
      <w:pPr>
        <w:spacing w:line="560" w:lineRule="exact"/>
        <w:ind w:firstLine="640" w:firstLineChars="200"/>
        <w:rPr>
          <w:rFonts w:eastAsia="黑体"/>
          <w:sz w:val="32"/>
          <w:szCs w:val="32"/>
        </w:rPr>
      </w:pPr>
      <w:r>
        <w:rPr>
          <w:rFonts w:eastAsia="黑体"/>
          <w:sz w:val="32"/>
          <w:szCs w:val="32"/>
        </w:rPr>
        <w:t>四、绩效评价指标分析</w:t>
      </w:r>
    </w:p>
    <w:p w14:paraId="579D5A26">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27504FD8">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1、立项依据充分性</w:t>
      </w:r>
    </w:p>
    <w:p w14:paraId="113E929C">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我单位严格按照《中华人民共和国政府采购法</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中华人民共和国招投标法</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新疆医科大学第七附属医院全面预算管理制度》制定政府采购预算项目，立项符合国家法律法规、国民经济发展规划和相关政策；项目立项符合行业发展规划和政策要求；项目立项与部门职责范围相符，属于部门履职所需；项目属于公共财政支持范围，符合中央、地方事权支出责任划分原则。</w:t>
      </w:r>
    </w:p>
    <w:p w14:paraId="7C574C69">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2、立项程序规范性</w:t>
      </w:r>
    </w:p>
    <w:p w14:paraId="570AA3DD">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政府采购预算项目按照《新疆医科大学第七附属医院全面预算管理制度》规定的程序申请设立，上缴的审批文件、材料符合上级部门相关要求，政府采购项目事前已经过必要的可行性研究、专家论证、风险评估、绩效评估、集体决策。</w:t>
      </w:r>
    </w:p>
    <w:p w14:paraId="746158D0">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3、绩效目标合理性</w:t>
      </w:r>
    </w:p>
    <w:p w14:paraId="609BD0FC">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我单位政府采购预算项目设立了项目绩效目标，绩效目标与医院战略发展具有相关性，项目的预期产出效益和效果也均能符合正常的业绩水平，并且与预算确定的项目投资额相匹配。</w:t>
      </w:r>
    </w:p>
    <w:p w14:paraId="09EF0D46">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4、绩效指标明确性</w:t>
      </w:r>
    </w:p>
    <w:p w14:paraId="4C7574EA">
      <w:pPr>
        <w:spacing w:line="360" w:lineRule="auto"/>
        <w:ind w:firstLine="640" w:firstLineChars="200"/>
        <w:rPr>
          <w:rFonts w:hint="default" w:ascii="Times New Roman" w:hAnsi="Times New Roman" w:eastAsia="仿宋_GB2312" w:cs="Times New Roman"/>
          <w:sz w:val="32"/>
          <w:szCs w:val="32"/>
        </w:rPr>
      </w:pPr>
      <w:bookmarkStart w:id="2" w:name="_Hlk68699917"/>
      <w:r>
        <w:rPr>
          <w:rFonts w:hint="default" w:ascii="Times New Roman" w:hAnsi="Times New Roman" w:eastAsia="仿宋_GB2312" w:cs="Times New Roman"/>
          <w:sz w:val="32"/>
          <w:szCs w:val="32"/>
        </w:rPr>
        <w:t>政府采购项目将项目绩效目标细化分解为具体的绩效指标，一级指标共4条，二级指标共7条，三级指标共10条，其中量化指标条数共7条，所有绩效指标均通过清晰、可衡量的指标值予以体现，并且做到了与项目目标任务数相对应。</w:t>
      </w:r>
      <w:bookmarkEnd w:id="2"/>
    </w:p>
    <w:p w14:paraId="207667DD">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5、预算编制科学性</w:t>
      </w:r>
    </w:p>
    <w:p w14:paraId="71F42925">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我单位预算编制经过科学论证；预算内容与项目内容相匹配；预算额度测算依据充分，按照标准编制；预算确定的项目投资额与工作任务相匹配。</w:t>
      </w:r>
    </w:p>
    <w:p w14:paraId="06C26CE2">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6、资金分配合理性</w:t>
      </w:r>
    </w:p>
    <w:p w14:paraId="1718B0A9">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我单位政府采购预算资金分配依据充分；资金分配额度合理，与项目单位实际相适应。</w:t>
      </w:r>
    </w:p>
    <w:p w14:paraId="488862A3">
      <w:pPr>
        <w:pStyle w:val="2"/>
        <w:numPr>
          <w:ilvl w:val="0"/>
          <w:numId w:val="4"/>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48BB8202">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5E6DD2E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39DDD66C">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58014D6">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default" w:ascii="Times New Roman" w:hAnsi="Times New Roman" w:eastAsia="仿宋_GB2312" w:cs="Times New Roman"/>
          <w:sz w:val="32"/>
          <w:szCs w:val="32"/>
        </w:rPr>
        <w:t>14,727.10</w:t>
      </w:r>
      <w:r>
        <w:rPr>
          <w:rFonts w:hint="default" w:ascii="Times New Roman" w:hAnsi="Times New Roman" w:eastAsia="仿宋_GB2312" w:cs="Times New Roman"/>
          <w:sz w:val="32"/>
          <w:szCs w:val="32"/>
          <w:lang w:val="en-US" w:eastAsia="zh-CN"/>
        </w:rPr>
        <w:t>万元，财政资金及时足额到位，到位率100%，预算资金按计划进度执行。</w:t>
      </w:r>
    </w:p>
    <w:p w14:paraId="7C83E353">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13E94E71">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default" w:ascii="Times New Roman" w:hAnsi="Times New Roman" w:eastAsia="仿宋_GB2312" w:cs="Times New Roman"/>
          <w:sz w:val="32"/>
          <w:szCs w:val="32"/>
        </w:rPr>
        <w:t>13,802.10</w:t>
      </w:r>
      <w:r>
        <w:rPr>
          <w:rFonts w:hint="default" w:ascii="Times New Roman" w:hAnsi="Times New Roman" w:eastAsia="仿宋_GB2312" w:cs="Times New Roman"/>
          <w:sz w:val="32"/>
          <w:szCs w:val="32"/>
          <w:lang w:val="en-US" w:eastAsia="zh-CN"/>
        </w:rPr>
        <w:t>万元，预算执行率为93.72%。</w:t>
      </w:r>
    </w:p>
    <w:p w14:paraId="4A74B757">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7B32A39B">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w:t>
      </w:r>
      <w:r>
        <w:rPr>
          <w:rFonts w:hint="eastAsia" w:ascii="Times New Roman" w:hAnsi="Times New Roman" w:eastAsia="仿宋_GB2312" w:cs="Times New Roman"/>
          <w:sz w:val="32"/>
          <w:szCs w:val="32"/>
          <w:lang w:val="en-US" w:eastAsia="zh-CN"/>
        </w:rPr>
        <w:t>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62BE971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72191D72">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（1）管理制度健全性</w:t>
      </w:r>
    </w:p>
    <w:p w14:paraId="0F57C4DC">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46A1980">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（2）制度执行有效性</w:t>
      </w:r>
    </w:p>
    <w:p w14:paraId="2BE48215">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1DA222C5">
      <w:pPr>
        <w:pStyle w:val="11"/>
        <w:numPr>
          <w:ilvl w:val="0"/>
          <w:numId w:val="4"/>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项目产出情况</w:t>
      </w:r>
    </w:p>
    <w:p w14:paraId="49E4CF88">
      <w:pPr>
        <w:snapToGrid w:val="0"/>
        <w:spacing w:line="560" w:lineRule="exact"/>
        <w:ind w:firstLine="627" w:firstLineChars="200"/>
        <w:rPr>
          <w:rStyle w:val="16"/>
          <w:rFonts w:eastAsia="仿宋_GB2312"/>
          <w:bCs w:val="0"/>
          <w:spacing w:val="-4"/>
          <w:sz w:val="32"/>
          <w:szCs w:val="32"/>
        </w:rPr>
      </w:pPr>
      <w:r>
        <w:rPr>
          <w:rStyle w:val="16"/>
          <w:rFonts w:eastAsia="仿宋_GB2312"/>
          <w:bCs w:val="0"/>
          <w:spacing w:val="-4"/>
          <w:sz w:val="32"/>
          <w:szCs w:val="32"/>
        </w:rPr>
        <w:t>数量指标方面：</w:t>
      </w:r>
    </w:p>
    <w:p w14:paraId="3321CA63">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购置计算机硬件及软件</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&gt;=8个</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9个</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112.5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。偏差原因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我单位处于创业期，信息化设施相对比较薄弱，2023年度，我单位加大了信息化建设的投入。</w:t>
      </w:r>
    </w:p>
    <w:p w14:paraId="74A529FB">
      <w:pPr>
        <w:spacing w:line="36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指标2：劳务派遣人员数量，</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&gt;=85人</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87人</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，偏差原因：上级部门人才招聘计划暂停，我院2023年劳务派遣人数增多。</w:t>
      </w:r>
    </w:p>
    <w:p w14:paraId="3A16E51B">
      <w:pPr>
        <w:spacing w:line="36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指标3：劳务派遣人员招标成本，</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&gt;=55元/人/月</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16元/人/月</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29.</w:t>
      </w:r>
      <w:r>
        <w:rPr>
          <w:rFonts w:hint="eastAsia" w:ascii="Times New Roman" w:hAnsi="Times New Roman" w:eastAsia="仿宋_GB2312" w:cs="Times New Roman"/>
          <w:sz w:val="32"/>
          <w:szCs w:val="32"/>
          <w:lang w:val="en-US" w:eastAsia="zh-CN"/>
        </w:rPr>
        <w:t>09</w:t>
      </w:r>
      <w:r>
        <w:rPr>
          <w:rFonts w:hint="eastAsia" w:ascii="Times New Roman" w:hAnsi="Times New Roman" w:eastAsia="仿宋_GB2312" w:cs="Times New Roman"/>
          <w:sz w:val="32"/>
          <w:szCs w:val="32"/>
        </w:rPr>
        <w:t>%，偏差原因：此指标按照以往年度劳务派遣人员招标成本设置，2023年度，人员招标成本降低。</w:t>
      </w:r>
    </w:p>
    <w:p w14:paraId="1CB0197E">
      <w:pPr>
        <w:spacing w:line="560" w:lineRule="exact"/>
        <w:ind w:firstLine="643" w:firstLineChars="200"/>
        <w:rPr>
          <w:rStyle w:val="18"/>
          <w:rFonts w:ascii="Times New Roman" w:hAnsi="Times New Roman" w:cs="Times New Roman"/>
          <w:b/>
          <w:bCs/>
          <w:color w:val="auto"/>
        </w:rPr>
      </w:pPr>
      <w:r>
        <w:rPr>
          <w:rStyle w:val="18"/>
          <w:rFonts w:ascii="Times New Roman" w:hAnsi="Times New Roman" w:cs="Times New Roman"/>
          <w:b/>
          <w:bCs/>
          <w:color w:val="auto"/>
        </w:rPr>
        <w:t>质量指标方面：</w:t>
      </w:r>
    </w:p>
    <w:p w14:paraId="56AE93F9">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食堂收入</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&gt;=44万元/月</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54</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7万元/月</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5DC966DA">
      <w:pPr>
        <w:pStyle w:val="2"/>
        <w:spacing w:before="0" w:after="0" w:line="560" w:lineRule="exact"/>
        <w:ind w:firstLine="643" w:firstLineChars="200"/>
        <w:jc w:val="both"/>
        <w:rPr>
          <w:rStyle w:val="18"/>
          <w:rFonts w:ascii="Times New Roman" w:hAnsi="Times New Roman" w:cs="Times New Roman"/>
          <w:color w:val="auto"/>
        </w:rPr>
      </w:pPr>
      <w:r>
        <w:rPr>
          <w:rStyle w:val="18"/>
          <w:rFonts w:ascii="Times New Roman" w:hAnsi="Times New Roman" w:cs="Times New Roman"/>
          <w:color w:val="auto"/>
        </w:rPr>
        <w:t>成本指标方面：</w:t>
      </w:r>
    </w:p>
    <w:p w14:paraId="462E175F">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软件购置费用</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&lt;=450万元/年</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411.97万元</w:t>
      </w:r>
      <w:r>
        <w:rPr>
          <w:rFonts w:hint="eastAsia" w:ascii="Times New Roman" w:hAnsi="Times New Roman" w:eastAsia="仿宋_GB2312" w:cs="Times New Roman"/>
          <w:sz w:val="32"/>
          <w:szCs w:val="32"/>
          <w:lang w:val="en-US" w:eastAsia="zh-CN"/>
        </w:rPr>
        <w:t>/年</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05362413">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公务用车运行维护费</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&lt;=60万元/年</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48.06万元/年</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p>
    <w:p w14:paraId="29DF2942">
      <w:pPr>
        <w:spacing w:line="560" w:lineRule="exact"/>
        <w:ind w:firstLine="643" w:firstLineChars="200"/>
        <w:rPr>
          <w:rStyle w:val="18"/>
          <w:rFonts w:ascii="Times New Roman" w:hAnsi="Times New Roman" w:cs="Times New Roman"/>
          <w:b/>
          <w:bCs/>
          <w:color w:val="auto"/>
        </w:rPr>
      </w:pPr>
      <w:r>
        <w:rPr>
          <w:rStyle w:val="18"/>
          <w:rFonts w:ascii="Times New Roman" w:hAnsi="Times New Roman" w:cs="Times New Roman"/>
          <w:b/>
          <w:bCs/>
          <w:color w:val="auto"/>
        </w:rPr>
        <w:t>时效指标方面：</w:t>
      </w:r>
    </w:p>
    <w:p w14:paraId="3802A02C">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“走读室谈话室”建设</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2023年12月31日前</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未完成</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0.00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，偏差原因：医院资金计划调整，预计2024年度此项目进行建设。</w:t>
      </w:r>
    </w:p>
    <w:p w14:paraId="1059F745">
      <w:pPr>
        <w:pStyle w:val="11"/>
        <w:numPr>
          <w:ilvl w:val="0"/>
          <w:numId w:val="4"/>
        </w:numPr>
        <w:spacing w:line="560" w:lineRule="exact"/>
        <w:ind w:firstLine="643"/>
        <w:rPr>
          <w:rFonts w:eastAsia="楷体_GB2312"/>
          <w:b/>
          <w:bCs/>
          <w:sz w:val="32"/>
          <w:szCs w:val="32"/>
        </w:rPr>
      </w:pPr>
      <w:r>
        <w:rPr>
          <w:rFonts w:eastAsia="楷体_GB2312"/>
          <w:b/>
          <w:bCs/>
          <w:sz w:val="32"/>
          <w:szCs w:val="32"/>
        </w:rPr>
        <w:t>效益情况</w:t>
      </w:r>
    </w:p>
    <w:p w14:paraId="1EF4DC5F">
      <w:pPr>
        <w:spacing w:line="560" w:lineRule="exact"/>
        <w:ind w:firstLine="643" w:firstLineChars="200"/>
        <w:rPr>
          <w:rStyle w:val="18"/>
          <w:rFonts w:ascii="Times New Roman" w:hAnsi="Times New Roman" w:cs="Times New Roman"/>
          <w:b/>
          <w:bCs/>
          <w:color w:val="auto"/>
        </w:rPr>
      </w:pPr>
      <w:r>
        <w:rPr>
          <w:rStyle w:val="18"/>
          <w:rFonts w:ascii="Times New Roman" w:hAnsi="Times New Roman" w:cs="Times New Roman"/>
          <w:b/>
          <w:bCs/>
          <w:color w:val="auto"/>
        </w:rPr>
        <w:t>社会效益指标方面：</w:t>
      </w:r>
    </w:p>
    <w:p w14:paraId="7DF1677A">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加强医院宣传</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提高医院宣传力度</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lang w:val="en-US" w:eastAsia="zh-CN"/>
        </w:rPr>
        <w:t>有所</w:t>
      </w:r>
      <w:r>
        <w:rPr>
          <w:rFonts w:hint="eastAsia" w:ascii="Times New Roman" w:hAnsi="Times New Roman" w:eastAsia="仿宋_GB2312" w:cs="Times New Roman"/>
          <w:sz w:val="32"/>
          <w:szCs w:val="32"/>
        </w:rPr>
        <w:t>提高</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76667B8F">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医疗服务水平</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有所提高</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有所提高</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474C9AD7">
      <w:pPr>
        <w:spacing w:line="560" w:lineRule="exact"/>
        <w:ind w:firstLine="643" w:firstLineChars="200"/>
        <w:rPr>
          <w:rStyle w:val="18"/>
          <w:rFonts w:ascii="Times New Roman" w:hAnsi="Times New Roman" w:cs="Times New Roman"/>
          <w:b/>
          <w:bCs/>
          <w:color w:val="auto"/>
        </w:rPr>
      </w:pPr>
      <w:r>
        <w:rPr>
          <w:rStyle w:val="18"/>
          <w:rFonts w:ascii="Times New Roman" w:hAnsi="Times New Roman" w:cs="Times New Roman"/>
          <w:b/>
          <w:bCs/>
          <w:color w:val="auto"/>
        </w:rPr>
        <w:t>满意度指标方面：</w:t>
      </w:r>
    </w:p>
    <w:p w14:paraId="19DA61FE">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供应商满意度</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&gt;=90%</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98.28%</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5F325D4D">
      <w:pPr>
        <w:spacing w:line="560" w:lineRule="exact"/>
        <w:ind w:firstLine="640" w:firstLineChars="200"/>
        <w:rPr>
          <w:rFonts w:eastAsia="黑体"/>
          <w:sz w:val="32"/>
          <w:szCs w:val="32"/>
        </w:rPr>
      </w:pPr>
      <w:r>
        <w:rPr>
          <w:rFonts w:eastAsia="黑体"/>
          <w:sz w:val="32"/>
          <w:szCs w:val="32"/>
        </w:rPr>
        <w:t>五、</w:t>
      </w:r>
      <w:r>
        <w:rPr>
          <w:rFonts w:hint="eastAsia" w:eastAsia="黑体"/>
          <w:sz w:val="32"/>
          <w:szCs w:val="32"/>
        </w:rPr>
        <w:t>预算执行进度与绩效指标总体完成率偏差</w:t>
      </w:r>
    </w:p>
    <w:p w14:paraId="6ABF2153">
      <w:pPr>
        <w:pStyle w:val="19"/>
        <w:spacing w:line="560" w:lineRule="exact"/>
        <w:ind w:firstLine="64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政府采购项目预算14,727.10万元，到位13,802.10万元，实际支出13,802.10万元，预算执行率为93.72%，项目绩效指标总体完成率为8</w:t>
      </w:r>
      <w:r>
        <w:rPr>
          <w:rFonts w:hint="eastAsia" w:ascii="Times New Roman" w:hAnsi="Times New Roman" w:eastAsia="仿宋_GB2312" w:cs="Times New Roman"/>
          <w:kern w:val="2"/>
          <w:sz w:val="32"/>
          <w:szCs w:val="32"/>
          <w:lang w:val="en-US" w:eastAsia="zh-CN" w:bidi="ar-SA"/>
        </w:rPr>
        <w:t>4.36</w:t>
      </w:r>
      <w:r>
        <w:rPr>
          <w:rFonts w:hint="default" w:ascii="Times New Roman" w:hAnsi="Times New Roman" w:eastAsia="仿宋_GB2312" w:cs="Times New Roman"/>
          <w:kern w:val="2"/>
          <w:sz w:val="32"/>
          <w:szCs w:val="32"/>
          <w:lang w:val="en-US" w:eastAsia="zh-CN" w:bidi="ar-SA"/>
        </w:rPr>
        <w:t>%，总体偏差率为</w:t>
      </w:r>
      <w:r>
        <w:rPr>
          <w:rFonts w:hint="eastAsia" w:ascii="Times New Roman" w:hAnsi="Times New Roman" w:eastAsia="仿宋_GB2312" w:cs="Times New Roman"/>
          <w:kern w:val="2"/>
          <w:sz w:val="32"/>
          <w:szCs w:val="32"/>
          <w:lang w:val="en-US" w:eastAsia="zh-CN" w:bidi="ar-SA"/>
        </w:rPr>
        <w:t>9.36</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偏差原因:谈话室建设因医院计划调整暂未施工；劳务派遣招标额度降低。改进措施：一是强化服务意识，全力做好各部门协调、沟通等工作，及时主动通报工作开展情况和进度；二是及时召开会议，在项目下达后尽快确定采购方式、最高限价等问题；三是及时拟定招标采购文件，完善切合医院实际的招标采购方案；四是严肃采购程序，构建公平、公正、公开、透明的采购环境，确保在规定的时间内圆满完成上级交付的各项采购任务。</w:t>
      </w:r>
    </w:p>
    <w:p w14:paraId="7AC72708">
      <w:pPr>
        <w:spacing w:line="560" w:lineRule="exact"/>
        <w:ind w:firstLine="640" w:firstLineChars="200"/>
        <w:rPr>
          <w:rStyle w:val="18"/>
          <w:rFonts w:ascii="Times New Roman" w:hAnsi="Times New Roman" w:cs="Times New Roman"/>
          <w:color w:val="auto"/>
        </w:rPr>
      </w:pPr>
      <w:r>
        <w:rPr>
          <w:rFonts w:hint="eastAsia" w:eastAsia="黑体"/>
          <w:sz w:val="32"/>
          <w:szCs w:val="32"/>
        </w:rPr>
        <w:t>六</w:t>
      </w:r>
      <w:r>
        <w:rPr>
          <w:rFonts w:eastAsia="黑体"/>
          <w:sz w:val="32"/>
          <w:szCs w:val="32"/>
        </w:rPr>
        <w:t>、主要经验及做法、存在的问题及原因分析</w:t>
      </w:r>
    </w:p>
    <w:p w14:paraId="5EF414FC">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36F3F87C">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把关，按照项目资金使用范围做好审核工作，让项目资金落于实处。在项目完成后，做好受益群众民意调查及项目防范工作。</w:t>
      </w:r>
    </w:p>
    <w:p w14:paraId="5D75A71A">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严格坚持先做事、后验收、再拨付的原则，基本杜绝了资金被挤占和挪用现象的发生，跟踪检查到位。</w:t>
      </w:r>
      <w:r>
        <w:rPr>
          <w:rFonts w:hint="eastAsia" w:ascii="Times New Roman" w:hAnsi="Times New Roman" w:eastAsia="仿宋_GB2312" w:cs="Times New Roman"/>
          <w:sz w:val="32"/>
          <w:szCs w:val="32"/>
        </w:rPr>
        <w:t>财务运营管理科、纪检监察室、审计科</w:t>
      </w:r>
      <w:r>
        <w:rPr>
          <w:rFonts w:hint="default" w:ascii="Times New Roman" w:hAnsi="Times New Roman" w:eastAsia="仿宋_GB2312" w:cs="Times New Roman"/>
          <w:sz w:val="32"/>
          <w:szCs w:val="32"/>
        </w:rPr>
        <w:t>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3A0B3FB">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65713E15">
      <w:pPr>
        <w:pStyle w:val="2"/>
        <w:spacing w:before="0" w:after="0" w:line="560" w:lineRule="exact"/>
        <w:ind w:firstLine="640" w:firstLineChars="200"/>
        <w:jc w:val="both"/>
        <w:rPr>
          <w:rFonts w:ascii="Times New Roman" w:hAnsi="Times New Roman" w:eastAsia="仿宋_GB2312"/>
          <w:b w:val="0"/>
          <w:bCs w:val="0"/>
          <w:kern w:val="2"/>
        </w:rPr>
      </w:pPr>
      <w:r>
        <w:rPr>
          <w:rFonts w:hint="eastAsia" w:ascii="Times New Roman" w:hAnsi="Times New Roman" w:eastAsia="仿宋_GB2312"/>
          <w:b w:val="0"/>
          <w:bCs w:val="0"/>
          <w:kern w:val="2"/>
        </w:rPr>
        <w:t>本项目</w:t>
      </w:r>
      <w:r>
        <w:rPr>
          <w:rFonts w:ascii="Times New Roman" w:hAnsi="Times New Roman" w:eastAsia="仿宋_GB2312"/>
          <w:b w:val="0"/>
          <w:bCs w:val="0"/>
          <w:kern w:val="2"/>
        </w:rPr>
        <w:t>202</w:t>
      </w:r>
      <w:r>
        <w:rPr>
          <w:rFonts w:hint="eastAsia" w:ascii="Times New Roman" w:hAnsi="Times New Roman" w:eastAsia="仿宋_GB2312"/>
          <w:b w:val="0"/>
          <w:bCs w:val="0"/>
          <w:kern w:val="2"/>
        </w:rPr>
        <w:t>3年度无</w:t>
      </w: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w:t>
      </w:r>
    </w:p>
    <w:p w14:paraId="37C6E0D9">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有关建议</w:t>
      </w:r>
    </w:p>
    <w:p w14:paraId="5F735B49">
      <w:pPr>
        <w:spacing w:line="36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38B16B20">
      <w:pPr>
        <w:spacing w:line="560" w:lineRule="exact"/>
        <w:ind w:firstLine="640" w:firstLineChars="200"/>
        <w:rPr>
          <w:rFonts w:eastAsia="黑体"/>
          <w:sz w:val="32"/>
          <w:szCs w:val="32"/>
        </w:rPr>
      </w:pPr>
      <w:r>
        <w:rPr>
          <w:rFonts w:hint="eastAsia" w:eastAsia="黑体"/>
          <w:sz w:val="32"/>
          <w:szCs w:val="32"/>
        </w:rPr>
        <w:t>八、</w:t>
      </w:r>
      <w:r>
        <w:rPr>
          <w:rFonts w:eastAsia="黑体"/>
          <w:sz w:val="32"/>
          <w:szCs w:val="32"/>
        </w:rPr>
        <w:t>其他需要说</w:t>
      </w:r>
      <w:bookmarkStart w:id="3" w:name="page8"/>
      <w:bookmarkEnd w:id="3"/>
      <w:r>
        <w:rPr>
          <w:rFonts w:eastAsia="黑体"/>
          <w:sz w:val="32"/>
          <w:szCs w:val="32"/>
        </w:rPr>
        <w:t>明的问题</w:t>
      </w:r>
    </w:p>
    <w:p w14:paraId="2D6738CB">
      <w:pPr>
        <w:pStyle w:val="12"/>
        <w:spacing w:after="0" w:line="560" w:lineRule="exact"/>
        <w:ind w:left="0" w:leftChars="0"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本项目无其他需说明的问题。</w:t>
      </w:r>
    </w:p>
    <w:p w14:paraId="3FBAE2A8">
      <w:pPr>
        <w:pStyle w:val="12"/>
        <w:spacing w:after="0" w:line="560" w:lineRule="exact"/>
        <w:ind w:left="0" w:leftChars="0" w:firstLine="640"/>
        <w:rPr>
          <w:rFonts w:hint="eastAsia" w:ascii="仿宋_GB2312" w:hAnsi="仿宋_GB2312" w:eastAsia="仿宋_GB2312" w:cs="仿宋_GB2312"/>
          <w:sz w:val="32"/>
          <w:szCs w:val="32"/>
        </w:rPr>
      </w:pPr>
    </w:p>
    <w:p w14:paraId="2746D25B">
      <w:pPr>
        <w:pStyle w:val="12"/>
        <w:spacing w:after="0" w:line="560" w:lineRule="exact"/>
        <w:ind w:left="0" w:leftChars="0" w:firstLine="640"/>
        <w:rPr>
          <w:rFonts w:hint="eastAsia" w:ascii="仿宋_GB2312" w:hAnsi="仿宋_GB2312" w:eastAsia="仿宋_GB2312" w:cs="仿宋_GB2312"/>
          <w:sz w:val="32"/>
          <w:szCs w:val="32"/>
        </w:rPr>
      </w:pPr>
    </w:p>
    <w:p w14:paraId="51ADE84C">
      <w:pPr>
        <w:pStyle w:val="12"/>
        <w:spacing w:after="0" w:line="560" w:lineRule="exact"/>
        <w:ind w:left="0" w:leftChars="0" w:firstLine="640"/>
        <w:rPr>
          <w:rFonts w:hint="eastAsia" w:ascii="仿宋_GB2312" w:hAnsi="仿宋_GB2312" w:eastAsia="仿宋_GB2312" w:cs="仿宋_GB2312"/>
          <w:sz w:val="32"/>
          <w:szCs w:val="32"/>
        </w:rPr>
      </w:pPr>
    </w:p>
    <w:p w14:paraId="678D813D">
      <w:pPr>
        <w:pStyle w:val="12"/>
        <w:spacing w:after="0" w:line="560" w:lineRule="exact"/>
        <w:ind w:left="0" w:leftChars="0" w:firstLine="640"/>
        <w:rPr>
          <w:rFonts w:hint="eastAsia" w:ascii="仿宋_GB2312" w:hAnsi="仿宋_GB2312" w:eastAsia="仿宋_GB2312" w:cs="仿宋_GB2312"/>
          <w:sz w:val="32"/>
          <w:szCs w:val="32"/>
        </w:rPr>
      </w:pPr>
    </w:p>
    <w:p w14:paraId="6653F350">
      <w:pPr>
        <w:pStyle w:val="12"/>
        <w:spacing w:after="0" w:line="560" w:lineRule="exact"/>
        <w:ind w:left="0" w:leftChars="0" w:firstLine="640"/>
        <w:rPr>
          <w:rFonts w:hint="eastAsia" w:ascii="仿宋_GB2312" w:hAnsi="仿宋_GB2312" w:eastAsia="仿宋_GB2312" w:cs="仿宋_GB2312"/>
          <w:sz w:val="32"/>
          <w:szCs w:val="32"/>
        </w:rPr>
        <w:sectPr>
          <w:footerReference r:id="rId3" w:type="default"/>
          <w:pgSz w:w="11906" w:h="16838"/>
          <w:pgMar w:top="1440" w:right="1558" w:bottom="1440" w:left="1800" w:header="851" w:footer="992" w:gutter="0"/>
          <w:cols w:space="425" w:num="1"/>
          <w:docGrid w:type="lines" w:linePitch="312" w:charSpace="0"/>
        </w:sect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58955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2A1C9A3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41A9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3710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p>
        </w:tc>
      </w:tr>
      <w:tr w14:paraId="6B443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87FD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C194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医院政府采购项目</w:t>
            </w:r>
          </w:p>
        </w:tc>
      </w:tr>
      <w:tr w14:paraId="43CC7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375F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892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807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C35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新疆医科大学第七附属医院</w:t>
            </w:r>
          </w:p>
        </w:tc>
      </w:tr>
      <w:tr w14:paraId="2B92D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96E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E45A4">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6D8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46C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0B9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81A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E0B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CFC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0CEC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63D83">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801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E1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14727.10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C22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14727.1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0B2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13802.10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F1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138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93.72%</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4C4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9.37分</w:t>
            </w:r>
          </w:p>
        </w:tc>
      </w:tr>
      <w:tr w14:paraId="1C32E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FCDFF">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65B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FC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CC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54B6C">
            <w:pPr>
              <w:jc w:val="center"/>
              <w:rPr>
                <w:rFonts w:hint="eastAsia" w:ascii="宋体" w:hAnsi="宋体" w:eastAsia="宋体" w:cs="宋体"/>
                <w:i w:val="0"/>
                <w:iCs w:val="0"/>
                <w:color w:val="000000"/>
                <w:sz w:val="18"/>
                <w:szCs w:val="18"/>
                <w:u w:val="none"/>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FA6B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BA1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0FB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B8B5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2A5EA">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8618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2AD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14727.10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F2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14727.1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E4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13802.1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AD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16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98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FE14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0D5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1F30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B015D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3198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5C561">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40A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（1）优化医疗收入结构，进一步降低医疗成本，提高医疗服务效率。（2）结合医院十四五规划，增强特色优势、提高服务效率。（3）加强精细化管理，保持门急诊量、出院病人数、手术量等核</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999B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医院围绕以老年病诊疗与康养并重、医养结合服务为特色的发展定位，充分整合医疗资源，打造特色优势专科，康复医学科成为我院首个自治区级临床重点专科建设科室。按照国家政策要求，贯彻落实取消药品加成相关政策，降低医疗成本，进一步优化收入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医疗服务更加智慧化。完成了门诊排队叫号系统升级改造，实现“码”上就医，在“手机掌医”中增加了心电报告及血压报告查询功能，进一步推广“医保电子凭证”“医保移动支付”等功能，方便病人就诊，提高服务效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3、2023年医教综合楼启用，医院新增床位1200张，就医环境得到极大改善，医护人员及患者诊疗体验得到极大提升，促进门急诊量、出院病人数、手术量等核心指标平稳增长。</w:t>
            </w:r>
          </w:p>
        </w:tc>
      </w:tr>
      <w:tr w14:paraId="102B0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A4B21">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23C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976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3A3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E3AC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7223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A0E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597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C2D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AD0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7819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9127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BC1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99D6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A58D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78595">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BE57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E9D77">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4A11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2E9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AAFB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C00F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231B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C1E1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3407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940B4">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33EDD">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BC11B">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81BB2">
            <w:pPr>
              <w:jc w:val="center"/>
              <w:rPr>
                <w:rFonts w:hint="eastAsia" w:ascii="宋体" w:hAnsi="宋体" w:eastAsia="宋体" w:cs="宋体"/>
                <w:b/>
                <w:bCs/>
                <w:i w:val="0"/>
                <w:iCs w:val="0"/>
                <w:color w:val="000000"/>
                <w:sz w:val="18"/>
                <w:szCs w:val="18"/>
                <w:u w:val="none"/>
              </w:rPr>
            </w:pPr>
          </w:p>
        </w:tc>
      </w:tr>
      <w:tr w14:paraId="3BB78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A354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05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E5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AB3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购置计算机硬件及软件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F1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48E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99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4DA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112.50%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3F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87F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DED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415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804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AC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我单位处于创业期，信息化设施相对比较薄弱。2023年度，我单位加大了信息化建设的投入。</w:t>
            </w:r>
          </w:p>
        </w:tc>
      </w:tr>
      <w:tr w14:paraId="15FE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84627">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3B482">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CC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5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劳务派遣人员数量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C4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864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&gt;=85人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5DD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C1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011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83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1C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74人</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EFA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C63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BD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上级部门人才招聘计划暂停，我院2023年劳务派遣人数增多。</w:t>
            </w:r>
          </w:p>
        </w:tc>
      </w:tr>
      <w:tr w14:paraId="33541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3E4D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06BF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CC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C7E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劳务派遣人员招标成本</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2F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54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&gt;=55元/人/月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9D3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=16元/人/月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10A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CC4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37F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156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55元/人/月</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8A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33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0CD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此指标按照以往年度劳务派遣人员招标成本设置，2023年度，人员招标成本降低。</w:t>
            </w:r>
          </w:p>
        </w:tc>
      </w:tr>
      <w:tr w14:paraId="75AE6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109A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D687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6A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5B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食堂收入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A0C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8D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&gt;=44万元/月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D9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=54.27万元/月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911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49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EE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A6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36.71万元/月</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5C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1E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C8C84">
            <w:pPr>
              <w:jc w:val="center"/>
              <w:rPr>
                <w:rFonts w:hint="eastAsia" w:ascii="宋体" w:hAnsi="宋体" w:eastAsia="宋体" w:cs="宋体"/>
                <w:i w:val="0"/>
                <w:iCs w:val="0"/>
                <w:color w:val="000000"/>
                <w:sz w:val="18"/>
                <w:szCs w:val="18"/>
                <w:u w:val="none"/>
              </w:rPr>
            </w:pPr>
          </w:p>
        </w:tc>
      </w:tr>
      <w:tr w14:paraId="47F27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22E6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6CAD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D78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790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“走读室谈话室”建设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C0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3B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2023年12月31日前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9C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未建设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5EB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36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BAE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4B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492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FA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BA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2023年度，医院计划调整。2024年度开展此项目。</w:t>
            </w:r>
          </w:p>
        </w:tc>
      </w:tr>
      <w:tr w14:paraId="364EC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1AB7F">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6C3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F0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9F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软件购置费用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B1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E7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&lt;=450万元/年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41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=411.97万元/年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DEE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616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E4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E7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4.75万元/年</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C6A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D4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243D7">
            <w:pPr>
              <w:jc w:val="center"/>
              <w:rPr>
                <w:rFonts w:hint="eastAsia" w:ascii="宋体" w:hAnsi="宋体" w:eastAsia="宋体" w:cs="宋体"/>
                <w:i w:val="0"/>
                <w:iCs w:val="0"/>
                <w:color w:val="000000"/>
                <w:sz w:val="18"/>
                <w:szCs w:val="18"/>
                <w:u w:val="none"/>
              </w:rPr>
            </w:pPr>
          </w:p>
        </w:tc>
      </w:tr>
      <w:tr w14:paraId="01D1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8476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E898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B0D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EFF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公务用车运行维护费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82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55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&lt;=60万元/年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0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=48.06万元/年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A1B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ECA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8B9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19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31.42万元/年</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54F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716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F820">
            <w:pPr>
              <w:jc w:val="center"/>
              <w:rPr>
                <w:rFonts w:hint="eastAsia" w:ascii="宋体" w:hAnsi="宋体" w:eastAsia="宋体" w:cs="宋体"/>
                <w:i w:val="0"/>
                <w:iCs w:val="0"/>
                <w:color w:val="000000"/>
                <w:sz w:val="18"/>
                <w:szCs w:val="18"/>
                <w:u w:val="none"/>
              </w:rPr>
            </w:pPr>
          </w:p>
        </w:tc>
      </w:tr>
      <w:tr w14:paraId="2F27D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05187">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5B99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6DF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D2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加强医院宣传</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0D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7BE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提高医院宣传力度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8F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26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3D8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EC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3D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提高医院宣传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00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DF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32E1">
            <w:pPr>
              <w:jc w:val="center"/>
              <w:rPr>
                <w:rFonts w:hint="eastAsia" w:ascii="宋体" w:hAnsi="宋体" w:eastAsia="宋体" w:cs="宋体"/>
                <w:i w:val="0"/>
                <w:iCs w:val="0"/>
                <w:color w:val="000000"/>
                <w:sz w:val="18"/>
                <w:szCs w:val="18"/>
                <w:u w:val="none"/>
              </w:rPr>
            </w:pPr>
          </w:p>
        </w:tc>
      </w:tr>
      <w:tr w14:paraId="20B7A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16A3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C079B">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2B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60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医疗服务水平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39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D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0B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AED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B80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802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66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7E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66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D4352">
            <w:pPr>
              <w:jc w:val="center"/>
              <w:rPr>
                <w:rFonts w:hint="eastAsia" w:ascii="宋体" w:hAnsi="宋体" w:eastAsia="宋体" w:cs="宋体"/>
                <w:i w:val="0"/>
                <w:iCs w:val="0"/>
                <w:color w:val="000000"/>
                <w:sz w:val="18"/>
                <w:szCs w:val="18"/>
                <w:u w:val="none"/>
              </w:rPr>
            </w:pPr>
          </w:p>
        </w:tc>
      </w:tr>
      <w:tr w14:paraId="5DA1E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B77BC">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07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96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5B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供应商满意度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B2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210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CDA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416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9E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89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47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6C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81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976A4">
            <w:pPr>
              <w:jc w:val="center"/>
              <w:rPr>
                <w:rFonts w:hint="eastAsia" w:ascii="宋体" w:hAnsi="宋体" w:eastAsia="宋体" w:cs="宋体"/>
                <w:i w:val="0"/>
                <w:iCs w:val="0"/>
                <w:color w:val="000000"/>
                <w:sz w:val="18"/>
                <w:szCs w:val="18"/>
                <w:u w:val="none"/>
              </w:rPr>
            </w:pPr>
          </w:p>
        </w:tc>
      </w:tr>
      <w:tr w14:paraId="573C6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7C7863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E3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17235435">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3C9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E82A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1B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83.51分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C4699">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5EA39">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BB57D">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BC9AA">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CD261">
            <w:pPr>
              <w:rPr>
                <w:rFonts w:hint="eastAsia" w:ascii="宋体" w:hAnsi="宋体" w:eastAsia="宋体" w:cs="宋体"/>
                <w:i w:val="0"/>
                <w:iCs w:val="0"/>
                <w:color w:val="000000"/>
                <w:sz w:val="18"/>
                <w:szCs w:val="18"/>
                <w:u w:val="none"/>
              </w:rPr>
            </w:pPr>
          </w:p>
        </w:tc>
      </w:tr>
    </w:tbl>
    <w:p w14:paraId="11733146">
      <w:pPr>
        <w:spacing w:line="600" w:lineRule="exact"/>
        <w:rPr>
          <w:bCs/>
          <w:sz w:val="32"/>
          <w:szCs w:val="32"/>
        </w:rPr>
      </w:pPr>
      <w:r>
        <w:rPr>
          <w:bCs/>
          <w:sz w:val="32"/>
          <w:szCs w:val="32"/>
        </w:rPr>
        <w:t>附件1</w:t>
      </w:r>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5F304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2847D783">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40E20559">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07014212">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57126E50">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14:paraId="2011F84A">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7D7254C5">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3627CB29">
            <w:pPr>
              <w:widowControl/>
              <w:spacing w:line="0" w:lineRule="atLeast"/>
              <w:jc w:val="center"/>
              <w:rPr>
                <w:b/>
                <w:bCs/>
                <w:color w:val="000000"/>
                <w:kern w:val="0"/>
                <w:sz w:val="22"/>
                <w:szCs w:val="22"/>
              </w:rPr>
            </w:pPr>
            <w:r>
              <w:rPr>
                <w:b/>
                <w:bCs/>
                <w:color w:val="000000"/>
                <w:kern w:val="0"/>
                <w:sz w:val="22"/>
                <w:szCs w:val="22"/>
              </w:rPr>
              <w:t>得分</w:t>
            </w:r>
          </w:p>
        </w:tc>
      </w:tr>
      <w:tr w14:paraId="4D7B2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14:paraId="78977195">
            <w:pPr>
              <w:widowControl/>
              <w:spacing w:line="0" w:lineRule="atLeast"/>
              <w:jc w:val="center"/>
              <w:rPr>
                <w:color w:val="000000"/>
                <w:kern w:val="0"/>
                <w:sz w:val="22"/>
                <w:szCs w:val="22"/>
              </w:rPr>
            </w:pPr>
            <w:r>
              <w:rPr>
                <w:color w:val="000000"/>
                <w:kern w:val="0"/>
                <w:sz w:val="22"/>
                <w:szCs w:val="22"/>
              </w:rPr>
              <w:t>决策　</w:t>
            </w:r>
          </w:p>
          <w:p w14:paraId="509DA9D9">
            <w:pPr>
              <w:widowControl/>
              <w:spacing w:line="0" w:lineRule="atLeast"/>
              <w:jc w:val="center"/>
              <w:rPr>
                <w:color w:val="000000"/>
                <w:kern w:val="0"/>
                <w:sz w:val="22"/>
                <w:szCs w:val="22"/>
              </w:rPr>
            </w:pPr>
            <w:r>
              <w:rPr>
                <w:color w:val="000000"/>
                <w:kern w:val="0"/>
                <w:sz w:val="22"/>
                <w:szCs w:val="22"/>
              </w:rPr>
              <w:t>　</w:t>
            </w:r>
          </w:p>
          <w:p w14:paraId="58F0B20A">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74A2FDE5">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7B472D2A">
            <w:pPr>
              <w:widowControl/>
              <w:spacing w:line="0" w:lineRule="atLeast"/>
              <w:jc w:val="center"/>
              <w:rPr>
                <w:color w:val="000000"/>
                <w:kern w:val="0"/>
                <w:sz w:val="22"/>
                <w:szCs w:val="22"/>
              </w:rPr>
            </w:pPr>
            <w:r>
              <w:rPr>
                <w:color w:val="000000"/>
                <w:kern w:val="0"/>
                <w:sz w:val="22"/>
                <w:szCs w:val="22"/>
              </w:rPr>
              <w:t>立项依据</w:t>
            </w:r>
          </w:p>
          <w:p w14:paraId="53CF219F">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3CCE9763">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14:paraId="4D030C7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734948EF">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6B2242F7">
            <w:pPr>
              <w:widowControl/>
              <w:spacing w:line="0" w:lineRule="atLeast"/>
              <w:jc w:val="center"/>
              <w:rPr>
                <w:b/>
                <w:bCs/>
                <w:color w:val="000000"/>
                <w:kern w:val="0"/>
                <w:sz w:val="22"/>
                <w:szCs w:val="22"/>
              </w:rPr>
            </w:pPr>
            <w:r>
              <w:rPr>
                <w:rFonts w:hint="eastAsia"/>
                <w:b/>
                <w:bCs/>
                <w:color w:val="000000"/>
                <w:kern w:val="0"/>
                <w:sz w:val="22"/>
                <w:szCs w:val="22"/>
              </w:rPr>
              <w:t>3</w:t>
            </w:r>
          </w:p>
        </w:tc>
      </w:tr>
      <w:tr w14:paraId="2FC7E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717DADA9">
            <w:pPr>
              <w:spacing w:line="0" w:lineRule="atLeast"/>
              <w:jc w:val="center"/>
              <w:rPr>
                <w:color w:val="000000"/>
                <w:kern w:val="0"/>
                <w:sz w:val="22"/>
                <w:szCs w:val="22"/>
              </w:rPr>
            </w:pPr>
          </w:p>
        </w:tc>
        <w:tc>
          <w:tcPr>
            <w:tcW w:w="302" w:type="pct"/>
            <w:vMerge w:val="continue"/>
            <w:shd w:val="clear" w:color="auto" w:fill="FFFFFF"/>
            <w:vAlign w:val="center"/>
          </w:tcPr>
          <w:p w14:paraId="77E75074">
            <w:pPr>
              <w:widowControl/>
              <w:spacing w:line="0" w:lineRule="atLeast"/>
              <w:jc w:val="center"/>
              <w:rPr>
                <w:color w:val="000000"/>
                <w:kern w:val="0"/>
                <w:sz w:val="22"/>
                <w:szCs w:val="22"/>
              </w:rPr>
            </w:pPr>
          </w:p>
        </w:tc>
        <w:tc>
          <w:tcPr>
            <w:tcW w:w="344" w:type="pct"/>
            <w:shd w:val="clear" w:color="auto" w:fill="FFFFFF"/>
            <w:vAlign w:val="center"/>
          </w:tcPr>
          <w:p w14:paraId="6093D514">
            <w:pPr>
              <w:widowControl/>
              <w:spacing w:line="0" w:lineRule="atLeast"/>
              <w:jc w:val="center"/>
              <w:rPr>
                <w:color w:val="000000"/>
                <w:kern w:val="0"/>
                <w:sz w:val="22"/>
                <w:szCs w:val="22"/>
              </w:rPr>
            </w:pPr>
            <w:r>
              <w:rPr>
                <w:color w:val="000000"/>
                <w:kern w:val="0"/>
                <w:sz w:val="22"/>
                <w:szCs w:val="22"/>
              </w:rPr>
              <w:t>立项程序</w:t>
            </w:r>
          </w:p>
          <w:p w14:paraId="175C1E50">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61689ACC">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14:paraId="5AE322B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4FAB8EA1">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613A3B7E">
            <w:pPr>
              <w:widowControl/>
              <w:spacing w:line="0" w:lineRule="atLeast"/>
              <w:jc w:val="center"/>
              <w:rPr>
                <w:b/>
                <w:bCs/>
                <w:color w:val="000000"/>
                <w:kern w:val="0"/>
                <w:sz w:val="22"/>
                <w:szCs w:val="22"/>
              </w:rPr>
            </w:pPr>
            <w:r>
              <w:rPr>
                <w:rFonts w:hint="eastAsia"/>
                <w:b/>
                <w:bCs/>
                <w:color w:val="000000"/>
                <w:kern w:val="0"/>
                <w:sz w:val="22"/>
                <w:szCs w:val="22"/>
              </w:rPr>
              <w:t>3</w:t>
            </w:r>
          </w:p>
        </w:tc>
      </w:tr>
      <w:tr w14:paraId="33877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2F9488C8">
            <w:pPr>
              <w:spacing w:line="0" w:lineRule="atLeast"/>
              <w:jc w:val="center"/>
              <w:rPr>
                <w:color w:val="000000"/>
                <w:kern w:val="0"/>
                <w:sz w:val="22"/>
                <w:szCs w:val="22"/>
              </w:rPr>
            </w:pPr>
          </w:p>
        </w:tc>
        <w:tc>
          <w:tcPr>
            <w:tcW w:w="302" w:type="pct"/>
            <w:shd w:val="clear" w:color="auto" w:fill="FFFFFF"/>
            <w:vAlign w:val="center"/>
          </w:tcPr>
          <w:p w14:paraId="5C1A0D69">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111FA1BA">
            <w:pPr>
              <w:widowControl/>
              <w:spacing w:line="0" w:lineRule="atLeast"/>
              <w:jc w:val="center"/>
              <w:rPr>
                <w:color w:val="000000"/>
                <w:kern w:val="0"/>
                <w:sz w:val="22"/>
                <w:szCs w:val="22"/>
              </w:rPr>
            </w:pPr>
            <w:r>
              <w:rPr>
                <w:color w:val="000000"/>
                <w:kern w:val="0"/>
                <w:sz w:val="22"/>
                <w:szCs w:val="22"/>
              </w:rPr>
              <w:t>绩效目标</w:t>
            </w:r>
          </w:p>
          <w:p w14:paraId="1D651226">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7D55CDE0">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14:paraId="0636932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7571152C">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0340EF0D">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6D99E102">
            <w:pPr>
              <w:widowControl/>
              <w:spacing w:line="0" w:lineRule="atLeast"/>
              <w:jc w:val="center"/>
              <w:rPr>
                <w:b/>
                <w:bCs/>
                <w:color w:val="000000"/>
                <w:kern w:val="0"/>
                <w:sz w:val="22"/>
                <w:szCs w:val="22"/>
              </w:rPr>
            </w:pPr>
            <w:r>
              <w:rPr>
                <w:rFonts w:hint="eastAsia"/>
                <w:b/>
                <w:bCs/>
                <w:color w:val="000000"/>
                <w:kern w:val="0"/>
                <w:sz w:val="22"/>
                <w:szCs w:val="22"/>
              </w:rPr>
              <w:t>2.5</w:t>
            </w:r>
          </w:p>
        </w:tc>
      </w:tr>
      <w:tr w14:paraId="39950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5FEF1AA1">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14:paraId="286E2A87">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279FDC31">
            <w:pPr>
              <w:widowControl/>
              <w:spacing w:line="0" w:lineRule="atLeast"/>
              <w:jc w:val="center"/>
              <w:rPr>
                <w:color w:val="000000"/>
                <w:kern w:val="0"/>
                <w:sz w:val="22"/>
                <w:szCs w:val="22"/>
              </w:rPr>
            </w:pPr>
            <w:r>
              <w:rPr>
                <w:color w:val="000000"/>
                <w:kern w:val="0"/>
                <w:sz w:val="22"/>
                <w:szCs w:val="22"/>
              </w:rPr>
              <w:t>绩效指标</w:t>
            </w:r>
          </w:p>
          <w:p w14:paraId="08AF7A4F">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5E12228C">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14:paraId="6CFBA0F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68A9E875">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3C423EFB">
            <w:pPr>
              <w:widowControl/>
              <w:spacing w:line="0" w:lineRule="atLeast"/>
              <w:jc w:val="center"/>
              <w:rPr>
                <w:b/>
                <w:bCs/>
                <w:color w:val="000000"/>
                <w:kern w:val="0"/>
                <w:sz w:val="22"/>
                <w:szCs w:val="22"/>
              </w:rPr>
            </w:pPr>
            <w:r>
              <w:rPr>
                <w:rFonts w:hint="eastAsia"/>
                <w:b/>
                <w:bCs/>
                <w:color w:val="000000"/>
                <w:kern w:val="0"/>
                <w:sz w:val="22"/>
                <w:szCs w:val="22"/>
              </w:rPr>
              <w:t>3</w:t>
            </w:r>
          </w:p>
        </w:tc>
      </w:tr>
      <w:tr w14:paraId="6A4B2B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00177E1E">
            <w:pPr>
              <w:spacing w:line="0" w:lineRule="atLeast"/>
              <w:jc w:val="center"/>
              <w:rPr>
                <w:color w:val="000000"/>
                <w:kern w:val="0"/>
                <w:sz w:val="22"/>
                <w:szCs w:val="22"/>
              </w:rPr>
            </w:pPr>
          </w:p>
        </w:tc>
        <w:tc>
          <w:tcPr>
            <w:tcW w:w="302" w:type="pct"/>
            <w:vMerge w:val="restart"/>
            <w:shd w:val="clear" w:color="auto" w:fill="FFFFFF"/>
            <w:vAlign w:val="center"/>
          </w:tcPr>
          <w:p w14:paraId="17518EB2">
            <w:pPr>
              <w:widowControl/>
              <w:spacing w:line="0" w:lineRule="atLeast"/>
              <w:jc w:val="center"/>
              <w:rPr>
                <w:color w:val="000000"/>
                <w:kern w:val="0"/>
                <w:sz w:val="22"/>
                <w:szCs w:val="22"/>
              </w:rPr>
            </w:pPr>
            <w:r>
              <w:rPr>
                <w:color w:val="000000"/>
                <w:kern w:val="0"/>
                <w:sz w:val="22"/>
                <w:szCs w:val="22"/>
              </w:rPr>
              <w:t>资金投入</w:t>
            </w:r>
          </w:p>
          <w:p w14:paraId="2BFE708D">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75CF4DC3">
            <w:pPr>
              <w:widowControl/>
              <w:spacing w:line="0" w:lineRule="atLeast"/>
              <w:jc w:val="center"/>
              <w:rPr>
                <w:color w:val="000000"/>
                <w:kern w:val="0"/>
                <w:sz w:val="22"/>
                <w:szCs w:val="22"/>
              </w:rPr>
            </w:pPr>
            <w:r>
              <w:rPr>
                <w:color w:val="000000"/>
                <w:kern w:val="0"/>
                <w:sz w:val="22"/>
                <w:szCs w:val="22"/>
              </w:rPr>
              <w:t>预算编制</w:t>
            </w:r>
          </w:p>
          <w:p w14:paraId="5620812D">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4673EE08">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713BDB4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68D9E38A">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5C3D1176">
            <w:pPr>
              <w:widowControl/>
              <w:spacing w:line="0" w:lineRule="atLeast"/>
              <w:jc w:val="center"/>
              <w:rPr>
                <w:b/>
                <w:bCs/>
                <w:color w:val="000000"/>
                <w:kern w:val="0"/>
                <w:sz w:val="22"/>
                <w:szCs w:val="22"/>
              </w:rPr>
            </w:pPr>
            <w:r>
              <w:rPr>
                <w:rFonts w:hint="eastAsia"/>
                <w:b/>
                <w:bCs/>
                <w:color w:val="000000"/>
                <w:kern w:val="0"/>
                <w:sz w:val="22"/>
                <w:szCs w:val="22"/>
              </w:rPr>
              <w:t>4</w:t>
            </w:r>
          </w:p>
        </w:tc>
      </w:tr>
      <w:tr w14:paraId="4B010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13DD601C">
            <w:pPr>
              <w:widowControl/>
              <w:spacing w:line="0" w:lineRule="atLeast"/>
              <w:jc w:val="center"/>
              <w:rPr>
                <w:color w:val="000000"/>
                <w:kern w:val="0"/>
                <w:sz w:val="22"/>
                <w:szCs w:val="22"/>
              </w:rPr>
            </w:pPr>
          </w:p>
        </w:tc>
        <w:tc>
          <w:tcPr>
            <w:tcW w:w="302" w:type="pct"/>
            <w:vMerge w:val="continue"/>
            <w:shd w:val="clear" w:color="auto" w:fill="FFFFFF"/>
            <w:vAlign w:val="center"/>
          </w:tcPr>
          <w:p w14:paraId="3962BF09">
            <w:pPr>
              <w:widowControl/>
              <w:spacing w:line="0" w:lineRule="atLeast"/>
              <w:jc w:val="center"/>
              <w:rPr>
                <w:color w:val="000000"/>
                <w:kern w:val="0"/>
                <w:sz w:val="22"/>
                <w:szCs w:val="22"/>
              </w:rPr>
            </w:pPr>
          </w:p>
        </w:tc>
        <w:tc>
          <w:tcPr>
            <w:tcW w:w="344" w:type="pct"/>
            <w:shd w:val="clear" w:color="auto" w:fill="FFFFFF"/>
            <w:vAlign w:val="center"/>
          </w:tcPr>
          <w:p w14:paraId="28E79669">
            <w:pPr>
              <w:widowControl/>
              <w:spacing w:line="0" w:lineRule="atLeast"/>
              <w:jc w:val="center"/>
              <w:rPr>
                <w:color w:val="000000"/>
                <w:kern w:val="0"/>
                <w:sz w:val="22"/>
                <w:szCs w:val="22"/>
              </w:rPr>
            </w:pPr>
            <w:r>
              <w:rPr>
                <w:color w:val="000000"/>
                <w:kern w:val="0"/>
                <w:sz w:val="22"/>
                <w:szCs w:val="22"/>
              </w:rPr>
              <w:t>资金分配</w:t>
            </w:r>
          </w:p>
          <w:p w14:paraId="648DC57B">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754FCDA3">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1DD2B21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6EAA6BAF">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420DC752">
            <w:pPr>
              <w:widowControl/>
              <w:spacing w:line="0" w:lineRule="atLeast"/>
              <w:jc w:val="center"/>
              <w:rPr>
                <w:b/>
                <w:bCs/>
                <w:color w:val="000000"/>
                <w:kern w:val="0"/>
                <w:sz w:val="22"/>
                <w:szCs w:val="22"/>
              </w:rPr>
            </w:pPr>
            <w:r>
              <w:rPr>
                <w:rFonts w:hint="eastAsia"/>
                <w:b/>
                <w:bCs/>
                <w:color w:val="000000"/>
                <w:kern w:val="0"/>
                <w:sz w:val="22"/>
                <w:szCs w:val="22"/>
              </w:rPr>
              <w:t>4</w:t>
            </w:r>
          </w:p>
        </w:tc>
      </w:tr>
      <w:tr w14:paraId="5BB59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1E4BCB7C">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37F6ECD7">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7C49C3F4">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568A706D">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14:paraId="308A95A3">
            <w:pPr>
              <w:widowControl/>
              <w:spacing w:line="0" w:lineRule="atLeast"/>
              <w:rPr>
                <w:color w:val="000000"/>
                <w:kern w:val="0"/>
                <w:sz w:val="22"/>
                <w:szCs w:val="22"/>
              </w:rPr>
            </w:pPr>
            <w:r>
              <w:rPr>
                <w:color w:val="000000"/>
                <w:kern w:val="0"/>
                <w:sz w:val="22"/>
                <w:szCs w:val="22"/>
              </w:rPr>
              <w:t>资金到位率=（实际到位资金/预算资金）×100%。</w:t>
            </w:r>
          </w:p>
          <w:p w14:paraId="2C1C89B9">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691B70A6">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2483BD11">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387A4E0F">
            <w:pPr>
              <w:widowControl/>
              <w:spacing w:line="0" w:lineRule="atLeast"/>
              <w:jc w:val="center"/>
              <w:rPr>
                <w:b/>
                <w:bCs/>
                <w:color w:val="000000"/>
                <w:kern w:val="0"/>
                <w:sz w:val="22"/>
                <w:szCs w:val="22"/>
              </w:rPr>
            </w:pPr>
            <w:r>
              <w:rPr>
                <w:rFonts w:hint="eastAsia"/>
                <w:b/>
                <w:bCs/>
                <w:color w:val="000000"/>
                <w:kern w:val="0"/>
                <w:sz w:val="22"/>
                <w:szCs w:val="22"/>
              </w:rPr>
              <w:t>4</w:t>
            </w:r>
          </w:p>
        </w:tc>
      </w:tr>
      <w:tr w14:paraId="43CAB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6CC93255">
            <w:pPr>
              <w:spacing w:line="0" w:lineRule="atLeast"/>
              <w:jc w:val="center"/>
              <w:rPr>
                <w:color w:val="000000"/>
                <w:kern w:val="0"/>
                <w:sz w:val="22"/>
                <w:szCs w:val="22"/>
              </w:rPr>
            </w:pPr>
          </w:p>
        </w:tc>
        <w:tc>
          <w:tcPr>
            <w:tcW w:w="302" w:type="pct"/>
            <w:vMerge w:val="continue"/>
            <w:shd w:val="clear" w:color="auto" w:fill="FFFFFF"/>
            <w:vAlign w:val="center"/>
          </w:tcPr>
          <w:p w14:paraId="3EFA6E1F">
            <w:pPr>
              <w:spacing w:line="0" w:lineRule="atLeast"/>
              <w:jc w:val="center"/>
              <w:rPr>
                <w:color w:val="000000"/>
                <w:kern w:val="0"/>
                <w:sz w:val="22"/>
                <w:szCs w:val="22"/>
              </w:rPr>
            </w:pPr>
          </w:p>
        </w:tc>
        <w:tc>
          <w:tcPr>
            <w:tcW w:w="344" w:type="pct"/>
            <w:shd w:val="clear" w:color="auto" w:fill="FFFFFF"/>
            <w:vAlign w:val="center"/>
          </w:tcPr>
          <w:p w14:paraId="48207F86">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073C03D9">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14:paraId="6E57826C">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6408A3B0">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014E0FAD">
            <w:pPr>
              <w:widowControl/>
              <w:spacing w:line="0" w:lineRule="atLeast"/>
              <w:jc w:val="center"/>
              <w:rPr>
                <w:b/>
                <w:bCs/>
                <w:color w:val="000000"/>
                <w:kern w:val="0"/>
                <w:sz w:val="22"/>
                <w:szCs w:val="22"/>
              </w:rPr>
            </w:pPr>
            <w:r>
              <w:rPr>
                <w:rFonts w:hint="eastAsia"/>
                <w:b/>
                <w:bCs/>
                <w:color w:val="000000"/>
                <w:kern w:val="0"/>
                <w:sz w:val="22"/>
                <w:szCs w:val="22"/>
              </w:rPr>
              <w:t>3</w:t>
            </w:r>
          </w:p>
        </w:tc>
      </w:tr>
      <w:tr w14:paraId="5A3A4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64DEBD3F">
            <w:pPr>
              <w:widowControl/>
              <w:spacing w:line="0" w:lineRule="atLeast"/>
              <w:jc w:val="center"/>
              <w:rPr>
                <w:color w:val="000000"/>
                <w:kern w:val="0"/>
                <w:sz w:val="22"/>
                <w:szCs w:val="22"/>
              </w:rPr>
            </w:pPr>
            <w:r>
              <w:rPr>
                <w:color w:val="000000"/>
                <w:kern w:val="0"/>
                <w:sz w:val="22"/>
                <w:szCs w:val="22"/>
              </w:rPr>
              <w:t>　</w:t>
            </w:r>
          </w:p>
          <w:p w14:paraId="67D68D6F">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14:paraId="5853DF91">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2CD83EFA">
            <w:pPr>
              <w:widowControl/>
              <w:spacing w:line="0" w:lineRule="atLeast"/>
              <w:jc w:val="center"/>
              <w:rPr>
                <w:color w:val="000000"/>
                <w:kern w:val="0"/>
                <w:sz w:val="22"/>
                <w:szCs w:val="22"/>
              </w:rPr>
            </w:pPr>
            <w:r>
              <w:rPr>
                <w:color w:val="000000"/>
                <w:kern w:val="0"/>
                <w:sz w:val="22"/>
                <w:szCs w:val="22"/>
              </w:rPr>
              <w:t>资金使用</w:t>
            </w:r>
          </w:p>
          <w:p w14:paraId="2DDEE35E">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1FD59B60">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14:paraId="7206B0A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158A50F9">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174A461F">
            <w:pPr>
              <w:widowControl/>
              <w:spacing w:line="0" w:lineRule="atLeast"/>
              <w:jc w:val="center"/>
              <w:rPr>
                <w:b/>
                <w:bCs/>
                <w:color w:val="000000"/>
                <w:kern w:val="0"/>
                <w:sz w:val="22"/>
                <w:szCs w:val="22"/>
              </w:rPr>
            </w:pPr>
            <w:r>
              <w:rPr>
                <w:rFonts w:hint="eastAsia"/>
                <w:b/>
                <w:bCs/>
                <w:color w:val="000000"/>
                <w:kern w:val="0"/>
                <w:sz w:val="22"/>
                <w:szCs w:val="22"/>
              </w:rPr>
              <w:t>4</w:t>
            </w:r>
          </w:p>
        </w:tc>
      </w:tr>
      <w:tr w14:paraId="17F23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5EEF3FBE">
            <w:pPr>
              <w:spacing w:line="0" w:lineRule="atLeast"/>
              <w:jc w:val="center"/>
              <w:rPr>
                <w:color w:val="000000"/>
                <w:kern w:val="0"/>
                <w:sz w:val="22"/>
                <w:szCs w:val="22"/>
              </w:rPr>
            </w:pPr>
          </w:p>
        </w:tc>
        <w:tc>
          <w:tcPr>
            <w:tcW w:w="302" w:type="pct"/>
            <w:vMerge w:val="restart"/>
            <w:shd w:val="clear" w:color="auto" w:fill="FFFFFF"/>
            <w:vAlign w:val="center"/>
          </w:tcPr>
          <w:p w14:paraId="7D57C2B1">
            <w:pPr>
              <w:widowControl/>
              <w:spacing w:line="0" w:lineRule="atLeast"/>
              <w:jc w:val="center"/>
              <w:rPr>
                <w:color w:val="000000"/>
                <w:kern w:val="0"/>
                <w:sz w:val="22"/>
                <w:szCs w:val="22"/>
              </w:rPr>
            </w:pPr>
            <w:r>
              <w:rPr>
                <w:color w:val="000000"/>
                <w:kern w:val="0"/>
                <w:sz w:val="22"/>
                <w:szCs w:val="22"/>
              </w:rPr>
              <w:t>组织实施</w:t>
            </w:r>
          </w:p>
          <w:p w14:paraId="65256653">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52DA34FE">
            <w:pPr>
              <w:widowControl/>
              <w:spacing w:line="0" w:lineRule="atLeast"/>
              <w:jc w:val="center"/>
              <w:rPr>
                <w:color w:val="000000"/>
                <w:kern w:val="0"/>
                <w:sz w:val="22"/>
                <w:szCs w:val="22"/>
              </w:rPr>
            </w:pPr>
            <w:r>
              <w:rPr>
                <w:color w:val="000000"/>
                <w:kern w:val="0"/>
                <w:sz w:val="22"/>
                <w:szCs w:val="22"/>
              </w:rPr>
              <w:t>管理制度</w:t>
            </w:r>
          </w:p>
          <w:p w14:paraId="66378117">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4E89D1CE">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14:paraId="4654027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3FA752BE">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73B9720B">
            <w:pPr>
              <w:widowControl/>
              <w:spacing w:line="0" w:lineRule="atLeast"/>
              <w:jc w:val="center"/>
              <w:rPr>
                <w:b/>
                <w:bCs/>
                <w:color w:val="000000"/>
                <w:kern w:val="0"/>
                <w:sz w:val="22"/>
                <w:szCs w:val="22"/>
              </w:rPr>
            </w:pPr>
            <w:r>
              <w:rPr>
                <w:rFonts w:hint="eastAsia"/>
                <w:b/>
                <w:bCs/>
                <w:color w:val="000000"/>
                <w:kern w:val="0"/>
                <w:sz w:val="22"/>
                <w:szCs w:val="22"/>
              </w:rPr>
              <w:t>4</w:t>
            </w:r>
          </w:p>
        </w:tc>
      </w:tr>
      <w:tr w14:paraId="2CF93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25E33AED">
            <w:pPr>
              <w:widowControl/>
              <w:spacing w:line="0" w:lineRule="atLeast"/>
              <w:jc w:val="center"/>
              <w:rPr>
                <w:color w:val="000000"/>
                <w:kern w:val="0"/>
                <w:sz w:val="22"/>
                <w:szCs w:val="22"/>
              </w:rPr>
            </w:pPr>
          </w:p>
        </w:tc>
        <w:tc>
          <w:tcPr>
            <w:tcW w:w="302" w:type="pct"/>
            <w:vMerge w:val="continue"/>
            <w:shd w:val="clear" w:color="auto" w:fill="FFFFFF"/>
            <w:vAlign w:val="center"/>
          </w:tcPr>
          <w:p w14:paraId="546893AA">
            <w:pPr>
              <w:widowControl/>
              <w:spacing w:line="0" w:lineRule="atLeast"/>
              <w:jc w:val="center"/>
              <w:rPr>
                <w:color w:val="000000"/>
                <w:kern w:val="0"/>
                <w:sz w:val="22"/>
                <w:szCs w:val="22"/>
              </w:rPr>
            </w:pPr>
          </w:p>
        </w:tc>
        <w:tc>
          <w:tcPr>
            <w:tcW w:w="344" w:type="pct"/>
            <w:shd w:val="clear" w:color="auto" w:fill="FFFFFF"/>
            <w:vAlign w:val="center"/>
          </w:tcPr>
          <w:p w14:paraId="6F0232A7">
            <w:pPr>
              <w:widowControl/>
              <w:spacing w:line="0" w:lineRule="atLeast"/>
              <w:jc w:val="center"/>
              <w:rPr>
                <w:color w:val="000000"/>
                <w:kern w:val="0"/>
                <w:sz w:val="22"/>
                <w:szCs w:val="22"/>
              </w:rPr>
            </w:pPr>
            <w:r>
              <w:rPr>
                <w:color w:val="000000"/>
                <w:kern w:val="0"/>
                <w:sz w:val="22"/>
                <w:szCs w:val="22"/>
              </w:rPr>
              <w:t>制度执行</w:t>
            </w:r>
          </w:p>
          <w:p w14:paraId="5C07093F">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130BDE16">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14:paraId="38C4D9F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41378EA1">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0722963B">
            <w:pPr>
              <w:widowControl/>
              <w:spacing w:line="0" w:lineRule="atLeast"/>
              <w:jc w:val="center"/>
              <w:rPr>
                <w:b/>
                <w:bCs/>
                <w:color w:val="000000"/>
                <w:kern w:val="0"/>
                <w:sz w:val="22"/>
                <w:szCs w:val="22"/>
              </w:rPr>
            </w:pPr>
            <w:r>
              <w:rPr>
                <w:rFonts w:hint="eastAsia"/>
                <w:b/>
                <w:bCs/>
                <w:color w:val="000000"/>
                <w:kern w:val="0"/>
                <w:sz w:val="22"/>
                <w:szCs w:val="22"/>
              </w:rPr>
              <w:t>4</w:t>
            </w:r>
          </w:p>
        </w:tc>
      </w:tr>
      <w:tr w14:paraId="55D8B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42D0DF0F">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37F985E7">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0277DE6C">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42D42CBC">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14:paraId="2ECED70B">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0AD8E7F3">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2DEB6DD">
            <w:pPr>
              <w:widowControl/>
              <w:spacing w:line="0" w:lineRule="atLeast"/>
              <w:jc w:val="center"/>
              <w:rPr>
                <w:b/>
                <w:bCs/>
                <w:color w:val="000000"/>
                <w:kern w:val="0"/>
                <w:sz w:val="22"/>
                <w:szCs w:val="22"/>
              </w:rPr>
            </w:pPr>
            <w:r>
              <w:rPr>
                <w:rFonts w:hint="eastAsia"/>
                <w:b/>
                <w:bCs/>
                <w:color w:val="000000"/>
                <w:kern w:val="0"/>
                <w:sz w:val="22"/>
                <w:szCs w:val="22"/>
              </w:rPr>
              <w:t>10</w:t>
            </w:r>
          </w:p>
        </w:tc>
      </w:tr>
      <w:tr w14:paraId="338A0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474F5DFE">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646C4484">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09BBE1B2">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1A24FF93">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14:paraId="43569DA0">
            <w:pPr>
              <w:widowControl/>
              <w:spacing w:line="0" w:lineRule="atLeast"/>
              <w:rPr>
                <w:color w:val="000000"/>
                <w:kern w:val="0"/>
                <w:sz w:val="22"/>
                <w:szCs w:val="22"/>
              </w:rPr>
            </w:pPr>
            <w:r>
              <w:rPr>
                <w:color w:val="000000"/>
                <w:kern w:val="0"/>
                <w:sz w:val="22"/>
                <w:szCs w:val="22"/>
              </w:rPr>
              <w:t>质量达标率=（质量达标产出数/实际产出数）×100%。</w:t>
            </w:r>
          </w:p>
          <w:p w14:paraId="01D6F18D">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BB38B07">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1D688505">
            <w:pPr>
              <w:widowControl/>
              <w:spacing w:line="0" w:lineRule="atLeast"/>
              <w:jc w:val="center"/>
              <w:rPr>
                <w:b/>
                <w:bCs/>
                <w:color w:val="000000"/>
                <w:kern w:val="0"/>
                <w:sz w:val="22"/>
                <w:szCs w:val="22"/>
              </w:rPr>
            </w:pPr>
            <w:r>
              <w:rPr>
                <w:rFonts w:hint="eastAsia"/>
                <w:b/>
                <w:bCs/>
                <w:color w:val="000000"/>
                <w:kern w:val="0"/>
                <w:sz w:val="22"/>
                <w:szCs w:val="22"/>
              </w:rPr>
              <w:t>10</w:t>
            </w:r>
          </w:p>
        </w:tc>
      </w:tr>
      <w:tr w14:paraId="0865A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0B10AE39">
            <w:pPr>
              <w:spacing w:line="0" w:lineRule="atLeast"/>
              <w:jc w:val="center"/>
              <w:rPr>
                <w:color w:val="000000"/>
                <w:kern w:val="0"/>
                <w:sz w:val="22"/>
                <w:szCs w:val="22"/>
              </w:rPr>
            </w:pPr>
          </w:p>
        </w:tc>
        <w:tc>
          <w:tcPr>
            <w:tcW w:w="302" w:type="pct"/>
            <w:shd w:val="clear" w:color="auto" w:fill="FFFFFF"/>
            <w:vAlign w:val="center"/>
          </w:tcPr>
          <w:p w14:paraId="174E4D01">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31B8DD2B">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55E1D773">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14:paraId="222F607C">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3CB72786">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0B5345C">
            <w:pPr>
              <w:widowControl/>
              <w:spacing w:line="0" w:lineRule="atLeast"/>
              <w:jc w:val="center"/>
              <w:rPr>
                <w:b/>
                <w:bCs/>
                <w:color w:val="000000"/>
                <w:kern w:val="0"/>
                <w:sz w:val="22"/>
                <w:szCs w:val="22"/>
              </w:rPr>
            </w:pPr>
            <w:r>
              <w:rPr>
                <w:rFonts w:hint="eastAsia"/>
                <w:b/>
                <w:bCs/>
                <w:color w:val="000000"/>
                <w:kern w:val="0"/>
                <w:sz w:val="22"/>
                <w:szCs w:val="22"/>
              </w:rPr>
              <w:t>10</w:t>
            </w:r>
          </w:p>
        </w:tc>
      </w:tr>
      <w:tr w14:paraId="3CDA3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2EC1ACB8">
            <w:pPr>
              <w:widowControl/>
              <w:spacing w:line="0" w:lineRule="atLeast"/>
              <w:jc w:val="center"/>
              <w:rPr>
                <w:color w:val="000000"/>
                <w:kern w:val="0"/>
                <w:sz w:val="22"/>
                <w:szCs w:val="22"/>
              </w:rPr>
            </w:pPr>
          </w:p>
        </w:tc>
        <w:tc>
          <w:tcPr>
            <w:tcW w:w="302" w:type="pct"/>
            <w:shd w:val="clear" w:color="auto" w:fill="FFFFFF"/>
            <w:vAlign w:val="center"/>
          </w:tcPr>
          <w:p w14:paraId="6E6DD0B9">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127DA28D">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00E51FB0">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14:paraId="1F76454B">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7F3511E6">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C393899">
            <w:pPr>
              <w:widowControl/>
              <w:spacing w:line="0" w:lineRule="atLeast"/>
              <w:jc w:val="center"/>
              <w:rPr>
                <w:b/>
                <w:bCs/>
                <w:color w:val="000000"/>
                <w:kern w:val="0"/>
                <w:sz w:val="22"/>
                <w:szCs w:val="22"/>
              </w:rPr>
            </w:pPr>
            <w:r>
              <w:rPr>
                <w:rFonts w:hint="eastAsia"/>
                <w:b/>
                <w:bCs/>
                <w:color w:val="000000"/>
                <w:kern w:val="0"/>
                <w:sz w:val="22"/>
                <w:szCs w:val="22"/>
              </w:rPr>
              <w:t>10</w:t>
            </w:r>
          </w:p>
        </w:tc>
      </w:tr>
      <w:tr w14:paraId="17985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01A66954">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176D50FD">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1F7C630F">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17D1A9E2">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14:paraId="7F72EB10">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5F72B5DF">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14:paraId="669C1FAB">
            <w:pPr>
              <w:widowControl/>
              <w:spacing w:line="0" w:lineRule="atLeast"/>
              <w:jc w:val="center"/>
              <w:rPr>
                <w:b/>
                <w:bCs/>
                <w:color w:val="000000"/>
                <w:kern w:val="0"/>
                <w:sz w:val="22"/>
                <w:szCs w:val="22"/>
              </w:rPr>
            </w:pPr>
            <w:r>
              <w:rPr>
                <w:rFonts w:hint="eastAsia"/>
                <w:b/>
                <w:bCs/>
                <w:color w:val="000000"/>
                <w:kern w:val="0"/>
                <w:sz w:val="22"/>
                <w:szCs w:val="22"/>
              </w:rPr>
              <w:t>9</w:t>
            </w:r>
          </w:p>
        </w:tc>
      </w:tr>
      <w:tr w14:paraId="0C478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7225DD4C">
            <w:pPr>
              <w:widowControl/>
              <w:spacing w:line="0" w:lineRule="atLeast"/>
              <w:jc w:val="center"/>
              <w:rPr>
                <w:color w:val="000000"/>
                <w:kern w:val="0"/>
                <w:sz w:val="22"/>
                <w:szCs w:val="22"/>
              </w:rPr>
            </w:pPr>
          </w:p>
        </w:tc>
        <w:tc>
          <w:tcPr>
            <w:tcW w:w="302" w:type="pct"/>
            <w:vMerge w:val="continue"/>
            <w:shd w:val="clear" w:color="auto" w:fill="FFFFFF"/>
            <w:vAlign w:val="center"/>
          </w:tcPr>
          <w:p w14:paraId="744BF2E4">
            <w:pPr>
              <w:widowControl/>
              <w:spacing w:line="0" w:lineRule="atLeast"/>
              <w:jc w:val="center"/>
              <w:rPr>
                <w:color w:val="000000"/>
                <w:kern w:val="0"/>
                <w:sz w:val="22"/>
                <w:szCs w:val="22"/>
              </w:rPr>
            </w:pPr>
          </w:p>
        </w:tc>
        <w:tc>
          <w:tcPr>
            <w:tcW w:w="344" w:type="pct"/>
            <w:shd w:val="clear" w:color="auto" w:fill="FFFFFF"/>
            <w:vAlign w:val="center"/>
          </w:tcPr>
          <w:p w14:paraId="7DD7FA74">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7D44E26D">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14:paraId="7946AEBC">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7E6D72BE">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5D16957">
            <w:pPr>
              <w:widowControl/>
              <w:spacing w:line="0" w:lineRule="atLeast"/>
              <w:jc w:val="center"/>
              <w:rPr>
                <w:b/>
                <w:bCs/>
                <w:color w:val="000000"/>
                <w:kern w:val="0"/>
                <w:sz w:val="22"/>
                <w:szCs w:val="22"/>
              </w:rPr>
            </w:pPr>
            <w:r>
              <w:rPr>
                <w:rFonts w:hint="eastAsia"/>
                <w:b/>
                <w:bCs/>
                <w:color w:val="000000"/>
                <w:kern w:val="0"/>
                <w:sz w:val="22"/>
                <w:szCs w:val="22"/>
              </w:rPr>
              <w:t>10</w:t>
            </w:r>
          </w:p>
        </w:tc>
      </w:tr>
    </w:tbl>
    <w:p w14:paraId="53EFF182">
      <w:pPr>
        <w:pStyle w:val="2"/>
        <w:rPr>
          <w:rFonts w:ascii="Times New Roman" w:hAnsi="Times New Roman"/>
        </w:rPr>
      </w:pPr>
    </w:p>
    <w:p w14:paraId="728944BD"/>
    <w:p w14:paraId="0ACC81DA">
      <w:pPr>
        <w:spacing w:line="540" w:lineRule="exact"/>
        <w:ind w:firstLine="640"/>
        <w:rPr>
          <w:rStyle w:val="16"/>
          <w:rFonts w:eastAsia="黑体"/>
          <w:bCs w:val="0"/>
          <w:spacing w:val="-4"/>
          <w:sz w:val="32"/>
          <w:szCs w:val="32"/>
        </w:rPr>
      </w:pPr>
    </w:p>
    <w:p w14:paraId="4515BFC0">
      <w:pPr>
        <w:spacing w:line="540" w:lineRule="exact"/>
        <w:ind w:firstLine="640"/>
        <w:rPr>
          <w:rStyle w:val="16"/>
          <w:rFonts w:eastAsia="黑体"/>
          <w:bCs w:val="0"/>
          <w:spacing w:val="-4"/>
          <w:sz w:val="32"/>
          <w:szCs w:val="32"/>
        </w:rPr>
      </w:pPr>
    </w:p>
    <w:p w14:paraId="2E7823CD">
      <w:pPr>
        <w:spacing w:line="540" w:lineRule="exact"/>
        <w:ind w:firstLine="640"/>
        <w:rPr>
          <w:rStyle w:val="16"/>
          <w:rFonts w:eastAsia="黑体"/>
          <w:bCs w:val="0"/>
          <w:spacing w:val="-4"/>
          <w:sz w:val="32"/>
          <w:szCs w:val="32"/>
        </w:rPr>
      </w:pPr>
    </w:p>
    <w:p w14:paraId="5C16057F">
      <w:pPr>
        <w:spacing w:line="540" w:lineRule="exact"/>
        <w:ind w:firstLine="640"/>
        <w:rPr>
          <w:rStyle w:val="16"/>
          <w:rFonts w:eastAsia="黑体"/>
          <w:bCs w:val="0"/>
          <w:spacing w:val="-4"/>
          <w:sz w:val="32"/>
          <w:szCs w:val="32"/>
        </w:rPr>
      </w:pPr>
    </w:p>
    <w:p w14:paraId="2F6A2ED9">
      <w:pPr>
        <w:spacing w:line="540" w:lineRule="exact"/>
        <w:ind w:firstLine="640"/>
        <w:rPr>
          <w:rStyle w:val="16"/>
          <w:rFonts w:eastAsia="黑体"/>
          <w:bCs w:val="0"/>
          <w:spacing w:val="-4"/>
          <w:sz w:val="32"/>
          <w:szCs w:val="32"/>
        </w:rPr>
      </w:pPr>
    </w:p>
    <w:p w14:paraId="45C6FB8C">
      <w:pPr>
        <w:spacing w:line="540" w:lineRule="exact"/>
        <w:ind w:firstLine="640"/>
        <w:rPr>
          <w:rStyle w:val="16"/>
          <w:rFonts w:eastAsia="黑体"/>
          <w:bCs w:val="0"/>
          <w:spacing w:val="-4"/>
          <w:sz w:val="32"/>
          <w:szCs w:val="32"/>
        </w:rPr>
      </w:pPr>
    </w:p>
    <w:p w14:paraId="05F00CCE">
      <w:pPr>
        <w:spacing w:line="540" w:lineRule="exact"/>
        <w:rPr>
          <w:rStyle w:val="16"/>
          <w:rFonts w:eastAsia="仿宋"/>
          <w:b w:val="0"/>
          <w:spacing w:val="-4"/>
          <w:sz w:val="32"/>
          <w:szCs w:val="32"/>
        </w:rPr>
      </w:pPr>
    </w:p>
    <w:p w14:paraId="5B82FC4E"/>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6CC9A31">
        <w:pPr>
          <w:pStyle w:val="9"/>
          <w:jc w:val="center"/>
        </w:pPr>
        <w:r>
          <w:fldChar w:fldCharType="begin"/>
        </w:r>
        <w:r>
          <w:instrText xml:space="preserve">PAGE   \* MERGEFORMAT</w:instrText>
        </w:r>
        <w:r>
          <w:fldChar w:fldCharType="separate"/>
        </w:r>
        <w:r>
          <w:rPr>
            <w:lang w:val="zh-CN"/>
          </w:rPr>
          <w:t>18</w:t>
        </w:r>
        <w:r>
          <w:fldChar w:fldCharType="end"/>
        </w:r>
      </w:p>
    </w:sdtContent>
  </w:sdt>
  <w:p w14:paraId="6CE0BBBC">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ViY2JkMjU3NGYzZTEwMzZmMGFkZWViYmNkYWU3NDIifQ=="/>
  </w:docVars>
  <w:rsids>
    <w:rsidRoot w:val="FF6C4049"/>
    <w:rsid w:val="00031A9D"/>
    <w:rsid w:val="00056D3D"/>
    <w:rsid w:val="00095176"/>
    <w:rsid w:val="001F6C2B"/>
    <w:rsid w:val="002771C4"/>
    <w:rsid w:val="00287046"/>
    <w:rsid w:val="0031486B"/>
    <w:rsid w:val="0031508F"/>
    <w:rsid w:val="003A0796"/>
    <w:rsid w:val="00415E5B"/>
    <w:rsid w:val="004530A0"/>
    <w:rsid w:val="004712B7"/>
    <w:rsid w:val="004B2C05"/>
    <w:rsid w:val="004F2F95"/>
    <w:rsid w:val="00570FAE"/>
    <w:rsid w:val="005A4B7E"/>
    <w:rsid w:val="00612B99"/>
    <w:rsid w:val="00624C6B"/>
    <w:rsid w:val="0064239D"/>
    <w:rsid w:val="006860D9"/>
    <w:rsid w:val="006B08DE"/>
    <w:rsid w:val="006D7C7D"/>
    <w:rsid w:val="00714727"/>
    <w:rsid w:val="00870355"/>
    <w:rsid w:val="008A4B78"/>
    <w:rsid w:val="008E5FAA"/>
    <w:rsid w:val="009041DC"/>
    <w:rsid w:val="0090541D"/>
    <w:rsid w:val="009067CD"/>
    <w:rsid w:val="00947DAA"/>
    <w:rsid w:val="009B08E0"/>
    <w:rsid w:val="009B7D73"/>
    <w:rsid w:val="009E7BD3"/>
    <w:rsid w:val="00A039C8"/>
    <w:rsid w:val="00A23568"/>
    <w:rsid w:val="00A34979"/>
    <w:rsid w:val="00A47C70"/>
    <w:rsid w:val="00A55324"/>
    <w:rsid w:val="00AA59B9"/>
    <w:rsid w:val="00AB21E2"/>
    <w:rsid w:val="00B4061F"/>
    <w:rsid w:val="00B5391A"/>
    <w:rsid w:val="00BA254F"/>
    <w:rsid w:val="00BD1722"/>
    <w:rsid w:val="00C943C4"/>
    <w:rsid w:val="00CA1F2B"/>
    <w:rsid w:val="00CA2338"/>
    <w:rsid w:val="00CC5FF0"/>
    <w:rsid w:val="00D07152"/>
    <w:rsid w:val="00D85D7D"/>
    <w:rsid w:val="00D92FC7"/>
    <w:rsid w:val="00DB6EEA"/>
    <w:rsid w:val="00EB254C"/>
    <w:rsid w:val="00EE5879"/>
    <w:rsid w:val="00EE652C"/>
    <w:rsid w:val="00FA445A"/>
    <w:rsid w:val="00FA674E"/>
    <w:rsid w:val="00FB31E8"/>
    <w:rsid w:val="00FC7E17"/>
    <w:rsid w:val="00FC7F82"/>
    <w:rsid w:val="00FD3DF8"/>
    <w:rsid w:val="00FF10BB"/>
    <w:rsid w:val="01261D06"/>
    <w:rsid w:val="01351582"/>
    <w:rsid w:val="017928E7"/>
    <w:rsid w:val="01884369"/>
    <w:rsid w:val="018D6238"/>
    <w:rsid w:val="01F449E4"/>
    <w:rsid w:val="021D139A"/>
    <w:rsid w:val="022D492C"/>
    <w:rsid w:val="02591F07"/>
    <w:rsid w:val="026B4183"/>
    <w:rsid w:val="0295633C"/>
    <w:rsid w:val="02DE575E"/>
    <w:rsid w:val="02F93E5A"/>
    <w:rsid w:val="03297DC2"/>
    <w:rsid w:val="03360005"/>
    <w:rsid w:val="037954CF"/>
    <w:rsid w:val="03C604D0"/>
    <w:rsid w:val="03D545F8"/>
    <w:rsid w:val="03E96CFB"/>
    <w:rsid w:val="04AC1F40"/>
    <w:rsid w:val="04C064C5"/>
    <w:rsid w:val="04D8202D"/>
    <w:rsid w:val="05115B42"/>
    <w:rsid w:val="05422900"/>
    <w:rsid w:val="05474BC9"/>
    <w:rsid w:val="05763DFB"/>
    <w:rsid w:val="057D6421"/>
    <w:rsid w:val="059048EE"/>
    <w:rsid w:val="05950C15"/>
    <w:rsid w:val="05A66EF4"/>
    <w:rsid w:val="05C02563"/>
    <w:rsid w:val="05C73AB4"/>
    <w:rsid w:val="05F127D9"/>
    <w:rsid w:val="064F03D5"/>
    <w:rsid w:val="0695347E"/>
    <w:rsid w:val="06B5504F"/>
    <w:rsid w:val="06B95EEF"/>
    <w:rsid w:val="06E50765"/>
    <w:rsid w:val="07431806"/>
    <w:rsid w:val="075835A9"/>
    <w:rsid w:val="07687D91"/>
    <w:rsid w:val="07AC4E74"/>
    <w:rsid w:val="07AF0273"/>
    <w:rsid w:val="07CF7950"/>
    <w:rsid w:val="08144D37"/>
    <w:rsid w:val="085B7181"/>
    <w:rsid w:val="088C01FF"/>
    <w:rsid w:val="08CD7415"/>
    <w:rsid w:val="08ED01EB"/>
    <w:rsid w:val="08FF3CBE"/>
    <w:rsid w:val="0947481E"/>
    <w:rsid w:val="094E062B"/>
    <w:rsid w:val="099E739A"/>
    <w:rsid w:val="09C26A3F"/>
    <w:rsid w:val="09F878F6"/>
    <w:rsid w:val="0A0278D0"/>
    <w:rsid w:val="0A3B18BD"/>
    <w:rsid w:val="0A67661A"/>
    <w:rsid w:val="0A992ABB"/>
    <w:rsid w:val="0AAE426A"/>
    <w:rsid w:val="0B012753"/>
    <w:rsid w:val="0B2C4D65"/>
    <w:rsid w:val="0B5761CE"/>
    <w:rsid w:val="0B851ED9"/>
    <w:rsid w:val="0BB53620"/>
    <w:rsid w:val="0BE13D0A"/>
    <w:rsid w:val="0BE36224"/>
    <w:rsid w:val="0BE963C1"/>
    <w:rsid w:val="0C2575EA"/>
    <w:rsid w:val="0C435913"/>
    <w:rsid w:val="0C4C3379"/>
    <w:rsid w:val="0C753044"/>
    <w:rsid w:val="0D0C5368"/>
    <w:rsid w:val="0D9175DD"/>
    <w:rsid w:val="0D9D1248"/>
    <w:rsid w:val="0DBD169F"/>
    <w:rsid w:val="0DD46C21"/>
    <w:rsid w:val="0DD874A5"/>
    <w:rsid w:val="0E853CC1"/>
    <w:rsid w:val="0EE72D42"/>
    <w:rsid w:val="0EF0412A"/>
    <w:rsid w:val="0F8B64B9"/>
    <w:rsid w:val="0FB2612D"/>
    <w:rsid w:val="0FDF3002"/>
    <w:rsid w:val="0FF57E5C"/>
    <w:rsid w:val="10113B57"/>
    <w:rsid w:val="10172B2C"/>
    <w:rsid w:val="104E5DEF"/>
    <w:rsid w:val="107B6B08"/>
    <w:rsid w:val="10933555"/>
    <w:rsid w:val="10976EDC"/>
    <w:rsid w:val="10A45B6D"/>
    <w:rsid w:val="10CF5714"/>
    <w:rsid w:val="110A6960"/>
    <w:rsid w:val="117B7ABA"/>
    <w:rsid w:val="11830064"/>
    <w:rsid w:val="118D0DFE"/>
    <w:rsid w:val="11B964E3"/>
    <w:rsid w:val="11D248BB"/>
    <w:rsid w:val="122840F2"/>
    <w:rsid w:val="122A10F1"/>
    <w:rsid w:val="123F0364"/>
    <w:rsid w:val="126D782B"/>
    <w:rsid w:val="133552E5"/>
    <w:rsid w:val="134F7707"/>
    <w:rsid w:val="13B90F01"/>
    <w:rsid w:val="13E71804"/>
    <w:rsid w:val="14061FE7"/>
    <w:rsid w:val="14153676"/>
    <w:rsid w:val="141E493B"/>
    <w:rsid w:val="1457075B"/>
    <w:rsid w:val="145E3A0B"/>
    <w:rsid w:val="146C3692"/>
    <w:rsid w:val="14B71B29"/>
    <w:rsid w:val="14C7133C"/>
    <w:rsid w:val="14EB29A8"/>
    <w:rsid w:val="15012AC6"/>
    <w:rsid w:val="15193323"/>
    <w:rsid w:val="15392267"/>
    <w:rsid w:val="157A5A41"/>
    <w:rsid w:val="15A20FDE"/>
    <w:rsid w:val="168041FA"/>
    <w:rsid w:val="16BC7409"/>
    <w:rsid w:val="172D6FCC"/>
    <w:rsid w:val="17453453"/>
    <w:rsid w:val="1753690E"/>
    <w:rsid w:val="178E3CCF"/>
    <w:rsid w:val="1798076A"/>
    <w:rsid w:val="17A218D6"/>
    <w:rsid w:val="17D4213B"/>
    <w:rsid w:val="1815170F"/>
    <w:rsid w:val="187E1E53"/>
    <w:rsid w:val="18D51AE7"/>
    <w:rsid w:val="191172F8"/>
    <w:rsid w:val="1929001F"/>
    <w:rsid w:val="19552A86"/>
    <w:rsid w:val="19820431"/>
    <w:rsid w:val="19C54237"/>
    <w:rsid w:val="19F12AE7"/>
    <w:rsid w:val="1A153E13"/>
    <w:rsid w:val="1A4D7EDE"/>
    <w:rsid w:val="1A747839"/>
    <w:rsid w:val="1AFB7639"/>
    <w:rsid w:val="1AFE7D17"/>
    <w:rsid w:val="1B163D44"/>
    <w:rsid w:val="1B1951BD"/>
    <w:rsid w:val="1B342B0D"/>
    <w:rsid w:val="1B480AF5"/>
    <w:rsid w:val="1B626858"/>
    <w:rsid w:val="1B7702C0"/>
    <w:rsid w:val="1B7E3E2D"/>
    <w:rsid w:val="1BC17E7D"/>
    <w:rsid w:val="1BCB3FFF"/>
    <w:rsid w:val="1C5A25DD"/>
    <w:rsid w:val="1C671E73"/>
    <w:rsid w:val="1C6C7D74"/>
    <w:rsid w:val="1C866119"/>
    <w:rsid w:val="1CE84455"/>
    <w:rsid w:val="1CEA7FDF"/>
    <w:rsid w:val="1D1C257B"/>
    <w:rsid w:val="1D213703"/>
    <w:rsid w:val="1D4723B2"/>
    <w:rsid w:val="1D605558"/>
    <w:rsid w:val="1D974698"/>
    <w:rsid w:val="1DE7283C"/>
    <w:rsid w:val="1DF765B5"/>
    <w:rsid w:val="1E54403B"/>
    <w:rsid w:val="1E7D0A2A"/>
    <w:rsid w:val="1EBA4615"/>
    <w:rsid w:val="1EC50A9C"/>
    <w:rsid w:val="1EC55431"/>
    <w:rsid w:val="1EDC3D8E"/>
    <w:rsid w:val="1F05061E"/>
    <w:rsid w:val="1F262316"/>
    <w:rsid w:val="1F4E2722"/>
    <w:rsid w:val="1F560232"/>
    <w:rsid w:val="1FE154ED"/>
    <w:rsid w:val="1FF91809"/>
    <w:rsid w:val="201E6218"/>
    <w:rsid w:val="202729A0"/>
    <w:rsid w:val="204A4B50"/>
    <w:rsid w:val="2060367C"/>
    <w:rsid w:val="206A7CB5"/>
    <w:rsid w:val="20783F77"/>
    <w:rsid w:val="209B64F8"/>
    <w:rsid w:val="20C3015D"/>
    <w:rsid w:val="21021C7A"/>
    <w:rsid w:val="212A1689"/>
    <w:rsid w:val="21A213EC"/>
    <w:rsid w:val="21D51BB9"/>
    <w:rsid w:val="22045469"/>
    <w:rsid w:val="22187FC5"/>
    <w:rsid w:val="221F4BFE"/>
    <w:rsid w:val="2225514C"/>
    <w:rsid w:val="223038D7"/>
    <w:rsid w:val="223164AE"/>
    <w:rsid w:val="22471D7E"/>
    <w:rsid w:val="22522B73"/>
    <w:rsid w:val="22771088"/>
    <w:rsid w:val="22DD6187"/>
    <w:rsid w:val="22E06B22"/>
    <w:rsid w:val="2312521F"/>
    <w:rsid w:val="232405A1"/>
    <w:rsid w:val="236810F0"/>
    <w:rsid w:val="237E5BE6"/>
    <w:rsid w:val="23D507D0"/>
    <w:rsid w:val="23DA0ACB"/>
    <w:rsid w:val="23E660AE"/>
    <w:rsid w:val="241A3EF1"/>
    <w:rsid w:val="242C1158"/>
    <w:rsid w:val="245B52C8"/>
    <w:rsid w:val="245E35BB"/>
    <w:rsid w:val="24971196"/>
    <w:rsid w:val="24A107EC"/>
    <w:rsid w:val="24EB490B"/>
    <w:rsid w:val="25162DF3"/>
    <w:rsid w:val="252D194F"/>
    <w:rsid w:val="253A7CF9"/>
    <w:rsid w:val="2564309B"/>
    <w:rsid w:val="25B83470"/>
    <w:rsid w:val="25D17822"/>
    <w:rsid w:val="26402E21"/>
    <w:rsid w:val="26485AAF"/>
    <w:rsid w:val="26531A24"/>
    <w:rsid w:val="26BA43A7"/>
    <w:rsid w:val="26D253BA"/>
    <w:rsid w:val="26DB1A33"/>
    <w:rsid w:val="26DF79A3"/>
    <w:rsid w:val="275724A9"/>
    <w:rsid w:val="27753D15"/>
    <w:rsid w:val="27815623"/>
    <w:rsid w:val="27940102"/>
    <w:rsid w:val="279829C6"/>
    <w:rsid w:val="27D8433C"/>
    <w:rsid w:val="27E650CC"/>
    <w:rsid w:val="28221731"/>
    <w:rsid w:val="28335381"/>
    <w:rsid w:val="28B85F84"/>
    <w:rsid w:val="28BF4B41"/>
    <w:rsid w:val="28D9782D"/>
    <w:rsid w:val="28E92D52"/>
    <w:rsid w:val="28F70835"/>
    <w:rsid w:val="29116444"/>
    <w:rsid w:val="294C5C18"/>
    <w:rsid w:val="29635782"/>
    <w:rsid w:val="29656CE2"/>
    <w:rsid w:val="2977755E"/>
    <w:rsid w:val="29AA0B9D"/>
    <w:rsid w:val="2A0F78BE"/>
    <w:rsid w:val="2A150FB7"/>
    <w:rsid w:val="2A151956"/>
    <w:rsid w:val="2A257F63"/>
    <w:rsid w:val="2A26607F"/>
    <w:rsid w:val="2A5576EF"/>
    <w:rsid w:val="2A7920AB"/>
    <w:rsid w:val="2B0F52EE"/>
    <w:rsid w:val="2B267961"/>
    <w:rsid w:val="2B435816"/>
    <w:rsid w:val="2B4A2151"/>
    <w:rsid w:val="2B654796"/>
    <w:rsid w:val="2BD32DFA"/>
    <w:rsid w:val="2BF8582A"/>
    <w:rsid w:val="2BFD30F9"/>
    <w:rsid w:val="2C0C316E"/>
    <w:rsid w:val="2C1D43C8"/>
    <w:rsid w:val="2C7D3D34"/>
    <w:rsid w:val="2C84241F"/>
    <w:rsid w:val="2CA43DC6"/>
    <w:rsid w:val="2CB64BCD"/>
    <w:rsid w:val="2CBD3671"/>
    <w:rsid w:val="2CBE463E"/>
    <w:rsid w:val="2CBF1D72"/>
    <w:rsid w:val="2CBF5910"/>
    <w:rsid w:val="2CC16CED"/>
    <w:rsid w:val="2CD86FF9"/>
    <w:rsid w:val="2D2707A8"/>
    <w:rsid w:val="2D293C70"/>
    <w:rsid w:val="2D352B43"/>
    <w:rsid w:val="2D431CB3"/>
    <w:rsid w:val="2D531CCC"/>
    <w:rsid w:val="2D554DC9"/>
    <w:rsid w:val="2D626BA9"/>
    <w:rsid w:val="2DE4152D"/>
    <w:rsid w:val="2E05773E"/>
    <w:rsid w:val="2E176FBF"/>
    <w:rsid w:val="2E9D1CCF"/>
    <w:rsid w:val="2EDF120F"/>
    <w:rsid w:val="2F3333B0"/>
    <w:rsid w:val="2F470ABC"/>
    <w:rsid w:val="2F617B5F"/>
    <w:rsid w:val="2F860C7E"/>
    <w:rsid w:val="2F8D2D99"/>
    <w:rsid w:val="2FC9663B"/>
    <w:rsid w:val="2FD67873"/>
    <w:rsid w:val="2FD82099"/>
    <w:rsid w:val="2FD9372E"/>
    <w:rsid w:val="2FE526F4"/>
    <w:rsid w:val="302C6242"/>
    <w:rsid w:val="30AB52AF"/>
    <w:rsid w:val="30AE6D8D"/>
    <w:rsid w:val="30DA5964"/>
    <w:rsid w:val="31035BD0"/>
    <w:rsid w:val="31070B7F"/>
    <w:rsid w:val="311D1EFC"/>
    <w:rsid w:val="312055B7"/>
    <w:rsid w:val="31272B68"/>
    <w:rsid w:val="31316833"/>
    <w:rsid w:val="31374CF1"/>
    <w:rsid w:val="317C5A55"/>
    <w:rsid w:val="31A16F16"/>
    <w:rsid w:val="31CC477D"/>
    <w:rsid w:val="31FE3CCB"/>
    <w:rsid w:val="32544980"/>
    <w:rsid w:val="325C3CA2"/>
    <w:rsid w:val="32C903A2"/>
    <w:rsid w:val="32E61BB8"/>
    <w:rsid w:val="32E638E9"/>
    <w:rsid w:val="32F15B89"/>
    <w:rsid w:val="33416048"/>
    <w:rsid w:val="334E6578"/>
    <w:rsid w:val="33536C42"/>
    <w:rsid w:val="3373282C"/>
    <w:rsid w:val="33AC21C9"/>
    <w:rsid w:val="33C9413E"/>
    <w:rsid w:val="33EF223D"/>
    <w:rsid w:val="34176683"/>
    <w:rsid w:val="34260579"/>
    <w:rsid w:val="34291543"/>
    <w:rsid w:val="344F276D"/>
    <w:rsid w:val="3487304A"/>
    <w:rsid w:val="34C97CBF"/>
    <w:rsid w:val="35257B99"/>
    <w:rsid w:val="355930D8"/>
    <w:rsid w:val="35B873E2"/>
    <w:rsid w:val="35C335D9"/>
    <w:rsid w:val="35F21049"/>
    <w:rsid w:val="36002DF9"/>
    <w:rsid w:val="36053244"/>
    <w:rsid w:val="363851B1"/>
    <w:rsid w:val="368806C6"/>
    <w:rsid w:val="369E4C93"/>
    <w:rsid w:val="36A926EB"/>
    <w:rsid w:val="36E206C0"/>
    <w:rsid w:val="36FD1257"/>
    <w:rsid w:val="37003F57"/>
    <w:rsid w:val="370A7088"/>
    <w:rsid w:val="37280956"/>
    <w:rsid w:val="373826A0"/>
    <w:rsid w:val="375964B7"/>
    <w:rsid w:val="377A6541"/>
    <w:rsid w:val="37A5280F"/>
    <w:rsid w:val="37D318B5"/>
    <w:rsid w:val="37DF128E"/>
    <w:rsid w:val="37E70747"/>
    <w:rsid w:val="3812628D"/>
    <w:rsid w:val="38450531"/>
    <w:rsid w:val="384B5D7B"/>
    <w:rsid w:val="38836747"/>
    <w:rsid w:val="388F06F9"/>
    <w:rsid w:val="38941D91"/>
    <w:rsid w:val="38A46E3B"/>
    <w:rsid w:val="38A721BB"/>
    <w:rsid w:val="38EE4BA5"/>
    <w:rsid w:val="3910712A"/>
    <w:rsid w:val="391B49E3"/>
    <w:rsid w:val="39436F0C"/>
    <w:rsid w:val="394B4731"/>
    <w:rsid w:val="394D694F"/>
    <w:rsid w:val="395F2B56"/>
    <w:rsid w:val="39AB4CF9"/>
    <w:rsid w:val="39D6799C"/>
    <w:rsid w:val="39E950B7"/>
    <w:rsid w:val="3A806F9A"/>
    <w:rsid w:val="3A9C0377"/>
    <w:rsid w:val="3AFE11F0"/>
    <w:rsid w:val="3B192078"/>
    <w:rsid w:val="3B4A4D13"/>
    <w:rsid w:val="3B4D6F8C"/>
    <w:rsid w:val="3B5D1479"/>
    <w:rsid w:val="3B9B09B0"/>
    <w:rsid w:val="3BC000FC"/>
    <w:rsid w:val="3BCF2A78"/>
    <w:rsid w:val="3BEC0BA4"/>
    <w:rsid w:val="3BECE841"/>
    <w:rsid w:val="3C0C151D"/>
    <w:rsid w:val="3C2D063E"/>
    <w:rsid w:val="3C4D4D86"/>
    <w:rsid w:val="3C82462A"/>
    <w:rsid w:val="3C835AA0"/>
    <w:rsid w:val="3CAF79B9"/>
    <w:rsid w:val="3CB809EF"/>
    <w:rsid w:val="3CE04016"/>
    <w:rsid w:val="3CE55282"/>
    <w:rsid w:val="3CEF7EA1"/>
    <w:rsid w:val="3D005181"/>
    <w:rsid w:val="3D01083A"/>
    <w:rsid w:val="3D103906"/>
    <w:rsid w:val="3D635428"/>
    <w:rsid w:val="3D7830F0"/>
    <w:rsid w:val="3DA11D32"/>
    <w:rsid w:val="3DBD51A0"/>
    <w:rsid w:val="3DD96AEC"/>
    <w:rsid w:val="3DE87C6E"/>
    <w:rsid w:val="3E160B14"/>
    <w:rsid w:val="3E461F72"/>
    <w:rsid w:val="3E533C94"/>
    <w:rsid w:val="3E623917"/>
    <w:rsid w:val="3EEF1974"/>
    <w:rsid w:val="3F0D06AA"/>
    <w:rsid w:val="3F175231"/>
    <w:rsid w:val="3F211350"/>
    <w:rsid w:val="3F3D47B5"/>
    <w:rsid w:val="3F550BE9"/>
    <w:rsid w:val="3F7669E0"/>
    <w:rsid w:val="3F7E226B"/>
    <w:rsid w:val="3FD507FB"/>
    <w:rsid w:val="3FE70278"/>
    <w:rsid w:val="3FF56F34"/>
    <w:rsid w:val="3FF7797D"/>
    <w:rsid w:val="40061FE5"/>
    <w:rsid w:val="405B75C0"/>
    <w:rsid w:val="407C1592"/>
    <w:rsid w:val="4092191E"/>
    <w:rsid w:val="4098055F"/>
    <w:rsid w:val="40B71BEB"/>
    <w:rsid w:val="40BF470B"/>
    <w:rsid w:val="40E22DF0"/>
    <w:rsid w:val="41120FD0"/>
    <w:rsid w:val="415554CB"/>
    <w:rsid w:val="4156174B"/>
    <w:rsid w:val="41735680"/>
    <w:rsid w:val="417C2926"/>
    <w:rsid w:val="41AE2C8F"/>
    <w:rsid w:val="41B84BDE"/>
    <w:rsid w:val="41C54250"/>
    <w:rsid w:val="41CF71B2"/>
    <w:rsid w:val="42576B93"/>
    <w:rsid w:val="426C4F6E"/>
    <w:rsid w:val="428158B2"/>
    <w:rsid w:val="42896512"/>
    <w:rsid w:val="42D75351"/>
    <w:rsid w:val="42EE7E24"/>
    <w:rsid w:val="431F2614"/>
    <w:rsid w:val="433D74DB"/>
    <w:rsid w:val="436152D8"/>
    <w:rsid w:val="43765920"/>
    <w:rsid w:val="439771C0"/>
    <w:rsid w:val="43A25F8D"/>
    <w:rsid w:val="43AD40CE"/>
    <w:rsid w:val="43BE1CCB"/>
    <w:rsid w:val="43C20908"/>
    <w:rsid w:val="43D851D0"/>
    <w:rsid w:val="43E9100E"/>
    <w:rsid w:val="440017AD"/>
    <w:rsid w:val="440A0449"/>
    <w:rsid w:val="4461209B"/>
    <w:rsid w:val="446A0107"/>
    <w:rsid w:val="448552B5"/>
    <w:rsid w:val="448C11F6"/>
    <w:rsid w:val="44BE0986"/>
    <w:rsid w:val="44C4709C"/>
    <w:rsid w:val="44DB4F37"/>
    <w:rsid w:val="45000FCD"/>
    <w:rsid w:val="45163BDA"/>
    <w:rsid w:val="45580A45"/>
    <w:rsid w:val="45C82368"/>
    <w:rsid w:val="46117369"/>
    <w:rsid w:val="464118EC"/>
    <w:rsid w:val="469D20E2"/>
    <w:rsid w:val="46BF4390"/>
    <w:rsid w:val="46FB060F"/>
    <w:rsid w:val="46FC0FF4"/>
    <w:rsid w:val="472E5221"/>
    <w:rsid w:val="4738274F"/>
    <w:rsid w:val="4749205B"/>
    <w:rsid w:val="47805586"/>
    <w:rsid w:val="47897706"/>
    <w:rsid w:val="479F42E5"/>
    <w:rsid w:val="4823335A"/>
    <w:rsid w:val="4888006D"/>
    <w:rsid w:val="48900AB0"/>
    <w:rsid w:val="48A24BA9"/>
    <w:rsid w:val="48C4270A"/>
    <w:rsid w:val="48DE6846"/>
    <w:rsid w:val="49694225"/>
    <w:rsid w:val="4A520247"/>
    <w:rsid w:val="4A7744E2"/>
    <w:rsid w:val="4A7B0C24"/>
    <w:rsid w:val="4A8326F3"/>
    <w:rsid w:val="4A9A5E97"/>
    <w:rsid w:val="4ACD7B80"/>
    <w:rsid w:val="4B170E03"/>
    <w:rsid w:val="4B1F1688"/>
    <w:rsid w:val="4B5E4BA7"/>
    <w:rsid w:val="4B68081D"/>
    <w:rsid w:val="4B714805"/>
    <w:rsid w:val="4BA5447A"/>
    <w:rsid w:val="4BCB767D"/>
    <w:rsid w:val="4BE66459"/>
    <w:rsid w:val="4BE8357C"/>
    <w:rsid w:val="4C043151"/>
    <w:rsid w:val="4C186D1E"/>
    <w:rsid w:val="4C220348"/>
    <w:rsid w:val="4C2C2E27"/>
    <w:rsid w:val="4C321898"/>
    <w:rsid w:val="4C382B98"/>
    <w:rsid w:val="4C4C6FD2"/>
    <w:rsid w:val="4C63702F"/>
    <w:rsid w:val="4C7806B7"/>
    <w:rsid w:val="4C9D7CD4"/>
    <w:rsid w:val="4CC41DE8"/>
    <w:rsid w:val="4CD94923"/>
    <w:rsid w:val="4CFD5DFC"/>
    <w:rsid w:val="4D8F5E69"/>
    <w:rsid w:val="4DA72E83"/>
    <w:rsid w:val="4DD1542A"/>
    <w:rsid w:val="4DE80056"/>
    <w:rsid w:val="4E102EE4"/>
    <w:rsid w:val="4E160CED"/>
    <w:rsid w:val="4E1815A0"/>
    <w:rsid w:val="4E4A171F"/>
    <w:rsid w:val="4E637055"/>
    <w:rsid w:val="4E7123D6"/>
    <w:rsid w:val="4E7E690D"/>
    <w:rsid w:val="4E981E00"/>
    <w:rsid w:val="4EDC290D"/>
    <w:rsid w:val="4F1C3BD2"/>
    <w:rsid w:val="4F56203F"/>
    <w:rsid w:val="4F583B66"/>
    <w:rsid w:val="4F5B42D3"/>
    <w:rsid w:val="4F865CE7"/>
    <w:rsid w:val="4F906BC7"/>
    <w:rsid w:val="4FAF6C5F"/>
    <w:rsid w:val="4FD522AD"/>
    <w:rsid w:val="4FF47007"/>
    <w:rsid w:val="50037B8F"/>
    <w:rsid w:val="502C3EF5"/>
    <w:rsid w:val="505B4413"/>
    <w:rsid w:val="506B0E6E"/>
    <w:rsid w:val="508D3CEE"/>
    <w:rsid w:val="50B50563"/>
    <w:rsid w:val="50D74E01"/>
    <w:rsid w:val="50F24669"/>
    <w:rsid w:val="50FA63B6"/>
    <w:rsid w:val="51072FCF"/>
    <w:rsid w:val="511D6F6B"/>
    <w:rsid w:val="514E7E63"/>
    <w:rsid w:val="517A62B5"/>
    <w:rsid w:val="519A7698"/>
    <w:rsid w:val="51BC58EF"/>
    <w:rsid w:val="51E53974"/>
    <w:rsid w:val="523C1B58"/>
    <w:rsid w:val="52460BF3"/>
    <w:rsid w:val="52596384"/>
    <w:rsid w:val="52615123"/>
    <w:rsid w:val="526E099D"/>
    <w:rsid w:val="528018CB"/>
    <w:rsid w:val="52CC2BDB"/>
    <w:rsid w:val="52F25AA6"/>
    <w:rsid w:val="53232BDC"/>
    <w:rsid w:val="53272232"/>
    <w:rsid w:val="53566988"/>
    <w:rsid w:val="535F1AC3"/>
    <w:rsid w:val="536D4088"/>
    <w:rsid w:val="538A50AB"/>
    <w:rsid w:val="53921D75"/>
    <w:rsid w:val="539D6098"/>
    <w:rsid w:val="53A20755"/>
    <w:rsid w:val="53A603BD"/>
    <w:rsid w:val="53D44CC8"/>
    <w:rsid w:val="53D849E5"/>
    <w:rsid w:val="53DF7548"/>
    <w:rsid w:val="53F47465"/>
    <w:rsid w:val="541143FF"/>
    <w:rsid w:val="541A6B16"/>
    <w:rsid w:val="54576D14"/>
    <w:rsid w:val="54A13CE3"/>
    <w:rsid w:val="54C25E7F"/>
    <w:rsid w:val="54DE2ABC"/>
    <w:rsid w:val="5528347D"/>
    <w:rsid w:val="55532A56"/>
    <w:rsid w:val="55816E72"/>
    <w:rsid w:val="55821789"/>
    <w:rsid w:val="55865503"/>
    <w:rsid w:val="55866323"/>
    <w:rsid w:val="558E3F74"/>
    <w:rsid w:val="563A7FDC"/>
    <w:rsid w:val="56497BDF"/>
    <w:rsid w:val="566650FD"/>
    <w:rsid w:val="568C0419"/>
    <w:rsid w:val="573369FC"/>
    <w:rsid w:val="573D5B75"/>
    <w:rsid w:val="574C167E"/>
    <w:rsid w:val="574E11FA"/>
    <w:rsid w:val="57CB767D"/>
    <w:rsid w:val="57F26C8D"/>
    <w:rsid w:val="57F93330"/>
    <w:rsid w:val="58013CD1"/>
    <w:rsid w:val="58052141"/>
    <w:rsid w:val="581E7579"/>
    <w:rsid w:val="58274352"/>
    <w:rsid w:val="583C7211"/>
    <w:rsid w:val="588F42C5"/>
    <w:rsid w:val="58A07E88"/>
    <w:rsid w:val="59195609"/>
    <w:rsid w:val="59312152"/>
    <w:rsid w:val="59506B7C"/>
    <w:rsid w:val="59671F7A"/>
    <w:rsid w:val="597E7B7B"/>
    <w:rsid w:val="59AD648E"/>
    <w:rsid w:val="59C04012"/>
    <w:rsid w:val="59C0774B"/>
    <w:rsid w:val="5A056C78"/>
    <w:rsid w:val="5A72427D"/>
    <w:rsid w:val="5A8A7162"/>
    <w:rsid w:val="5ADD7AAA"/>
    <w:rsid w:val="5AEB7F90"/>
    <w:rsid w:val="5B256C7D"/>
    <w:rsid w:val="5B2A1331"/>
    <w:rsid w:val="5B527749"/>
    <w:rsid w:val="5B530F82"/>
    <w:rsid w:val="5B923C47"/>
    <w:rsid w:val="5B963D4A"/>
    <w:rsid w:val="5BC82F19"/>
    <w:rsid w:val="5BFF6039"/>
    <w:rsid w:val="5C14212C"/>
    <w:rsid w:val="5C286E39"/>
    <w:rsid w:val="5C361788"/>
    <w:rsid w:val="5C5F2AAB"/>
    <w:rsid w:val="5C6619B4"/>
    <w:rsid w:val="5C7C7A0E"/>
    <w:rsid w:val="5CD3319F"/>
    <w:rsid w:val="5D0B6A30"/>
    <w:rsid w:val="5D201D78"/>
    <w:rsid w:val="5D256936"/>
    <w:rsid w:val="5D76A616"/>
    <w:rsid w:val="5D7F20B9"/>
    <w:rsid w:val="5D9B5D58"/>
    <w:rsid w:val="5DAC7D0E"/>
    <w:rsid w:val="5DBF4AA0"/>
    <w:rsid w:val="5E211C93"/>
    <w:rsid w:val="5E3212E9"/>
    <w:rsid w:val="5E471E34"/>
    <w:rsid w:val="5E5C471D"/>
    <w:rsid w:val="5E5D6E1D"/>
    <w:rsid w:val="5E6412B6"/>
    <w:rsid w:val="5E7A1FD6"/>
    <w:rsid w:val="5E7F6F32"/>
    <w:rsid w:val="5E8A3BCA"/>
    <w:rsid w:val="5EFB6769"/>
    <w:rsid w:val="5F295D08"/>
    <w:rsid w:val="5F2D79AE"/>
    <w:rsid w:val="5F470D5A"/>
    <w:rsid w:val="5F650C2E"/>
    <w:rsid w:val="5F6A6AA5"/>
    <w:rsid w:val="5F9C1687"/>
    <w:rsid w:val="5FD20F3E"/>
    <w:rsid w:val="5FE15D96"/>
    <w:rsid w:val="5FFE8511"/>
    <w:rsid w:val="5FFEACE2"/>
    <w:rsid w:val="600F59E7"/>
    <w:rsid w:val="60237780"/>
    <w:rsid w:val="604F7A0E"/>
    <w:rsid w:val="607D49CB"/>
    <w:rsid w:val="6094775E"/>
    <w:rsid w:val="60F46C1E"/>
    <w:rsid w:val="60F91B79"/>
    <w:rsid w:val="60FB1F10"/>
    <w:rsid w:val="61036693"/>
    <w:rsid w:val="61430FD4"/>
    <w:rsid w:val="618E2A48"/>
    <w:rsid w:val="61A71A8F"/>
    <w:rsid w:val="61CE5E1E"/>
    <w:rsid w:val="61D13E98"/>
    <w:rsid w:val="61E6537B"/>
    <w:rsid w:val="627800B1"/>
    <w:rsid w:val="630C23A7"/>
    <w:rsid w:val="631244E1"/>
    <w:rsid w:val="635D749A"/>
    <w:rsid w:val="635E336B"/>
    <w:rsid w:val="63AC7EF5"/>
    <w:rsid w:val="63D328D7"/>
    <w:rsid w:val="63FD3223"/>
    <w:rsid w:val="63FD6845"/>
    <w:rsid w:val="640D4823"/>
    <w:rsid w:val="643EE26D"/>
    <w:rsid w:val="64597A6E"/>
    <w:rsid w:val="645B40DE"/>
    <w:rsid w:val="647277C0"/>
    <w:rsid w:val="648134A5"/>
    <w:rsid w:val="649A2CD1"/>
    <w:rsid w:val="64B45847"/>
    <w:rsid w:val="64B46917"/>
    <w:rsid w:val="64B928D3"/>
    <w:rsid w:val="64F63B05"/>
    <w:rsid w:val="65214254"/>
    <w:rsid w:val="65605CA7"/>
    <w:rsid w:val="65A53E09"/>
    <w:rsid w:val="65C83994"/>
    <w:rsid w:val="65C90E0A"/>
    <w:rsid w:val="65CC5CB0"/>
    <w:rsid w:val="65F92E30"/>
    <w:rsid w:val="66077267"/>
    <w:rsid w:val="661361B6"/>
    <w:rsid w:val="66AE3F91"/>
    <w:rsid w:val="66B44B86"/>
    <w:rsid w:val="66C17B33"/>
    <w:rsid w:val="66DC1186"/>
    <w:rsid w:val="66F91AA8"/>
    <w:rsid w:val="67092E49"/>
    <w:rsid w:val="676322C3"/>
    <w:rsid w:val="68A41982"/>
    <w:rsid w:val="68B0342F"/>
    <w:rsid w:val="68E01E60"/>
    <w:rsid w:val="68E7297B"/>
    <w:rsid w:val="691405CD"/>
    <w:rsid w:val="691651C7"/>
    <w:rsid w:val="69310026"/>
    <w:rsid w:val="69711EF2"/>
    <w:rsid w:val="698C79A8"/>
    <w:rsid w:val="698F47E4"/>
    <w:rsid w:val="69C00A1D"/>
    <w:rsid w:val="69E00902"/>
    <w:rsid w:val="6A0C2C21"/>
    <w:rsid w:val="6A2C0791"/>
    <w:rsid w:val="6A3E34F8"/>
    <w:rsid w:val="6A3E4F29"/>
    <w:rsid w:val="6A565EE0"/>
    <w:rsid w:val="6A7C6FAD"/>
    <w:rsid w:val="6A8A105C"/>
    <w:rsid w:val="6AA87CFA"/>
    <w:rsid w:val="6AAE6E5B"/>
    <w:rsid w:val="6AD8627E"/>
    <w:rsid w:val="6AE2056D"/>
    <w:rsid w:val="6AEE41BC"/>
    <w:rsid w:val="6B2753EA"/>
    <w:rsid w:val="6B860049"/>
    <w:rsid w:val="6B891277"/>
    <w:rsid w:val="6B8A27EE"/>
    <w:rsid w:val="6BA06C8E"/>
    <w:rsid w:val="6BAF0678"/>
    <w:rsid w:val="6BF107F6"/>
    <w:rsid w:val="6C272724"/>
    <w:rsid w:val="6C49342B"/>
    <w:rsid w:val="6C550379"/>
    <w:rsid w:val="6C75018E"/>
    <w:rsid w:val="6C7C1878"/>
    <w:rsid w:val="6CA04ED1"/>
    <w:rsid w:val="6D1634DA"/>
    <w:rsid w:val="6D427ABA"/>
    <w:rsid w:val="6D6C306B"/>
    <w:rsid w:val="6D6D3205"/>
    <w:rsid w:val="6D8210E1"/>
    <w:rsid w:val="6DD40446"/>
    <w:rsid w:val="6E0C65A0"/>
    <w:rsid w:val="6E2F2A6D"/>
    <w:rsid w:val="6E2F6771"/>
    <w:rsid w:val="6E412B85"/>
    <w:rsid w:val="6F1128F3"/>
    <w:rsid w:val="6F1B7FF2"/>
    <w:rsid w:val="6F231525"/>
    <w:rsid w:val="6F257FE4"/>
    <w:rsid w:val="6F3B2321"/>
    <w:rsid w:val="6F62705F"/>
    <w:rsid w:val="6F9F106C"/>
    <w:rsid w:val="6FAF6C78"/>
    <w:rsid w:val="6FE3189F"/>
    <w:rsid w:val="6FF10598"/>
    <w:rsid w:val="70140012"/>
    <w:rsid w:val="70336FEF"/>
    <w:rsid w:val="70974410"/>
    <w:rsid w:val="70BF61E6"/>
    <w:rsid w:val="70E16EE8"/>
    <w:rsid w:val="71030AF6"/>
    <w:rsid w:val="71055BB2"/>
    <w:rsid w:val="71336284"/>
    <w:rsid w:val="7155607E"/>
    <w:rsid w:val="716805DA"/>
    <w:rsid w:val="719045BF"/>
    <w:rsid w:val="71BB25EE"/>
    <w:rsid w:val="71C425D8"/>
    <w:rsid w:val="72040950"/>
    <w:rsid w:val="7249173A"/>
    <w:rsid w:val="72687E4D"/>
    <w:rsid w:val="72914F77"/>
    <w:rsid w:val="72B376EB"/>
    <w:rsid w:val="72F1222E"/>
    <w:rsid w:val="72F766E3"/>
    <w:rsid w:val="73004C6D"/>
    <w:rsid w:val="7317C656"/>
    <w:rsid w:val="73294BB2"/>
    <w:rsid w:val="732D49E6"/>
    <w:rsid w:val="732E4CE5"/>
    <w:rsid w:val="73397E99"/>
    <w:rsid w:val="737860E0"/>
    <w:rsid w:val="73872203"/>
    <w:rsid w:val="73E23D7C"/>
    <w:rsid w:val="73E709B0"/>
    <w:rsid w:val="747062AE"/>
    <w:rsid w:val="74E95642"/>
    <w:rsid w:val="75004AA6"/>
    <w:rsid w:val="75347A2B"/>
    <w:rsid w:val="754918BD"/>
    <w:rsid w:val="755778ED"/>
    <w:rsid w:val="7561398F"/>
    <w:rsid w:val="756948C5"/>
    <w:rsid w:val="75AE5268"/>
    <w:rsid w:val="75CD04E9"/>
    <w:rsid w:val="76424943"/>
    <w:rsid w:val="76642789"/>
    <w:rsid w:val="76AE4613"/>
    <w:rsid w:val="779375E8"/>
    <w:rsid w:val="77B373ED"/>
    <w:rsid w:val="77BB1F01"/>
    <w:rsid w:val="77DE7ACE"/>
    <w:rsid w:val="77E20BA4"/>
    <w:rsid w:val="77E60DAF"/>
    <w:rsid w:val="77F123A7"/>
    <w:rsid w:val="77FD8BE9"/>
    <w:rsid w:val="78202F3D"/>
    <w:rsid w:val="784C17FA"/>
    <w:rsid w:val="789332A8"/>
    <w:rsid w:val="78B2508A"/>
    <w:rsid w:val="78B73999"/>
    <w:rsid w:val="78D11C77"/>
    <w:rsid w:val="792C0EC4"/>
    <w:rsid w:val="792F5005"/>
    <w:rsid w:val="79406EFB"/>
    <w:rsid w:val="79613C55"/>
    <w:rsid w:val="79A9BD3F"/>
    <w:rsid w:val="79BC7177"/>
    <w:rsid w:val="79C2458F"/>
    <w:rsid w:val="79F9124B"/>
    <w:rsid w:val="7A124D55"/>
    <w:rsid w:val="7A416800"/>
    <w:rsid w:val="7A4E3E24"/>
    <w:rsid w:val="7A4F2A50"/>
    <w:rsid w:val="7A5103A2"/>
    <w:rsid w:val="7A9D1E4F"/>
    <w:rsid w:val="7AEB7BD2"/>
    <w:rsid w:val="7B2F753A"/>
    <w:rsid w:val="7B5B2C92"/>
    <w:rsid w:val="7BC14C26"/>
    <w:rsid w:val="7BC53983"/>
    <w:rsid w:val="7BC729A7"/>
    <w:rsid w:val="7BE966B5"/>
    <w:rsid w:val="7BEF44E2"/>
    <w:rsid w:val="7BFFFDD0"/>
    <w:rsid w:val="7C092F82"/>
    <w:rsid w:val="7C3F508F"/>
    <w:rsid w:val="7C492099"/>
    <w:rsid w:val="7C965C5A"/>
    <w:rsid w:val="7CA60143"/>
    <w:rsid w:val="7CD8728F"/>
    <w:rsid w:val="7CDD1F30"/>
    <w:rsid w:val="7D116BAE"/>
    <w:rsid w:val="7D3B5976"/>
    <w:rsid w:val="7D5C0140"/>
    <w:rsid w:val="7D750379"/>
    <w:rsid w:val="7D78381D"/>
    <w:rsid w:val="7D7A5F86"/>
    <w:rsid w:val="7DB23C2A"/>
    <w:rsid w:val="7DEC4856"/>
    <w:rsid w:val="7DF77C53"/>
    <w:rsid w:val="7DF862BB"/>
    <w:rsid w:val="7E59048E"/>
    <w:rsid w:val="7E636591"/>
    <w:rsid w:val="7E736384"/>
    <w:rsid w:val="7ECA37D2"/>
    <w:rsid w:val="7ECB399D"/>
    <w:rsid w:val="7F013910"/>
    <w:rsid w:val="7F37BB4E"/>
    <w:rsid w:val="7F6032E8"/>
    <w:rsid w:val="7FC70690"/>
    <w:rsid w:val="7FCB1CE7"/>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FFDB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line="360" w:lineRule="auto"/>
      <w:jc w:val="center"/>
      <w:outlineLvl w:val="1"/>
    </w:pPr>
    <w:rPr>
      <w:rFonts w:ascii="Arial" w:hAnsi="Arial" w:eastAsia="仿宋"/>
      <w:b/>
      <w:sz w:val="44"/>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link w:val="22"/>
    <w:qFormat/>
    <w:uiPriority w:val="99"/>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30"/>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1"/>
    <w:autoRedefine/>
    <w:qFormat/>
    <w:uiPriority w:val="0"/>
    <w:pPr>
      <w:tabs>
        <w:tab w:val="center" w:pos="4153"/>
        <w:tab w:val="right" w:pos="8306"/>
      </w:tabs>
      <w:snapToGrid w:val="0"/>
      <w:jc w:val="center"/>
    </w:pPr>
    <w:rPr>
      <w:sz w:val="18"/>
      <w:szCs w:val="18"/>
    </w:rPr>
  </w:style>
  <w:style w:type="paragraph" w:styleId="11">
    <w:name w:val="Body Text First Indent"/>
    <w:basedOn w:val="6"/>
    <w:qFormat/>
    <w:uiPriority w:val="0"/>
    <w:pPr>
      <w:spacing w:after="0"/>
      <w:ind w:firstLine="200" w:firstLineChars="200"/>
    </w:pPr>
  </w:style>
  <w:style w:type="paragraph" w:styleId="12">
    <w:name w:val="Body Text First Indent 2"/>
    <w:basedOn w:val="7"/>
    <w:autoRedefine/>
    <w:qFormat/>
    <w:uiPriority w:val="0"/>
    <w:pPr>
      <w:ind w:firstLine="420" w:firstLineChars="200"/>
    </w:p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bCs/>
    </w:rPr>
  </w:style>
  <w:style w:type="character" w:styleId="17">
    <w:name w:val="annotation reference"/>
    <w:basedOn w:val="15"/>
    <w:qFormat/>
    <w:uiPriority w:val="99"/>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paragraph" w:customStyle="1" w:styleId="20">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1">
    <w:name w:val="页眉 Char"/>
    <w:basedOn w:val="15"/>
    <w:link w:val="10"/>
    <w:qFormat/>
    <w:uiPriority w:val="0"/>
    <w:rPr>
      <w:rFonts w:ascii="Times New Roman" w:hAnsi="Times New Roman" w:eastAsia="宋体" w:cs="Times New Roman"/>
      <w:kern w:val="2"/>
      <w:sz w:val="18"/>
      <w:szCs w:val="18"/>
    </w:rPr>
  </w:style>
  <w:style w:type="character" w:customStyle="1" w:styleId="22">
    <w:name w:val="批注文字 Char"/>
    <w:basedOn w:val="15"/>
    <w:link w:val="5"/>
    <w:qFormat/>
    <w:uiPriority w:val="99"/>
    <w:rPr>
      <w:rFonts w:ascii="Times New Roman" w:hAnsi="Times New Roman" w:eastAsia="宋体" w:cs="Times New Roman"/>
      <w:kern w:val="2"/>
      <w:sz w:val="21"/>
      <w:szCs w:val="24"/>
    </w:rPr>
  </w:style>
  <w:style w:type="paragraph" w:styleId="23">
    <w:name w:val="List Paragraph"/>
    <w:basedOn w:val="1"/>
    <w:unhideWhenUsed/>
    <w:qFormat/>
    <w:uiPriority w:val="99"/>
    <w:pPr>
      <w:ind w:firstLine="420" w:firstLineChars="200"/>
    </w:pPr>
  </w:style>
  <w:style w:type="character" w:customStyle="1" w:styleId="24">
    <w:name w:val="font61"/>
    <w:basedOn w:val="15"/>
    <w:qFormat/>
    <w:uiPriority w:val="0"/>
    <w:rPr>
      <w:rFonts w:hint="eastAsia" w:ascii="宋体" w:hAnsi="宋体" w:eastAsia="宋体" w:cs="宋体"/>
      <w:color w:val="000000"/>
      <w:sz w:val="18"/>
      <w:szCs w:val="18"/>
      <w:u w:val="none"/>
    </w:rPr>
  </w:style>
  <w:style w:type="character" w:customStyle="1" w:styleId="25">
    <w:name w:val="font81"/>
    <w:basedOn w:val="15"/>
    <w:qFormat/>
    <w:uiPriority w:val="0"/>
    <w:rPr>
      <w:rFonts w:hint="eastAsia" w:ascii="宋体" w:hAnsi="宋体" w:eastAsia="宋体" w:cs="宋体"/>
      <w:color w:val="000000"/>
      <w:sz w:val="16"/>
      <w:szCs w:val="16"/>
      <w:u w:val="none"/>
    </w:rPr>
  </w:style>
  <w:style w:type="character" w:customStyle="1" w:styleId="26">
    <w:name w:val="font31"/>
    <w:basedOn w:val="15"/>
    <w:qFormat/>
    <w:uiPriority w:val="0"/>
    <w:rPr>
      <w:rFonts w:hint="eastAsia" w:ascii="宋体" w:hAnsi="宋体" w:eastAsia="宋体" w:cs="宋体"/>
      <w:color w:val="FF0000"/>
      <w:sz w:val="16"/>
      <w:szCs w:val="16"/>
      <w:u w:val="none"/>
    </w:rPr>
  </w:style>
  <w:style w:type="character" w:customStyle="1" w:styleId="27">
    <w:name w:val="font71"/>
    <w:basedOn w:val="15"/>
    <w:qFormat/>
    <w:uiPriority w:val="0"/>
    <w:rPr>
      <w:rFonts w:hint="eastAsia" w:ascii="宋体" w:hAnsi="宋体" w:eastAsia="宋体" w:cs="宋体"/>
      <w:color w:val="FF0000"/>
      <w:sz w:val="18"/>
      <w:szCs w:val="18"/>
      <w:u w:val="none"/>
    </w:rPr>
  </w:style>
  <w:style w:type="character" w:customStyle="1" w:styleId="28">
    <w:name w:val="font41"/>
    <w:basedOn w:val="15"/>
    <w:qFormat/>
    <w:uiPriority w:val="0"/>
    <w:rPr>
      <w:rFonts w:hint="eastAsia" w:ascii="宋体" w:hAnsi="宋体" w:eastAsia="宋体" w:cs="宋体"/>
      <w:color w:val="000000"/>
      <w:sz w:val="18"/>
      <w:szCs w:val="18"/>
      <w:u w:val="none"/>
    </w:rPr>
  </w:style>
  <w:style w:type="character" w:customStyle="1" w:styleId="29">
    <w:name w:val="font21"/>
    <w:basedOn w:val="15"/>
    <w:qFormat/>
    <w:uiPriority w:val="0"/>
    <w:rPr>
      <w:rFonts w:hint="eastAsia" w:ascii="宋体" w:hAnsi="宋体" w:eastAsia="宋体" w:cs="宋体"/>
      <w:color w:val="000000"/>
      <w:sz w:val="16"/>
      <w:szCs w:val="16"/>
      <w:u w:val="none"/>
    </w:rPr>
  </w:style>
  <w:style w:type="character" w:customStyle="1" w:styleId="30">
    <w:name w:val="批注框文本 Char"/>
    <w:basedOn w:val="15"/>
    <w:link w:val="8"/>
    <w:qFormat/>
    <w:uiPriority w:val="0"/>
    <w:rPr>
      <w:kern w:val="2"/>
      <w:sz w:val="18"/>
      <w:szCs w:val="18"/>
    </w:rPr>
  </w:style>
  <w:style w:type="character" w:customStyle="1" w:styleId="31">
    <w:name w:val="font11"/>
    <w:basedOn w:val="15"/>
    <w:qFormat/>
    <w:uiPriority w:val="0"/>
    <w:rPr>
      <w:rFonts w:hint="eastAsia" w:ascii="黑体" w:hAnsi="宋体" w:eastAsia="黑体" w:cs="黑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9418</Words>
  <Characters>10052</Characters>
  <Lines>75</Lines>
  <Paragraphs>21</Paragraphs>
  <TotalTime>36</TotalTime>
  <ScaleCrop>false</ScaleCrop>
  <LinksUpToDate>false</LinksUpToDate>
  <CharactersWithSpaces>10138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九°</cp:lastModifiedBy>
  <dcterms:modified xsi:type="dcterms:W3CDTF">2024-10-17T12:04:55Z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0CA58AF8364FF55815C8066417B177EA</vt:lpwstr>
  </property>
</Properties>
</file>