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7CA475">
      <w:pPr>
        <w:spacing w:line="540" w:lineRule="exact"/>
        <w:jc w:val="center"/>
        <w:rPr>
          <w:rFonts w:eastAsia="华文中宋"/>
          <w:b/>
          <w:color w:val="auto"/>
          <w:kern w:val="0"/>
          <w:sz w:val="52"/>
          <w:szCs w:val="52"/>
          <w:highlight w:val="none"/>
        </w:rPr>
      </w:pPr>
    </w:p>
    <w:p w14:paraId="783127BE">
      <w:pPr>
        <w:spacing w:line="540" w:lineRule="exact"/>
        <w:rPr>
          <w:rFonts w:eastAsia="华文中宋"/>
          <w:b/>
          <w:color w:val="auto"/>
          <w:kern w:val="0"/>
          <w:sz w:val="52"/>
          <w:szCs w:val="52"/>
          <w:highlight w:val="none"/>
        </w:rPr>
      </w:pPr>
    </w:p>
    <w:p w14:paraId="2D09A0F5">
      <w:pPr>
        <w:spacing w:line="540" w:lineRule="exact"/>
        <w:jc w:val="center"/>
        <w:rPr>
          <w:rFonts w:eastAsia="华文中宋"/>
          <w:b/>
          <w:color w:val="auto"/>
          <w:kern w:val="0"/>
          <w:sz w:val="52"/>
          <w:szCs w:val="52"/>
          <w:highlight w:val="none"/>
        </w:rPr>
      </w:pPr>
    </w:p>
    <w:p w14:paraId="1BD91130">
      <w:pPr>
        <w:spacing w:line="540" w:lineRule="exact"/>
        <w:jc w:val="center"/>
        <w:rPr>
          <w:rFonts w:eastAsia="华文中宋"/>
          <w:b/>
          <w:color w:val="auto"/>
          <w:kern w:val="0"/>
          <w:sz w:val="52"/>
          <w:szCs w:val="52"/>
          <w:highlight w:val="none"/>
        </w:rPr>
      </w:pPr>
    </w:p>
    <w:p w14:paraId="614D9283">
      <w:pPr>
        <w:spacing w:line="540" w:lineRule="exact"/>
        <w:jc w:val="center"/>
        <w:rPr>
          <w:rFonts w:eastAsia="方正小标宋_GBK"/>
          <w:color w:val="auto"/>
          <w:kern w:val="0"/>
          <w:sz w:val="48"/>
          <w:szCs w:val="48"/>
          <w:highlight w:val="none"/>
        </w:rPr>
      </w:pPr>
      <w:r>
        <w:rPr>
          <w:rFonts w:hint="eastAsia" w:eastAsia="方正小标宋_GBK"/>
          <w:color w:val="auto"/>
          <w:kern w:val="0"/>
          <w:sz w:val="48"/>
          <w:szCs w:val="48"/>
          <w:highlight w:val="none"/>
          <w:lang w:eastAsia="zh-CN"/>
        </w:rPr>
        <w:t>自治区2023年第一批疫情防控补助资金（自治区本级医疗机构重症床位设备配置经费）</w:t>
      </w:r>
      <w:r>
        <w:rPr>
          <w:rFonts w:eastAsia="方正小标宋_GBK"/>
          <w:color w:val="auto"/>
          <w:kern w:val="0"/>
          <w:sz w:val="48"/>
          <w:szCs w:val="48"/>
          <w:highlight w:val="none"/>
        </w:rPr>
        <w:t>资金项目支出绩效评价报告</w:t>
      </w:r>
    </w:p>
    <w:p w14:paraId="606135AB">
      <w:pPr>
        <w:spacing w:line="540" w:lineRule="exact"/>
        <w:jc w:val="center"/>
        <w:rPr>
          <w:rFonts w:eastAsia="华文中宋"/>
          <w:b/>
          <w:color w:val="auto"/>
          <w:kern w:val="0"/>
          <w:sz w:val="52"/>
          <w:szCs w:val="52"/>
          <w:highlight w:val="none"/>
        </w:rPr>
      </w:pPr>
    </w:p>
    <w:p w14:paraId="27D03CE2">
      <w:pPr>
        <w:spacing w:line="540" w:lineRule="exact"/>
        <w:jc w:val="center"/>
        <w:rPr>
          <w:rFonts w:eastAsia="仿宋_GB2312"/>
          <w:color w:val="auto"/>
          <w:kern w:val="0"/>
          <w:sz w:val="36"/>
          <w:szCs w:val="36"/>
          <w:highlight w:val="none"/>
        </w:rPr>
      </w:pPr>
      <w:r>
        <w:rPr>
          <w:rFonts w:eastAsia="仿宋_GB2312"/>
          <w:color w:val="auto"/>
          <w:kern w:val="0"/>
          <w:sz w:val="36"/>
          <w:szCs w:val="36"/>
          <w:highlight w:val="none"/>
        </w:rPr>
        <w:t>（2023年度）</w:t>
      </w:r>
    </w:p>
    <w:p w14:paraId="37B0BFFC">
      <w:pPr>
        <w:spacing w:line="540" w:lineRule="exact"/>
        <w:jc w:val="center"/>
        <w:rPr>
          <w:rFonts w:eastAsia="仿宋_GB2312"/>
          <w:color w:val="auto"/>
          <w:kern w:val="0"/>
          <w:sz w:val="30"/>
          <w:szCs w:val="30"/>
          <w:highlight w:val="none"/>
        </w:rPr>
      </w:pPr>
    </w:p>
    <w:p w14:paraId="31CECA4E">
      <w:pPr>
        <w:spacing w:line="540" w:lineRule="exact"/>
        <w:jc w:val="center"/>
        <w:rPr>
          <w:rFonts w:eastAsia="仿宋_GB2312"/>
          <w:color w:val="auto"/>
          <w:kern w:val="0"/>
          <w:sz w:val="30"/>
          <w:szCs w:val="30"/>
          <w:highlight w:val="none"/>
        </w:rPr>
      </w:pPr>
    </w:p>
    <w:p w14:paraId="12724DA2">
      <w:pPr>
        <w:spacing w:line="540" w:lineRule="exact"/>
        <w:jc w:val="center"/>
        <w:rPr>
          <w:rFonts w:eastAsia="仿宋_GB2312"/>
          <w:color w:val="auto"/>
          <w:kern w:val="0"/>
          <w:sz w:val="30"/>
          <w:szCs w:val="30"/>
          <w:highlight w:val="none"/>
        </w:rPr>
      </w:pPr>
    </w:p>
    <w:p w14:paraId="4426237F">
      <w:pPr>
        <w:spacing w:line="540" w:lineRule="exact"/>
        <w:jc w:val="center"/>
        <w:rPr>
          <w:rFonts w:eastAsia="仿宋_GB2312"/>
          <w:color w:val="auto"/>
          <w:kern w:val="0"/>
          <w:sz w:val="30"/>
          <w:szCs w:val="30"/>
          <w:highlight w:val="none"/>
        </w:rPr>
      </w:pPr>
    </w:p>
    <w:p w14:paraId="79CD3444">
      <w:pPr>
        <w:spacing w:line="540" w:lineRule="exact"/>
        <w:rPr>
          <w:rFonts w:eastAsia="仿宋_GB2312"/>
          <w:color w:val="auto"/>
          <w:kern w:val="0"/>
          <w:sz w:val="30"/>
          <w:szCs w:val="30"/>
          <w:highlight w:val="none"/>
        </w:rPr>
      </w:pPr>
    </w:p>
    <w:p w14:paraId="09D32556">
      <w:pPr>
        <w:spacing w:line="700" w:lineRule="exact"/>
        <w:jc w:val="left"/>
        <w:rPr>
          <w:rFonts w:hint="eastAsia" w:eastAsia="仿宋_GB2312"/>
          <w:color w:val="auto"/>
          <w:kern w:val="0"/>
          <w:sz w:val="36"/>
          <w:szCs w:val="36"/>
          <w:highlight w:val="none"/>
        </w:rPr>
      </w:pPr>
      <w:r>
        <w:rPr>
          <w:rFonts w:eastAsia="仿宋_GB2312"/>
          <w:color w:val="auto"/>
          <w:kern w:val="0"/>
          <w:sz w:val="36"/>
          <w:szCs w:val="36"/>
          <w:highlight w:val="none"/>
        </w:rPr>
        <w:t>项目名称：</w:t>
      </w:r>
      <w:r>
        <w:rPr>
          <w:rFonts w:hint="eastAsia" w:eastAsia="仿宋_GB2312"/>
          <w:color w:val="auto"/>
          <w:kern w:val="0"/>
          <w:sz w:val="36"/>
          <w:szCs w:val="36"/>
          <w:highlight w:val="none"/>
        </w:rPr>
        <w:t>自治区2023年第一批疫情防控补助资金（自</w:t>
      </w:r>
    </w:p>
    <w:p w14:paraId="117C09C2">
      <w:pPr>
        <w:spacing w:line="700" w:lineRule="exact"/>
        <w:ind w:firstLine="1800" w:firstLineChars="500"/>
        <w:jc w:val="left"/>
        <w:rPr>
          <w:rFonts w:hint="eastAsia" w:eastAsia="仿宋_GB2312"/>
          <w:color w:val="auto"/>
          <w:kern w:val="0"/>
          <w:sz w:val="36"/>
          <w:szCs w:val="36"/>
          <w:highlight w:val="none"/>
        </w:rPr>
      </w:pPr>
      <w:r>
        <w:rPr>
          <w:rFonts w:hint="eastAsia" w:eastAsia="仿宋_GB2312"/>
          <w:color w:val="auto"/>
          <w:kern w:val="0"/>
          <w:sz w:val="36"/>
          <w:szCs w:val="36"/>
          <w:highlight w:val="none"/>
        </w:rPr>
        <w:t>治区本级医疗机构重症床位设备配置经费）</w:t>
      </w:r>
    </w:p>
    <w:p w14:paraId="24C9C1FB">
      <w:pPr>
        <w:spacing w:line="700" w:lineRule="exact"/>
        <w:jc w:val="left"/>
        <w:rPr>
          <w:rFonts w:hint="eastAsia" w:eastAsia="仿宋_GB2312"/>
          <w:color w:val="auto"/>
          <w:kern w:val="0"/>
          <w:sz w:val="36"/>
          <w:szCs w:val="36"/>
          <w:highlight w:val="none"/>
          <w:lang w:eastAsia="zh-CN"/>
        </w:rPr>
      </w:pPr>
      <w:r>
        <w:rPr>
          <w:rFonts w:eastAsia="仿宋_GB2312"/>
          <w:color w:val="auto"/>
          <w:kern w:val="0"/>
          <w:sz w:val="36"/>
          <w:szCs w:val="36"/>
          <w:highlight w:val="none"/>
        </w:rPr>
        <w:t>实施单位（公章）：</w:t>
      </w:r>
      <w:r>
        <w:rPr>
          <w:rFonts w:hint="eastAsia" w:eastAsia="仿宋_GB2312"/>
          <w:color w:val="auto"/>
          <w:kern w:val="0"/>
          <w:sz w:val="36"/>
          <w:szCs w:val="36"/>
          <w:highlight w:val="none"/>
          <w:lang w:eastAsia="zh-CN"/>
        </w:rPr>
        <w:t>新疆医科大学第一附属医院</w:t>
      </w:r>
    </w:p>
    <w:p w14:paraId="4AE836C2">
      <w:pPr>
        <w:spacing w:line="700" w:lineRule="exact"/>
        <w:jc w:val="left"/>
        <w:rPr>
          <w:rFonts w:hint="eastAsia" w:eastAsia="仿宋_GB2312"/>
          <w:color w:val="auto"/>
          <w:kern w:val="0"/>
          <w:sz w:val="36"/>
          <w:szCs w:val="36"/>
          <w:highlight w:val="none"/>
          <w:lang w:eastAsia="zh-CN"/>
        </w:rPr>
      </w:pPr>
      <w:r>
        <w:rPr>
          <w:rFonts w:eastAsia="仿宋_GB2312"/>
          <w:color w:val="auto"/>
          <w:kern w:val="0"/>
          <w:sz w:val="36"/>
          <w:szCs w:val="36"/>
          <w:highlight w:val="none"/>
        </w:rPr>
        <w:t>主管部门（公章）：</w:t>
      </w:r>
      <w:r>
        <w:rPr>
          <w:rFonts w:hint="eastAsia" w:eastAsia="仿宋_GB2312"/>
          <w:kern w:val="0"/>
          <w:sz w:val="36"/>
          <w:szCs w:val="36"/>
          <w:highlight w:val="none"/>
          <w:lang w:val="en-US" w:eastAsia="zh-CN"/>
        </w:rPr>
        <w:t>新疆维吾尔自治区卫生健康委员会</w:t>
      </w:r>
    </w:p>
    <w:p w14:paraId="7E497944">
      <w:pPr>
        <w:spacing w:line="700" w:lineRule="exact"/>
        <w:jc w:val="left"/>
        <w:rPr>
          <w:rFonts w:hint="eastAsia" w:eastAsia="仿宋_GB2312"/>
          <w:color w:val="auto"/>
          <w:kern w:val="0"/>
          <w:sz w:val="36"/>
          <w:szCs w:val="36"/>
          <w:highlight w:val="none"/>
          <w:lang w:eastAsia="zh-CN"/>
        </w:rPr>
      </w:pPr>
      <w:r>
        <w:rPr>
          <w:rFonts w:eastAsia="仿宋_GB2312"/>
          <w:color w:val="auto"/>
          <w:kern w:val="0"/>
          <w:sz w:val="36"/>
          <w:szCs w:val="36"/>
          <w:highlight w:val="none"/>
        </w:rPr>
        <w:t>项目负责人（签章）：</w:t>
      </w:r>
      <w:r>
        <w:rPr>
          <w:rFonts w:hint="eastAsia" w:eastAsia="仿宋_GB2312"/>
          <w:color w:val="auto"/>
          <w:kern w:val="0"/>
          <w:sz w:val="36"/>
          <w:szCs w:val="36"/>
          <w:highlight w:val="none"/>
          <w:lang w:eastAsia="zh-CN"/>
        </w:rPr>
        <w:t>陆晨</w:t>
      </w:r>
    </w:p>
    <w:p w14:paraId="3C398EBF">
      <w:pPr>
        <w:spacing w:line="700" w:lineRule="exact"/>
        <w:jc w:val="left"/>
        <w:rPr>
          <w:rFonts w:eastAsia="仿宋_GB2312"/>
          <w:color w:val="auto"/>
          <w:kern w:val="0"/>
          <w:sz w:val="36"/>
          <w:szCs w:val="36"/>
          <w:highlight w:val="none"/>
        </w:rPr>
      </w:pPr>
      <w:r>
        <w:rPr>
          <w:rFonts w:eastAsia="仿宋_GB2312"/>
          <w:color w:val="auto"/>
          <w:kern w:val="0"/>
          <w:sz w:val="36"/>
          <w:szCs w:val="36"/>
          <w:highlight w:val="none"/>
        </w:rPr>
        <w:t>填报时间：</w:t>
      </w:r>
      <w:r>
        <w:rPr>
          <w:rFonts w:hint="eastAsia" w:eastAsia="仿宋_GB2312"/>
          <w:color w:val="auto"/>
          <w:kern w:val="0"/>
          <w:sz w:val="36"/>
          <w:szCs w:val="36"/>
          <w:highlight w:val="none"/>
          <w:lang w:val="en-US" w:eastAsia="zh-CN"/>
        </w:rPr>
        <w:t>2024</w:t>
      </w:r>
      <w:r>
        <w:rPr>
          <w:rFonts w:eastAsia="仿宋_GB2312"/>
          <w:color w:val="auto"/>
          <w:kern w:val="0"/>
          <w:sz w:val="36"/>
          <w:szCs w:val="36"/>
          <w:highlight w:val="none"/>
        </w:rPr>
        <w:t>年</w:t>
      </w:r>
      <w:r>
        <w:rPr>
          <w:rFonts w:hint="eastAsia" w:eastAsia="仿宋_GB2312"/>
          <w:color w:val="auto"/>
          <w:kern w:val="0"/>
          <w:sz w:val="36"/>
          <w:szCs w:val="36"/>
          <w:highlight w:val="none"/>
          <w:lang w:val="en-US" w:eastAsia="zh-CN"/>
        </w:rPr>
        <w:t>3</w:t>
      </w:r>
      <w:r>
        <w:rPr>
          <w:rFonts w:eastAsia="仿宋_GB2312"/>
          <w:color w:val="auto"/>
          <w:kern w:val="0"/>
          <w:sz w:val="36"/>
          <w:szCs w:val="36"/>
          <w:highlight w:val="none"/>
        </w:rPr>
        <w:t>月</w:t>
      </w:r>
      <w:r>
        <w:rPr>
          <w:rFonts w:hint="eastAsia" w:eastAsia="仿宋_GB2312"/>
          <w:color w:val="auto"/>
          <w:kern w:val="0"/>
          <w:sz w:val="36"/>
          <w:szCs w:val="36"/>
          <w:highlight w:val="none"/>
          <w:lang w:val="en-US" w:eastAsia="zh-CN"/>
        </w:rPr>
        <w:t>7</w:t>
      </w:r>
      <w:r>
        <w:rPr>
          <w:rFonts w:eastAsia="仿宋_GB2312"/>
          <w:color w:val="auto"/>
          <w:kern w:val="0"/>
          <w:sz w:val="36"/>
          <w:szCs w:val="36"/>
          <w:highlight w:val="none"/>
        </w:rPr>
        <w:t>日</w:t>
      </w:r>
      <w:bookmarkStart w:id="5" w:name="_GoBack"/>
      <w:bookmarkEnd w:id="5"/>
    </w:p>
    <w:p w14:paraId="769BE17D">
      <w:pPr>
        <w:spacing w:line="540" w:lineRule="exact"/>
        <w:jc w:val="center"/>
        <w:rPr>
          <w:rFonts w:eastAsia="仿宋_GB2312"/>
          <w:color w:val="auto"/>
          <w:kern w:val="0"/>
          <w:sz w:val="30"/>
          <w:szCs w:val="30"/>
          <w:highlight w:val="none"/>
        </w:rPr>
      </w:pPr>
    </w:p>
    <w:p w14:paraId="0E4BD62C">
      <w:pPr>
        <w:spacing w:line="540" w:lineRule="exact"/>
        <w:rPr>
          <w:rStyle w:val="13"/>
          <w:rFonts w:eastAsia="黑体"/>
          <w:b w:val="0"/>
          <w:color w:val="auto"/>
          <w:spacing w:val="-4"/>
          <w:sz w:val="32"/>
          <w:szCs w:val="32"/>
          <w:highlight w:val="none"/>
        </w:rPr>
      </w:pPr>
    </w:p>
    <w:p w14:paraId="782BD5C4">
      <w:pPr>
        <w:spacing w:line="540" w:lineRule="exact"/>
        <w:ind w:firstLine="640"/>
        <w:rPr>
          <w:rStyle w:val="13"/>
          <w:rFonts w:eastAsia="黑体"/>
          <w:b w:val="0"/>
          <w:color w:val="auto"/>
          <w:spacing w:val="-4"/>
          <w:sz w:val="32"/>
          <w:szCs w:val="32"/>
          <w:highlight w:val="none"/>
        </w:rPr>
      </w:pPr>
    </w:p>
    <w:p w14:paraId="23599526">
      <w:pPr>
        <w:spacing w:line="540" w:lineRule="exact"/>
        <w:rPr>
          <w:rStyle w:val="13"/>
          <w:rFonts w:eastAsia="黑体"/>
          <w:b w:val="0"/>
          <w:color w:val="auto"/>
          <w:spacing w:val="-4"/>
          <w:sz w:val="32"/>
          <w:szCs w:val="32"/>
          <w:highlight w:val="none"/>
        </w:rPr>
      </w:pPr>
    </w:p>
    <w:p w14:paraId="49E28FED">
      <w:pPr>
        <w:spacing w:line="600" w:lineRule="exact"/>
        <w:jc w:val="center"/>
        <w:rPr>
          <w:rFonts w:eastAsia="黑体"/>
          <w:bCs/>
          <w:color w:val="auto"/>
          <w:sz w:val="32"/>
          <w:szCs w:val="32"/>
          <w:highlight w:val="none"/>
        </w:rPr>
      </w:pPr>
    </w:p>
    <w:p w14:paraId="22BE68C1">
      <w:pPr>
        <w:pStyle w:val="16"/>
        <w:bidi w:val="0"/>
        <w:rPr>
          <w:highlight w:val="none"/>
        </w:rPr>
      </w:pPr>
      <w:r>
        <w:rPr>
          <w:highlight w:val="none"/>
        </w:rPr>
        <w:t>一、基本情况</w:t>
      </w:r>
    </w:p>
    <w:p w14:paraId="05EA91DF">
      <w:pPr>
        <w:pStyle w:val="17"/>
        <w:bidi w:val="0"/>
        <w:rPr>
          <w:highlight w:val="none"/>
        </w:rPr>
      </w:pPr>
      <w:r>
        <w:rPr>
          <w:highlight w:val="none"/>
        </w:rPr>
        <w:t>（一）项目概况</w:t>
      </w:r>
    </w:p>
    <w:p w14:paraId="67A5A5EC">
      <w:pPr>
        <w:pStyle w:val="18"/>
        <w:bidi w:val="0"/>
        <w:rPr>
          <w:highlight w:val="none"/>
        </w:rPr>
      </w:pPr>
      <w:r>
        <w:rPr>
          <w:highlight w:val="none"/>
        </w:rPr>
        <w:t>1</w:t>
      </w:r>
      <w:r>
        <w:rPr>
          <w:rFonts w:hint="eastAsia"/>
          <w:highlight w:val="none"/>
          <w:lang w:val="en-US" w:eastAsia="zh-CN"/>
        </w:rPr>
        <w:t>.</w:t>
      </w:r>
      <w:r>
        <w:rPr>
          <w:highlight w:val="none"/>
        </w:rPr>
        <w:t>项目背景</w:t>
      </w:r>
    </w:p>
    <w:p w14:paraId="35B8BC9B">
      <w:pPr>
        <w:pStyle w:val="15"/>
        <w:bidi w:val="0"/>
        <w:rPr>
          <w:rFonts w:hint="eastAsia"/>
          <w:highlight w:val="none"/>
          <w:lang w:eastAsia="zh-CN"/>
        </w:rPr>
      </w:pPr>
      <w:r>
        <w:rPr>
          <w:rFonts w:hint="eastAsia"/>
          <w:highlight w:val="none"/>
          <w:lang w:eastAsia="zh-CN"/>
        </w:rPr>
        <w:t>根据自治区党委、人民政府关于扩展自治区本级医疗机构重症床位的工作部署，为提高自治区性肺炎救治定点医院重症救治能力，向医疗机构拨付重症救治设备购置资金和重症床位设备配置经费，用于扩充新冠病毒感染重症医疗资源。</w:t>
      </w:r>
    </w:p>
    <w:p w14:paraId="5465A5E9">
      <w:pPr>
        <w:pStyle w:val="18"/>
        <w:bidi w:val="0"/>
        <w:rPr>
          <w:rFonts w:ascii="Times New Roman" w:hAnsi="Times New Roman" w:cs="Times New Roman"/>
          <w:highlight w:val="none"/>
        </w:rPr>
      </w:pPr>
      <w:r>
        <w:rPr>
          <w:rFonts w:hint="eastAsia" w:ascii="Times New Roman" w:hAnsi="Times New Roman" w:cs="Times New Roman"/>
          <w:highlight w:val="none"/>
          <w:lang w:val="en-US" w:eastAsia="zh-CN"/>
        </w:rPr>
        <w:t>2.</w:t>
      </w:r>
      <w:r>
        <w:rPr>
          <w:rFonts w:ascii="Times New Roman" w:hAnsi="Times New Roman" w:cs="Times New Roman"/>
          <w:highlight w:val="none"/>
        </w:rPr>
        <w:t>项目主要内容：</w:t>
      </w:r>
    </w:p>
    <w:p w14:paraId="5C963B4D">
      <w:pPr>
        <w:pStyle w:val="15"/>
        <w:bidi w:val="0"/>
        <w:rPr>
          <w:rFonts w:hint="eastAsia"/>
          <w:highlight w:val="none"/>
          <w:lang w:val="en-US" w:eastAsia="zh-CN"/>
        </w:rPr>
      </w:pPr>
      <w:r>
        <w:rPr>
          <w:rFonts w:hint="eastAsia"/>
          <w:highlight w:val="none"/>
          <w:lang w:val="en-US" w:eastAsia="zh-CN"/>
        </w:rPr>
        <w:t>自治区2023年第一批疫情防控补助资金（自治区本级医疗机构重症床位设备配置经费）项目用于医疗机构重症救治设备购置和重症床位设备配置，资金来源于财政拨款。</w:t>
      </w:r>
    </w:p>
    <w:p w14:paraId="42B96BBC">
      <w:pPr>
        <w:pStyle w:val="15"/>
        <w:bidi w:val="0"/>
        <w:rPr>
          <w:rFonts w:hint="eastAsia"/>
          <w:highlight w:val="none"/>
          <w:lang w:val="en-US" w:eastAsia="zh-CN"/>
        </w:rPr>
      </w:pPr>
      <w:r>
        <w:rPr>
          <w:rFonts w:hint="eastAsia"/>
          <w:highlight w:val="none"/>
          <w:lang w:val="en-US" w:eastAsia="zh-CN"/>
        </w:rPr>
        <w:t>项目实施情况：项目目前已经完成实际设立的目标，配置ICU床位数量及配备设备50床（套），设备质量、验收合格率达到100%。项目在实施过程中严格按照目标设立的各阶段任务进行开展工作，在前期立项过程中严格把质量关，建立安全防护机制，保证项目实施各阶段安全顺利进行。</w:t>
      </w:r>
    </w:p>
    <w:p w14:paraId="52F300BB">
      <w:pPr>
        <w:pStyle w:val="15"/>
        <w:bidi w:val="0"/>
        <w:rPr>
          <w:rFonts w:eastAsia="仿宋_GB2312"/>
          <w:color w:val="auto"/>
          <w:szCs w:val="32"/>
          <w:highlight w:val="none"/>
        </w:rPr>
      </w:pPr>
      <w:r>
        <w:rPr>
          <w:rFonts w:hint="eastAsia"/>
          <w:highlight w:val="none"/>
          <w:lang w:val="en-US" w:eastAsia="zh-CN"/>
        </w:rPr>
        <w:t>本项目总投资2820万元，其中：财政拨款资金2820万元。项目实际支出2820万元，支出率为100%。</w:t>
      </w:r>
    </w:p>
    <w:p w14:paraId="20076A49">
      <w:pPr>
        <w:pStyle w:val="18"/>
        <w:bidi w:val="0"/>
        <w:rPr>
          <w:highlight w:val="none"/>
        </w:rPr>
      </w:pPr>
      <w:r>
        <w:rPr>
          <w:highlight w:val="none"/>
        </w:rPr>
        <w:t>3</w:t>
      </w:r>
      <w:r>
        <w:rPr>
          <w:rFonts w:hint="eastAsia"/>
          <w:highlight w:val="none"/>
          <w:lang w:val="en-US" w:eastAsia="zh-CN"/>
        </w:rPr>
        <w:t>.</w:t>
      </w:r>
      <w:r>
        <w:rPr>
          <w:highlight w:val="none"/>
        </w:rPr>
        <w:t>资金投入和使用情况</w:t>
      </w:r>
    </w:p>
    <w:p w14:paraId="5F97E7BD">
      <w:pPr>
        <w:pStyle w:val="15"/>
        <w:bidi w:val="0"/>
        <w:rPr>
          <w:b/>
          <w:bCs/>
          <w:highlight w:val="none"/>
        </w:rPr>
      </w:pPr>
      <w:r>
        <w:rPr>
          <w:b/>
          <w:bCs/>
          <w:highlight w:val="none"/>
        </w:rPr>
        <w:t>（1）</w:t>
      </w:r>
      <w:r>
        <w:rPr>
          <w:rFonts w:hint="eastAsia"/>
          <w:b/>
          <w:bCs/>
          <w:highlight w:val="none"/>
        </w:rPr>
        <w:t>资金投入情况</w:t>
      </w:r>
    </w:p>
    <w:p w14:paraId="6025FCD4">
      <w:pPr>
        <w:pStyle w:val="15"/>
        <w:bidi w:val="0"/>
        <w:rPr>
          <w:rFonts w:hint="eastAsia"/>
          <w:highlight w:val="none"/>
        </w:rPr>
      </w:pPr>
      <w:r>
        <w:rPr>
          <w:rFonts w:hint="eastAsia"/>
          <w:highlight w:val="none"/>
        </w:rPr>
        <w:t>该项目年初预算数</w:t>
      </w:r>
      <w:r>
        <w:rPr>
          <w:rFonts w:hint="eastAsia"/>
          <w:highlight w:val="none"/>
          <w:lang w:val="en-US" w:eastAsia="zh-CN"/>
        </w:rPr>
        <w:t>2820</w:t>
      </w:r>
      <w:r>
        <w:rPr>
          <w:rFonts w:hint="eastAsia"/>
          <w:highlight w:val="none"/>
        </w:rPr>
        <w:t>万元，全年预算数</w:t>
      </w:r>
      <w:r>
        <w:rPr>
          <w:rFonts w:hint="eastAsia"/>
          <w:highlight w:val="none"/>
          <w:lang w:val="en-US" w:eastAsia="zh-CN"/>
        </w:rPr>
        <w:t>2820</w:t>
      </w:r>
      <w:r>
        <w:rPr>
          <w:rFonts w:hint="eastAsia"/>
          <w:highlight w:val="none"/>
        </w:rPr>
        <w:t>万元，实际总投入</w:t>
      </w:r>
      <w:r>
        <w:rPr>
          <w:rFonts w:hint="eastAsia"/>
          <w:highlight w:val="none"/>
          <w:lang w:val="en-US" w:eastAsia="zh-CN"/>
        </w:rPr>
        <w:t>2820</w:t>
      </w:r>
      <w:r>
        <w:rPr>
          <w:rFonts w:hint="eastAsia"/>
          <w:highlight w:val="none"/>
        </w:rPr>
        <w:t>万元，该项目资金已全部落实到位，资金来源为财政拨款。</w:t>
      </w:r>
    </w:p>
    <w:p w14:paraId="42228B64">
      <w:pPr>
        <w:pStyle w:val="15"/>
        <w:bidi w:val="0"/>
        <w:rPr>
          <w:b/>
          <w:bCs/>
          <w:highlight w:val="none"/>
        </w:rPr>
      </w:pPr>
      <w:r>
        <w:rPr>
          <w:b/>
          <w:bCs/>
          <w:highlight w:val="none"/>
        </w:rPr>
        <w:t>（2）</w:t>
      </w:r>
      <w:bookmarkStart w:id="0" w:name="page10"/>
      <w:bookmarkEnd w:id="0"/>
      <w:r>
        <w:rPr>
          <w:rFonts w:hint="eastAsia"/>
          <w:b/>
          <w:bCs/>
          <w:highlight w:val="none"/>
        </w:rPr>
        <w:t>资金使用情况</w:t>
      </w:r>
    </w:p>
    <w:p w14:paraId="7813210B">
      <w:pPr>
        <w:pStyle w:val="15"/>
        <w:bidi w:val="0"/>
        <w:rPr>
          <w:highlight w:val="none"/>
        </w:rPr>
      </w:pPr>
      <w:r>
        <w:rPr>
          <w:rFonts w:hint="eastAsia"/>
          <w:highlight w:val="none"/>
        </w:rPr>
        <w:t>该项目年初预算数</w:t>
      </w:r>
      <w:r>
        <w:rPr>
          <w:rFonts w:hint="eastAsia"/>
          <w:highlight w:val="none"/>
          <w:lang w:val="en-US" w:eastAsia="zh-CN"/>
        </w:rPr>
        <w:t>2820</w:t>
      </w:r>
      <w:r>
        <w:rPr>
          <w:rFonts w:hint="eastAsia"/>
          <w:highlight w:val="none"/>
        </w:rPr>
        <w:t>万元，全年预算数</w:t>
      </w:r>
      <w:r>
        <w:rPr>
          <w:rFonts w:hint="eastAsia"/>
          <w:highlight w:val="none"/>
          <w:lang w:val="en-US" w:eastAsia="zh-CN"/>
        </w:rPr>
        <w:t>2820</w:t>
      </w:r>
      <w:r>
        <w:rPr>
          <w:rFonts w:hint="eastAsia"/>
          <w:highlight w:val="none"/>
        </w:rPr>
        <w:t>万元，全年执行数</w:t>
      </w:r>
      <w:r>
        <w:rPr>
          <w:rFonts w:hint="eastAsia"/>
          <w:highlight w:val="none"/>
          <w:lang w:val="en-US" w:eastAsia="zh-CN"/>
        </w:rPr>
        <w:t>2820</w:t>
      </w:r>
      <w:r>
        <w:rPr>
          <w:rFonts w:hint="eastAsia"/>
          <w:highlight w:val="none"/>
        </w:rPr>
        <w:t>万元，预算执行率为</w:t>
      </w:r>
      <w:r>
        <w:rPr>
          <w:rFonts w:hint="eastAsia"/>
          <w:highlight w:val="none"/>
          <w:lang w:val="en-US" w:eastAsia="zh-CN"/>
        </w:rPr>
        <w:t>100</w:t>
      </w:r>
      <w:r>
        <w:rPr>
          <w:rFonts w:hint="eastAsia"/>
          <w:highlight w:val="none"/>
        </w:rPr>
        <w:t>%，主要用于：</w:t>
      </w:r>
      <w:r>
        <w:rPr>
          <w:highlight w:val="none"/>
        </w:rPr>
        <w:t>支付项目实施进程中的各项费用。</w:t>
      </w:r>
    </w:p>
    <w:p w14:paraId="525B52B2">
      <w:pPr>
        <w:pStyle w:val="17"/>
        <w:bidi w:val="0"/>
        <w:rPr>
          <w:highlight w:val="none"/>
        </w:rPr>
      </w:pPr>
      <w:r>
        <w:rPr>
          <w:highlight w:val="none"/>
        </w:rPr>
        <w:t>（二）项目绩效目标</w:t>
      </w:r>
    </w:p>
    <w:p w14:paraId="3937CDAB">
      <w:pPr>
        <w:pStyle w:val="18"/>
        <w:bidi w:val="0"/>
        <w:rPr>
          <w:highlight w:val="none"/>
        </w:rPr>
      </w:pPr>
      <w:r>
        <w:rPr>
          <w:highlight w:val="none"/>
        </w:rPr>
        <w:t>1</w:t>
      </w:r>
      <w:r>
        <w:rPr>
          <w:rFonts w:hint="eastAsia"/>
          <w:highlight w:val="none"/>
          <w:lang w:val="en-US" w:eastAsia="zh-CN"/>
        </w:rPr>
        <w:t>.</w:t>
      </w:r>
      <w:r>
        <w:rPr>
          <w:highlight w:val="none"/>
        </w:rPr>
        <w:t>总体目标</w:t>
      </w:r>
    </w:p>
    <w:p w14:paraId="5D05D2F2">
      <w:pPr>
        <w:pStyle w:val="15"/>
        <w:bidi w:val="0"/>
        <w:rPr>
          <w:highlight w:val="none"/>
          <w:lang w:val="en-US" w:eastAsia="zh-CN"/>
        </w:rPr>
      </w:pPr>
      <w:r>
        <w:rPr>
          <w:rFonts w:hint="eastAsia"/>
          <w:highlight w:val="none"/>
          <w:lang w:val="en-US" w:eastAsia="zh-CN"/>
        </w:rPr>
        <w:t>按照国务院联防联控机制《关于印发做好医疗资源准备工作方案的通知》（联防联控机制综发〔2022〕112号）要求和新冠病毒感染疫情乙类乙管工作要求，有效提升医疗机构重症救治资源储备，扩充ICU和可转化ICU床位数，补齐设备缺口，有效开展疫情期间重症病例救治工作。</w:t>
      </w:r>
    </w:p>
    <w:p w14:paraId="5273A5AA">
      <w:pPr>
        <w:pStyle w:val="18"/>
        <w:bidi w:val="0"/>
        <w:rPr>
          <w:highlight w:val="none"/>
        </w:rPr>
      </w:pPr>
      <w:r>
        <w:rPr>
          <w:highlight w:val="none"/>
        </w:rPr>
        <w:t>2</w:t>
      </w:r>
      <w:r>
        <w:rPr>
          <w:rFonts w:hint="eastAsia"/>
          <w:highlight w:val="none"/>
          <w:lang w:val="en-US" w:eastAsia="zh-CN"/>
        </w:rPr>
        <w:t>.</w:t>
      </w:r>
      <w:r>
        <w:rPr>
          <w:highlight w:val="none"/>
        </w:rPr>
        <w:t>阶段性目标</w:t>
      </w:r>
    </w:p>
    <w:p w14:paraId="7BEEC4E0">
      <w:pPr>
        <w:pStyle w:val="15"/>
        <w:bidi w:val="0"/>
        <w:rPr>
          <w:highlight w:val="none"/>
        </w:rPr>
      </w:pPr>
      <w:r>
        <w:rPr>
          <w:highlight w:val="none"/>
        </w:rPr>
        <w:t>（1）前期准备：通过制定项目实施方案，经项目负责人审核通过后，有序开展后续工作。</w:t>
      </w:r>
    </w:p>
    <w:p w14:paraId="23497845">
      <w:pPr>
        <w:pStyle w:val="15"/>
        <w:bidi w:val="0"/>
        <w:rPr>
          <w:highlight w:val="none"/>
        </w:rPr>
      </w:pPr>
      <w:r>
        <w:rPr>
          <w:highlight w:val="none"/>
        </w:rPr>
        <w:t>（2）组织实施：资金一到位，立即根据项目要求实施项目。项目责任人按照项目实施方案要求逐一进行项目部署安排，提高项目质量及</w:t>
      </w:r>
      <w:r>
        <w:rPr>
          <w:rFonts w:hint="eastAsia"/>
          <w:highlight w:val="none"/>
          <w:lang w:eastAsia="zh-CN"/>
        </w:rPr>
        <w:t>效率</w:t>
      </w:r>
      <w:r>
        <w:rPr>
          <w:highlight w:val="none"/>
        </w:rPr>
        <w:t>。</w:t>
      </w:r>
    </w:p>
    <w:p w14:paraId="508C04FB">
      <w:pPr>
        <w:pStyle w:val="16"/>
        <w:bidi w:val="0"/>
        <w:rPr>
          <w:highlight w:val="none"/>
        </w:rPr>
      </w:pPr>
      <w:r>
        <w:rPr>
          <w:highlight w:val="none"/>
        </w:rPr>
        <w:t>二、绩效评价工作开展情况</w:t>
      </w:r>
    </w:p>
    <w:p w14:paraId="36FCEF06">
      <w:pPr>
        <w:pStyle w:val="17"/>
        <w:bidi w:val="0"/>
        <w:rPr>
          <w:highlight w:val="none"/>
        </w:rPr>
      </w:pPr>
      <w:r>
        <w:rPr>
          <w:highlight w:val="none"/>
        </w:rPr>
        <w:t>（一）绩效评价目的、对象和范围</w:t>
      </w:r>
    </w:p>
    <w:p w14:paraId="0198B2C5">
      <w:pPr>
        <w:pStyle w:val="18"/>
        <w:bidi w:val="0"/>
        <w:rPr>
          <w:highlight w:val="none"/>
        </w:rPr>
      </w:pPr>
      <w:r>
        <w:rPr>
          <w:highlight w:val="none"/>
        </w:rPr>
        <w:t>1</w:t>
      </w:r>
      <w:r>
        <w:rPr>
          <w:rFonts w:hint="eastAsia"/>
          <w:highlight w:val="none"/>
          <w:lang w:val="en-US" w:eastAsia="zh-CN"/>
        </w:rPr>
        <w:t>.</w:t>
      </w:r>
      <w:r>
        <w:rPr>
          <w:highlight w:val="none"/>
        </w:rPr>
        <w:t>绩效评价的目的</w:t>
      </w:r>
    </w:p>
    <w:p w14:paraId="280D2109">
      <w:pPr>
        <w:pStyle w:val="15"/>
        <w:bidi w:val="0"/>
        <w:rPr>
          <w:highlight w:val="none"/>
        </w:rPr>
      </w:pPr>
      <w:r>
        <w:rPr>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0D775E50">
      <w:pPr>
        <w:pStyle w:val="15"/>
        <w:bidi w:val="0"/>
        <w:rPr>
          <w:highlight w:val="none"/>
        </w:rPr>
      </w:pPr>
      <w:r>
        <w:rPr>
          <w:rFonts w:hint="eastAsia"/>
          <w:highlight w:val="none"/>
          <w:lang w:eastAsia="zh-CN"/>
        </w:rPr>
        <w:t>（</w:t>
      </w:r>
      <w:r>
        <w:rPr>
          <w:rFonts w:hint="eastAsia"/>
          <w:highlight w:val="none"/>
          <w:lang w:val="en-US" w:eastAsia="zh-CN"/>
        </w:rPr>
        <w:t>1</w:t>
      </w:r>
      <w:r>
        <w:rPr>
          <w:rFonts w:hint="eastAsia"/>
          <w:highlight w:val="none"/>
          <w:lang w:eastAsia="zh-CN"/>
        </w:rPr>
        <w:t>）</w:t>
      </w:r>
      <w:r>
        <w:rPr>
          <w:highlight w:val="none"/>
        </w:rPr>
        <w:t>项目在实施前向项目负责人提供财政支出绩效方面的资金管理信息，促进项目支出严格按照资金管理规定进行。</w:t>
      </w:r>
    </w:p>
    <w:p w14:paraId="66A21EB8">
      <w:pPr>
        <w:pStyle w:val="15"/>
        <w:bidi w:val="0"/>
        <w:rPr>
          <w:highlight w:val="none"/>
        </w:rPr>
      </w:pPr>
      <w:r>
        <w:rPr>
          <w:highlight w:val="none"/>
        </w:rPr>
        <w:t>（2）项目绩效管</w:t>
      </w:r>
      <w:r>
        <w:rPr>
          <w:rFonts w:hint="eastAsia"/>
          <w:highlight w:val="none"/>
          <w:lang w:eastAsia="zh-CN"/>
        </w:rPr>
        <w:t>理为</w:t>
      </w:r>
      <w:r>
        <w:rPr>
          <w:highlight w:val="none"/>
        </w:rPr>
        <w:t>财政支出运行提供及时、有效的信息。</w:t>
      </w:r>
    </w:p>
    <w:p w14:paraId="21C7DA1D">
      <w:pPr>
        <w:pStyle w:val="15"/>
        <w:bidi w:val="0"/>
        <w:rPr>
          <w:highlight w:val="none"/>
        </w:rPr>
      </w:pPr>
      <w:r>
        <w:rPr>
          <w:highlight w:val="none"/>
        </w:rPr>
        <w:t>综合来看，通过开展有效的财政支出绩效评价管理，</w:t>
      </w:r>
      <w:r>
        <w:rPr>
          <w:rFonts w:hint="eastAsia"/>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highlight w:val="none"/>
        </w:rPr>
        <w:t>改进预算管理、控制节约成本，</w:t>
      </w:r>
      <w:r>
        <w:rPr>
          <w:rFonts w:hint="eastAsia"/>
          <w:highlight w:val="none"/>
        </w:rPr>
        <w:t>优化资源配置、</w:t>
      </w:r>
      <w:r>
        <w:rPr>
          <w:highlight w:val="none"/>
        </w:rPr>
        <w:t>提高预算资金使用效益的目的。</w:t>
      </w:r>
    </w:p>
    <w:p w14:paraId="62469503">
      <w:pPr>
        <w:pStyle w:val="18"/>
        <w:bidi w:val="0"/>
        <w:rPr>
          <w:highlight w:val="none"/>
        </w:rPr>
      </w:pPr>
      <w:r>
        <w:rPr>
          <w:highlight w:val="none"/>
        </w:rPr>
        <w:t>2</w:t>
      </w:r>
      <w:r>
        <w:rPr>
          <w:rFonts w:hint="eastAsia"/>
          <w:highlight w:val="none"/>
          <w:lang w:val="en-US" w:eastAsia="zh-CN"/>
        </w:rPr>
        <w:t>.</w:t>
      </w:r>
      <w:r>
        <w:rPr>
          <w:highlight w:val="none"/>
        </w:rPr>
        <w:t>绩效评价的对象</w:t>
      </w:r>
    </w:p>
    <w:p w14:paraId="69FE068C">
      <w:pPr>
        <w:pStyle w:val="15"/>
        <w:bidi w:val="0"/>
        <w:rPr>
          <w:highlight w:val="none"/>
        </w:rPr>
      </w:pPr>
      <w:r>
        <w:rPr>
          <w:rFonts w:hint="eastAsia"/>
          <w:highlight w:val="none"/>
        </w:rPr>
        <w:t>自治区2023年第一批疫情防控补助资金（自治区本级医疗机构重症床位设备配置经费）</w:t>
      </w:r>
      <w:r>
        <w:rPr>
          <w:rFonts w:hint="eastAsia"/>
          <w:highlight w:val="none"/>
          <w:lang w:eastAsia="zh-CN"/>
        </w:rPr>
        <w:t>项目</w:t>
      </w:r>
      <w:r>
        <w:rPr>
          <w:rFonts w:hint="eastAsia"/>
          <w:highlight w:val="none"/>
        </w:rPr>
        <w:t>所包含的全部项目建设内容。</w:t>
      </w:r>
    </w:p>
    <w:p w14:paraId="612DDB80">
      <w:pPr>
        <w:pStyle w:val="18"/>
        <w:bidi w:val="0"/>
        <w:rPr>
          <w:highlight w:val="none"/>
        </w:rPr>
      </w:pPr>
      <w:r>
        <w:rPr>
          <w:highlight w:val="none"/>
        </w:rPr>
        <w:t>3</w:t>
      </w:r>
      <w:r>
        <w:rPr>
          <w:rFonts w:hint="eastAsia"/>
          <w:highlight w:val="none"/>
          <w:lang w:val="en-US" w:eastAsia="zh-CN"/>
        </w:rPr>
        <w:t>.</w:t>
      </w:r>
      <w:r>
        <w:rPr>
          <w:highlight w:val="none"/>
        </w:rPr>
        <w:t>绩效评价的范围</w:t>
      </w:r>
    </w:p>
    <w:p w14:paraId="047BFF89">
      <w:pPr>
        <w:pStyle w:val="15"/>
        <w:bidi w:val="0"/>
        <w:rPr>
          <w:highlight w:val="none"/>
        </w:rPr>
      </w:pPr>
      <w:r>
        <w:rPr>
          <w:rFonts w:hint="eastAsia"/>
          <w:highlight w:val="none"/>
        </w:rPr>
        <w:t>本次评价从项目决策（包括项目立项、绩效目标、资金投入）、项目过程（包括资金管理、组织实施）、项目产出（包括项目产出数量、产出质量、产出时效和产出成本）、项目效益（满意度）四个维度对自治区2023年第一批疫情防控补助资金（自治区本级医疗机构重症床位设备配置经费）项目进行评价，评价核心为项目资金的支出完成情况和效果。</w:t>
      </w:r>
    </w:p>
    <w:p w14:paraId="270B9E33">
      <w:pPr>
        <w:pStyle w:val="17"/>
        <w:bidi w:val="0"/>
        <w:rPr>
          <w:highlight w:val="none"/>
        </w:rPr>
      </w:pPr>
      <w:r>
        <w:rPr>
          <w:highlight w:val="none"/>
        </w:rPr>
        <w:t>（二）绩效评价原则、评价指标体系（详情见表1）、评价方法、评价标准。</w:t>
      </w:r>
    </w:p>
    <w:p w14:paraId="0A4EAAAF">
      <w:pPr>
        <w:pStyle w:val="18"/>
        <w:bidi w:val="0"/>
        <w:rPr>
          <w:highlight w:val="none"/>
        </w:rPr>
      </w:pPr>
      <w:r>
        <w:rPr>
          <w:highlight w:val="none"/>
        </w:rPr>
        <w:t>1</w:t>
      </w:r>
      <w:r>
        <w:rPr>
          <w:rFonts w:hint="eastAsia"/>
          <w:highlight w:val="none"/>
          <w:lang w:val="en-US" w:eastAsia="zh-CN"/>
        </w:rPr>
        <w:t>.</w:t>
      </w:r>
      <w:r>
        <w:rPr>
          <w:highlight w:val="none"/>
        </w:rPr>
        <w:t>绩效评价原则</w:t>
      </w:r>
    </w:p>
    <w:p w14:paraId="76369CFC">
      <w:pPr>
        <w:pStyle w:val="15"/>
        <w:bidi w:val="0"/>
        <w:rPr>
          <w:highlight w:val="none"/>
        </w:rPr>
      </w:pPr>
      <w:r>
        <w:rPr>
          <w:highlight w:val="none"/>
        </w:rPr>
        <w:t>本次项目绩效评价遵循以下基本原则：</w:t>
      </w:r>
    </w:p>
    <w:p w14:paraId="2D8FBA7C">
      <w:pPr>
        <w:pStyle w:val="15"/>
        <w:bidi w:val="0"/>
        <w:rPr>
          <w:highlight w:val="none"/>
        </w:rPr>
      </w:pPr>
      <w:r>
        <w:rPr>
          <w:highlight w:val="none"/>
        </w:rPr>
        <w:t>（1）科学公正。绩效评价应当运用科学合理的方法，按照规范的程序，对项目绩效进行客观、公正</w:t>
      </w:r>
      <w:r>
        <w:rPr>
          <w:rFonts w:hint="eastAsia"/>
          <w:highlight w:val="none"/>
          <w:lang w:eastAsia="zh-CN"/>
        </w:rPr>
        <w:t>的</w:t>
      </w:r>
      <w:r>
        <w:rPr>
          <w:highlight w:val="none"/>
        </w:rPr>
        <w:t>反映。</w:t>
      </w:r>
    </w:p>
    <w:p w14:paraId="1EDBE8B0">
      <w:pPr>
        <w:pStyle w:val="15"/>
        <w:bidi w:val="0"/>
        <w:rPr>
          <w:highlight w:val="none"/>
        </w:rPr>
      </w:pPr>
      <w:r>
        <w:rPr>
          <w:highlight w:val="none"/>
        </w:rPr>
        <w:t>（2）统筹兼顾。单位自评、部门评价和财政评价应职责明确，各有侧重，相互衔接。单位自评应由项目单位自主实施，即“谁支出、谁自评”。部门评价和财政评价应在单位自评的基础上开展。</w:t>
      </w:r>
    </w:p>
    <w:p w14:paraId="5128083D">
      <w:pPr>
        <w:pStyle w:val="15"/>
        <w:bidi w:val="0"/>
        <w:rPr>
          <w:highlight w:val="none"/>
        </w:rPr>
      </w:pPr>
      <w:r>
        <w:rPr>
          <w:highlight w:val="none"/>
        </w:rPr>
        <w:t>（3）激励约束。绩效评价结果应与预算安排、政策调整、改进管理实质性挂钩，体现奖优罚劣和激励相容导向，有效要安排、低效要压减、无效要问责。</w:t>
      </w:r>
    </w:p>
    <w:p w14:paraId="3728611C">
      <w:pPr>
        <w:pStyle w:val="15"/>
        <w:bidi w:val="0"/>
        <w:rPr>
          <w:highlight w:val="none"/>
        </w:rPr>
      </w:pPr>
      <w:r>
        <w:rPr>
          <w:highlight w:val="none"/>
        </w:rPr>
        <w:t>（4）公开透明。绩效评价结果应依法依规公开，并自觉接受社会监督。</w:t>
      </w:r>
    </w:p>
    <w:p w14:paraId="01640A44">
      <w:pPr>
        <w:pStyle w:val="18"/>
        <w:bidi w:val="0"/>
        <w:rPr>
          <w:highlight w:val="none"/>
        </w:rPr>
      </w:pPr>
      <w:r>
        <w:rPr>
          <w:highlight w:val="none"/>
        </w:rPr>
        <w:t>2</w:t>
      </w:r>
      <w:r>
        <w:rPr>
          <w:rFonts w:hint="eastAsia"/>
          <w:highlight w:val="none"/>
          <w:lang w:val="en-US" w:eastAsia="zh-CN"/>
        </w:rPr>
        <w:t>.</w:t>
      </w:r>
      <w:r>
        <w:rPr>
          <w:highlight w:val="none"/>
        </w:rPr>
        <w:t>评价指标体系</w:t>
      </w:r>
    </w:p>
    <w:p w14:paraId="77F9069F">
      <w:pPr>
        <w:pStyle w:val="15"/>
        <w:bidi w:val="0"/>
        <w:rPr>
          <w:highlight w:val="none"/>
        </w:rPr>
      </w:pPr>
      <w:r>
        <w:rPr>
          <w:highlight w:val="none"/>
        </w:rPr>
        <w:t>绩效评价框架是开展绩效评价的核心。绩效评价框架包括评价准则、关键评价问题、评价指标、数据来源、数据收集方法等。指标体系建立过程如下：</w:t>
      </w:r>
    </w:p>
    <w:p w14:paraId="1579176F">
      <w:pPr>
        <w:pStyle w:val="15"/>
        <w:bidi w:val="0"/>
        <w:rPr>
          <w:b/>
          <w:bCs/>
          <w:highlight w:val="none"/>
        </w:rPr>
      </w:pPr>
      <w:r>
        <w:rPr>
          <w:b/>
          <w:bCs/>
          <w:highlight w:val="none"/>
        </w:rPr>
        <w:t>（1）确定评价指标</w:t>
      </w:r>
    </w:p>
    <w:p w14:paraId="69F13455">
      <w:pPr>
        <w:pStyle w:val="15"/>
        <w:bidi w:val="0"/>
        <w:rPr>
          <w:highlight w:val="none"/>
        </w:rPr>
      </w:pPr>
      <w:r>
        <w:rPr>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AAB0CD2">
      <w:pPr>
        <w:pStyle w:val="15"/>
        <w:bidi w:val="0"/>
        <w:rPr>
          <w:b/>
          <w:bCs/>
          <w:highlight w:val="none"/>
        </w:rPr>
      </w:pPr>
      <w:r>
        <w:rPr>
          <w:b/>
          <w:bCs/>
          <w:highlight w:val="none"/>
        </w:rPr>
        <w:t>（2）确定权重</w:t>
      </w:r>
    </w:p>
    <w:p w14:paraId="6A512018">
      <w:pPr>
        <w:pStyle w:val="15"/>
        <w:bidi w:val="0"/>
        <w:rPr>
          <w:highlight w:val="none"/>
        </w:rPr>
      </w:pPr>
      <w:r>
        <w:rPr>
          <w:highlight w:val="none"/>
        </w:rPr>
        <w:t>确定各个指标相对于项目总体绩效的权重分值。在绩效评价指标体系中，项目决策权重为20分，项目过程权重为20分，项目产出权重为40分，项目效益权重为20分。</w:t>
      </w:r>
    </w:p>
    <w:p w14:paraId="3B5EE209">
      <w:pPr>
        <w:pStyle w:val="15"/>
        <w:bidi w:val="0"/>
        <w:rPr>
          <w:b/>
          <w:bCs/>
          <w:highlight w:val="none"/>
        </w:rPr>
      </w:pPr>
      <w:r>
        <w:rPr>
          <w:b/>
          <w:bCs/>
          <w:highlight w:val="none"/>
        </w:rPr>
        <w:t>（3）确定指标标准值</w:t>
      </w:r>
    </w:p>
    <w:p w14:paraId="51EA61F5">
      <w:pPr>
        <w:pStyle w:val="15"/>
        <w:bidi w:val="0"/>
        <w:rPr>
          <w:highlight w:val="none"/>
        </w:rPr>
      </w:pPr>
      <w:r>
        <w:rPr>
          <w:highlight w:val="none"/>
        </w:rPr>
        <w:t>指标标准值是绩效评价指标的尺度，既要反映同类项目的先进水平，又要符合项目的实际绩效水平。具体采用计划标准等确定此次绩效评价指标标准值。</w:t>
      </w:r>
    </w:p>
    <w:p w14:paraId="4B3B86A9">
      <w:pPr>
        <w:pStyle w:val="15"/>
        <w:bidi w:val="0"/>
        <w:rPr>
          <w:highlight w:val="none"/>
        </w:rPr>
      </w:pPr>
      <w:r>
        <w:rPr>
          <w:highlight w:val="none"/>
        </w:rPr>
        <w:t>绩效评价总分值100分，根据综合评分结果，评价计分90分</w:t>
      </w:r>
      <w:r>
        <w:rPr>
          <w:rFonts w:hint="eastAsia"/>
          <w:highlight w:val="none"/>
          <w:lang w:eastAsia="zh-CN"/>
        </w:rPr>
        <w:t>—</w:t>
      </w:r>
      <w:r>
        <w:rPr>
          <w:highlight w:val="none"/>
        </w:rPr>
        <w:t>100分（含90分）对应的评分结果级别为优，80</w:t>
      </w:r>
      <w:r>
        <w:rPr>
          <w:rFonts w:hint="eastAsia"/>
          <w:highlight w:val="none"/>
          <w:lang w:eastAsia="zh-CN"/>
        </w:rPr>
        <w:t>—</w:t>
      </w:r>
      <w:r>
        <w:rPr>
          <w:highlight w:val="none"/>
        </w:rPr>
        <w:t>90分（含80分）对应的评分结果级别为良，60</w:t>
      </w:r>
      <w:r>
        <w:rPr>
          <w:rFonts w:hint="eastAsia"/>
          <w:highlight w:val="none"/>
          <w:lang w:eastAsia="zh-CN"/>
        </w:rPr>
        <w:t>—</w:t>
      </w:r>
      <w:r>
        <w:rPr>
          <w:highlight w:val="none"/>
        </w:rPr>
        <w:t>80分（含60分）对应的评分结果级别为中，60分以下对应的评分结果级别为差。</w:t>
      </w:r>
    </w:p>
    <w:p w14:paraId="4461862F">
      <w:pPr>
        <w:pStyle w:val="15"/>
        <w:bidi w:val="0"/>
        <w:rPr>
          <w:highlight w:val="none"/>
        </w:rPr>
      </w:pPr>
      <w:r>
        <w:rPr>
          <w:highlight w:val="none"/>
        </w:rPr>
        <w:t>具体评价指标体系详情见附件1</w:t>
      </w:r>
    </w:p>
    <w:p w14:paraId="3F5C854B">
      <w:pPr>
        <w:pStyle w:val="18"/>
        <w:bidi w:val="0"/>
        <w:rPr>
          <w:highlight w:val="none"/>
        </w:rPr>
      </w:pPr>
      <w:r>
        <w:rPr>
          <w:highlight w:val="none"/>
        </w:rPr>
        <w:t>3</w:t>
      </w:r>
      <w:r>
        <w:rPr>
          <w:rFonts w:hint="eastAsia"/>
          <w:highlight w:val="none"/>
          <w:lang w:val="en-US" w:eastAsia="zh-CN"/>
        </w:rPr>
        <w:t>.</w:t>
      </w:r>
      <w:r>
        <w:rPr>
          <w:highlight w:val="none"/>
        </w:rPr>
        <w:t>绩效评价方法</w:t>
      </w:r>
    </w:p>
    <w:p w14:paraId="6185FE0D">
      <w:pPr>
        <w:pStyle w:val="15"/>
        <w:bidi w:val="0"/>
        <w:rPr>
          <w:highlight w:val="none"/>
        </w:rPr>
      </w:pPr>
      <w:r>
        <w:rPr>
          <w:highlight w:val="none"/>
        </w:rPr>
        <w:t>绩效评价从项目决策、项目过程、项目产出、项目效益四个维度进行评价。评价对象为项目目标实施情况，评价核心为资金的支出完成情况和项目的产出效益。</w:t>
      </w:r>
    </w:p>
    <w:p w14:paraId="3588B22F">
      <w:pPr>
        <w:pStyle w:val="15"/>
        <w:bidi w:val="0"/>
        <w:rPr>
          <w:highlight w:val="none"/>
        </w:rPr>
      </w:pPr>
      <w:r>
        <w:rPr>
          <w:highlight w:val="none"/>
        </w:rPr>
        <w:t>本次评价指标中，既有定性指标又有定量指标，各类指标因考核内容不同和客观标准不同存在较大差异，因此核定具体指标时采用了不同方法，具体评价方法如下：</w:t>
      </w:r>
    </w:p>
    <w:p w14:paraId="2E80759A">
      <w:pPr>
        <w:pStyle w:val="15"/>
        <w:bidi w:val="0"/>
        <w:rPr>
          <w:b/>
          <w:bCs/>
          <w:highlight w:val="none"/>
        </w:rPr>
      </w:pPr>
      <w:r>
        <w:rPr>
          <w:b/>
          <w:bCs/>
          <w:highlight w:val="none"/>
        </w:rPr>
        <w:t>（1）比较法</w:t>
      </w:r>
    </w:p>
    <w:p w14:paraId="0A4B2D60">
      <w:pPr>
        <w:pStyle w:val="15"/>
        <w:bidi w:val="0"/>
        <w:rPr>
          <w:highlight w:val="none"/>
        </w:rPr>
      </w:pPr>
      <w:r>
        <w:rPr>
          <w:highlight w:val="none"/>
        </w:rPr>
        <w:t>通过对绩效目标与实施效果、历史与当期情况，综合分析绩效目标实现程度。对项目最终验收情况与年度绩效目标对比、预算资金执行情况等相关因素进行比较。</w:t>
      </w:r>
    </w:p>
    <w:p w14:paraId="0A2598F9">
      <w:pPr>
        <w:pStyle w:val="15"/>
        <w:bidi w:val="0"/>
        <w:rPr>
          <w:b/>
          <w:bCs/>
          <w:highlight w:val="none"/>
        </w:rPr>
      </w:pPr>
      <w:r>
        <w:rPr>
          <w:b/>
          <w:bCs/>
          <w:highlight w:val="none"/>
        </w:rPr>
        <w:t>（2）因素分析法</w:t>
      </w:r>
    </w:p>
    <w:p w14:paraId="58DE03F9">
      <w:pPr>
        <w:pStyle w:val="15"/>
        <w:bidi w:val="0"/>
        <w:rPr>
          <w:highlight w:val="none"/>
        </w:rPr>
      </w:pPr>
      <w:r>
        <w:rPr>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760F7013">
      <w:pPr>
        <w:pStyle w:val="18"/>
        <w:bidi w:val="0"/>
        <w:rPr>
          <w:highlight w:val="none"/>
        </w:rPr>
      </w:pPr>
      <w:r>
        <w:rPr>
          <w:highlight w:val="none"/>
        </w:rPr>
        <w:t>4</w:t>
      </w:r>
      <w:r>
        <w:rPr>
          <w:rFonts w:hint="eastAsia"/>
          <w:highlight w:val="none"/>
          <w:lang w:val="en-US" w:eastAsia="zh-CN"/>
        </w:rPr>
        <w:t>.</w:t>
      </w:r>
      <w:r>
        <w:rPr>
          <w:highlight w:val="none"/>
        </w:rPr>
        <w:t>评价标准</w:t>
      </w:r>
    </w:p>
    <w:p w14:paraId="51D6FCF6">
      <w:pPr>
        <w:pStyle w:val="15"/>
        <w:bidi w:val="0"/>
        <w:rPr>
          <w:rFonts w:hint="eastAsia"/>
          <w:highlight w:val="none"/>
          <w:lang w:eastAsia="zh-CN"/>
        </w:rPr>
      </w:pPr>
      <w:r>
        <w:rPr>
          <w:rFonts w:hint="eastAsia"/>
          <w:highlight w:val="none"/>
        </w:rPr>
        <w:t>绩效评价标准通常包括计划标准、行业标准、历史标准等，用于对绩效指标完成情况进行比较、分析、评价。本次评价主要采用了</w:t>
      </w:r>
      <w:r>
        <w:rPr>
          <w:rFonts w:hint="eastAsia"/>
          <w:highlight w:val="none"/>
          <w:lang w:eastAsia="zh-CN"/>
        </w:rPr>
        <w:t>计划标准。</w:t>
      </w:r>
    </w:p>
    <w:p w14:paraId="10DCA949">
      <w:pPr>
        <w:pStyle w:val="15"/>
        <w:bidi w:val="0"/>
        <w:rPr>
          <w:highlight w:val="none"/>
        </w:rPr>
      </w:pPr>
      <w:bookmarkStart w:id="1" w:name="_Toc31464"/>
      <w:bookmarkStart w:id="2" w:name="_Toc17882"/>
      <w:r>
        <w:rPr>
          <w:rFonts w:hint="eastAsia"/>
          <w:highlight w:val="none"/>
        </w:rPr>
        <w:t>计划标准：指以预先制定的目标、计划、预算、定额等作为评价标准。</w:t>
      </w:r>
      <w:bookmarkEnd w:id="1"/>
      <w:bookmarkEnd w:id="2"/>
    </w:p>
    <w:p w14:paraId="0443FB16">
      <w:pPr>
        <w:pStyle w:val="17"/>
        <w:bidi w:val="0"/>
        <w:rPr>
          <w:highlight w:val="none"/>
        </w:rPr>
      </w:pPr>
      <w:r>
        <w:rPr>
          <w:rFonts w:hint="eastAsia"/>
          <w:highlight w:val="none"/>
          <w:lang w:eastAsia="zh-CN"/>
        </w:rPr>
        <w:t>（</w:t>
      </w:r>
      <w:r>
        <w:rPr>
          <w:rFonts w:hint="eastAsia"/>
          <w:highlight w:val="none"/>
          <w:lang w:val="en-US" w:eastAsia="zh-CN"/>
        </w:rPr>
        <w:t>三</w:t>
      </w:r>
      <w:r>
        <w:rPr>
          <w:rFonts w:hint="eastAsia"/>
          <w:highlight w:val="none"/>
          <w:lang w:eastAsia="zh-CN"/>
        </w:rPr>
        <w:t>）</w:t>
      </w:r>
      <w:r>
        <w:rPr>
          <w:rFonts w:hint="eastAsia"/>
          <w:highlight w:val="none"/>
        </w:rPr>
        <w:t>绩效评价工作过程</w:t>
      </w:r>
    </w:p>
    <w:p w14:paraId="7E632827">
      <w:pPr>
        <w:pStyle w:val="15"/>
        <w:bidi w:val="0"/>
        <w:rPr>
          <w:highlight w:val="none"/>
        </w:rPr>
      </w:pPr>
      <w:r>
        <w:rPr>
          <w:rStyle w:val="25"/>
          <w:rFonts w:hint="eastAsia"/>
          <w:highlight w:val="none"/>
          <w:lang w:val="en-US" w:eastAsia="zh-CN"/>
        </w:rPr>
        <w:t>1.</w:t>
      </w:r>
      <w:r>
        <w:rPr>
          <w:rStyle w:val="25"/>
          <w:rFonts w:hint="eastAsia"/>
          <w:highlight w:val="none"/>
        </w:rPr>
        <w:t>前期准备。</w:t>
      </w:r>
      <w:r>
        <w:rPr>
          <w:rFonts w:hint="eastAsia"/>
          <w:highlight w:val="none"/>
        </w:rPr>
        <w:t>首先成立评价工作组，开展前期调研；其次明确项目绩效目标，设计绩效评价指标体系并确定绩效评价方法；接着确定现场和非现场评价范围，设计资料清单；最后制定评价实施方案并进行论证。</w:t>
      </w:r>
    </w:p>
    <w:p w14:paraId="0352CCD1">
      <w:pPr>
        <w:pStyle w:val="15"/>
        <w:bidi w:val="0"/>
        <w:rPr>
          <w:highlight w:val="none"/>
        </w:rPr>
      </w:pPr>
      <w:r>
        <w:rPr>
          <w:rStyle w:val="25"/>
          <w:rFonts w:hint="eastAsia"/>
          <w:highlight w:val="none"/>
          <w:lang w:val="en-US" w:eastAsia="zh-CN"/>
        </w:rPr>
        <w:t>2.</w:t>
      </w:r>
      <w:r>
        <w:rPr>
          <w:rStyle w:val="25"/>
          <w:rFonts w:hint="eastAsia"/>
          <w:highlight w:val="none"/>
        </w:rPr>
        <w:t>组织实施。</w:t>
      </w:r>
      <w:r>
        <w:rPr>
          <w:rFonts w:hint="eastAsia"/>
          <w:highlight w:val="none"/>
        </w:rPr>
        <w:t>制定绩效评价工作方案，具体包括项目概况、评价思路、方法手段、组织实施、进度安排等。收集项目立项依据、相关会议纪要、实施方案、财政资金分配方案、支付管理情况等相关评价资料并进行梳理。</w:t>
      </w:r>
    </w:p>
    <w:p w14:paraId="40A3D939">
      <w:pPr>
        <w:pStyle w:val="15"/>
        <w:bidi w:val="0"/>
        <w:rPr>
          <w:highlight w:val="none"/>
        </w:rPr>
      </w:pPr>
      <w:r>
        <w:rPr>
          <w:rStyle w:val="25"/>
          <w:rFonts w:hint="eastAsia"/>
          <w:highlight w:val="none"/>
          <w:lang w:val="en-US" w:eastAsia="zh-CN"/>
        </w:rPr>
        <w:t>3.</w:t>
      </w:r>
      <w:r>
        <w:rPr>
          <w:rStyle w:val="25"/>
          <w:rFonts w:hint="eastAsia"/>
          <w:highlight w:val="none"/>
        </w:rPr>
        <w:t>分析评价。</w:t>
      </w:r>
      <w:r>
        <w:rPr>
          <w:rFonts w:hint="eastAsia"/>
          <w:highlight w:val="none"/>
        </w:rPr>
        <w:t>根据收集梳理的资料围绕项目立项、资金落实、业务管理、财务管理、项目产出、项目效益等内容，对照已确定的绩效评价指标进行详细全面的分析评价，逐项打分并形成绩效评价最终结果。</w:t>
      </w:r>
    </w:p>
    <w:p w14:paraId="716E30AB">
      <w:pPr>
        <w:pStyle w:val="16"/>
        <w:bidi w:val="0"/>
        <w:rPr>
          <w:highlight w:val="none"/>
        </w:rPr>
      </w:pPr>
      <w:r>
        <w:rPr>
          <w:rFonts w:hint="eastAsia"/>
          <w:highlight w:val="none"/>
          <w:lang w:val="en-US" w:eastAsia="zh-CN"/>
        </w:rPr>
        <w:t>三、</w:t>
      </w:r>
      <w:r>
        <w:rPr>
          <w:highlight w:val="none"/>
        </w:rPr>
        <w:t>综合评价情况及评价结论（附相关评分表）</w:t>
      </w:r>
    </w:p>
    <w:p w14:paraId="14A4C466">
      <w:pPr>
        <w:pStyle w:val="17"/>
        <w:bidi w:val="0"/>
        <w:rPr>
          <w:rFonts w:hint="eastAsia"/>
          <w:highlight w:val="none"/>
        </w:rPr>
      </w:pPr>
      <w:r>
        <w:rPr>
          <w:rFonts w:hint="eastAsia"/>
          <w:highlight w:val="none"/>
        </w:rPr>
        <w:t>（一）评价情况</w:t>
      </w:r>
    </w:p>
    <w:p w14:paraId="2767168D">
      <w:pPr>
        <w:pStyle w:val="15"/>
        <w:bidi w:val="0"/>
        <w:rPr>
          <w:rFonts w:hint="eastAsia"/>
          <w:highlight w:val="none"/>
        </w:rPr>
      </w:pPr>
      <w:r>
        <w:rPr>
          <w:rFonts w:hint="eastAsia"/>
          <w:highlight w:val="none"/>
        </w:rPr>
        <w:t>项目总体组织规范，在项目实施过</w:t>
      </w:r>
      <w:r>
        <w:rPr>
          <w:rFonts w:hint="eastAsia"/>
          <w:highlight w:val="none"/>
          <w:lang w:eastAsia="zh-CN"/>
        </w:rPr>
        <w:t>程中</w:t>
      </w:r>
      <w:r>
        <w:rPr>
          <w:rFonts w:hint="eastAsia"/>
          <w:highlight w:val="none"/>
        </w:rPr>
        <w:t>做到认真履职，监督到位。按照相关制度的要求，项目负责人对项目绩效监控执行情况进行跟踪监督，有效完成了本项目的工作目标，确保资金使用安全和最大效益</w:t>
      </w:r>
      <w:r>
        <w:rPr>
          <w:rFonts w:hint="eastAsia"/>
          <w:highlight w:val="none"/>
          <w:lang w:eastAsia="zh-CN"/>
        </w:rPr>
        <w:t>地</w:t>
      </w:r>
      <w:r>
        <w:rPr>
          <w:rFonts w:hint="eastAsia"/>
          <w:highlight w:val="none"/>
        </w:rPr>
        <w:t>发挥，保障项目如期按要求完成。规范了项目档案资料的整理。项目的实施达到项目预期效果。</w:t>
      </w:r>
    </w:p>
    <w:p w14:paraId="4B43B488">
      <w:pPr>
        <w:pStyle w:val="17"/>
        <w:bidi w:val="0"/>
        <w:rPr>
          <w:rFonts w:hint="eastAsia"/>
          <w:highlight w:val="none"/>
        </w:rPr>
      </w:pPr>
      <w:r>
        <w:rPr>
          <w:rFonts w:hint="eastAsia"/>
          <w:highlight w:val="none"/>
        </w:rPr>
        <w:t>（二）评价结论</w:t>
      </w:r>
    </w:p>
    <w:p w14:paraId="564A079B">
      <w:pPr>
        <w:pStyle w:val="15"/>
        <w:bidi w:val="0"/>
        <w:rPr>
          <w:highlight w:val="none"/>
        </w:rPr>
      </w:pPr>
      <w:r>
        <w:rPr>
          <w:rFonts w:hint="eastAsia"/>
          <w:highlight w:val="none"/>
        </w:rPr>
        <w:t>运用绩效评价组制定的评价指标体系以及财政部《项目支出绩效评价管理办法》（财预〔2020〕10号）文件的评分标准，通过数据采集、问卷调查及访谈等方式，对本项目进行客观评价，最终评分结果</w:t>
      </w:r>
      <w:r>
        <w:rPr>
          <w:highlight w:val="none"/>
        </w:rPr>
        <w:t>：总得分为</w:t>
      </w:r>
      <w:r>
        <w:rPr>
          <w:rFonts w:hint="eastAsia"/>
          <w:highlight w:val="none"/>
          <w:lang w:val="en-US" w:eastAsia="zh-CN"/>
        </w:rPr>
        <w:t>100</w:t>
      </w:r>
      <w:r>
        <w:rPr>
          <w:highlight w:val="none"/>
        </w:rPr>
        <w:t>分，属于“优”</w:t>
      </w:r>
      <w:r>
        <w:rPr>
          <w:rFonts w:hint="eastAsia"/>
          <w:highlight w:val="none"/>
          <w:lang w:eastAsia="zh-CN"/>
        </w:rPr>
        <w:t>。</w:t>
      </w:r>
      <w:r>
        <w:rPr>
          <w:highlight w:val="none"/>
        </w:rPr>
        <w:t>其中，项目决策类指标权重为20分，得分为</w:t>
      </w:r>
      <w:r>
        <w:rPr>
          <w:rFonts w:hint="eastAsia"/>
          <w:highlight w:val="none"/>
          <w:lang w:val="en-US" w:eastAsia="zh-CN"/>
        </w:rPr>
        <w:t>20</w:t>
      </w:r>
      <w:r>
        <w:rPr>
          <w:highlight w:val="none"/>
        </w:rPr>
        <w:t>分，得分率为</w:t>
      </w:r>
      <w:r>
        <w:rPr>
          <w:rFonts w:hint="eastAsia"/>
          <w:highlight w:val="none"/>
          <w:lang w:val="en-US" w:eastAsia="zh-CN"/>
        </w:rPr>
        <w:t>100</w:t>
      </w:r>
      <w:r>
        <w:rPr>
          <w:highlight w:val="none"/>
        </w:rPr>
        <w:t>%。项目过程类指标权重为20分，得分为</w:t>
      </w:r>
      <w:r>
        <w:rPr>
          <w:rFonts w:hint="eastAsia"/>
          <w:highlight w:val="none"/>
          <w:lang w:val="en-US" w:eastAsia="zh-CN"/>
        </w:rPr>
        <w:t>20</w:t>
      </w:r>
      <w:r>
        <w:rPr>
          <w:highlight w:val="none"/>
        </w:rPr>
        <w:t>分，得分率为</w:t>
      </w:r>
      <w:r>
        <w:rPr>
          <w:rFonts w:hint="eastAsia"/>
          <w:highlight w:val="none"/>
          <w:lang w:val="en-US" w:eastAsia="zh-CN"/>
        </w:rPr>
        <w:t>100</w:t>
      </w:r>
      <w:r>
        <w:rPr>
          <w:highlight w:val="none"/>
        </w:rPr>
        <w:t>%。项目产出类指标权重为40分，得分为</w:t>
      </w:r>
      <w:r>
        <w:rPr>
          <w:rFonts w:hint="eastAsia"/>
          <w:highlight w:val="none"/>
          <w:lang w:val="en-US" w:eastAsia="zh-CN"/>
        </w:rPr>
        <w:t>40</w:t>
      </w:r>
      <w:r>
        <w:rPr>
          <w:highlight w:val="none"/>
        </w:rPr>
        <w:t>分，得分率为</w:t>
      </w:r>
      <w:r>
        <w:rPr>
          <w:rFonts w:hint="eastAsia"/>
          <w:highlight w:val="none"/>
          <w:lang w:val="en-US" w:eastAsia="zh-CN"/>
        </w:rPr>
        <w:t>100</w:t>
      </w:r>
      <w:r>
        <w:rPr>
          <w:highlight w:val="none"/>
        </w:rPr>
        <w:t>%。项目效益类指标权重为20分，得分为</w:t>
      </w:r>
      <w:r>
        <w:rPr>
          <w:rFonts w:hint="eastAsia"/>
          <w:highlight w:val="none"/>
          <w:lang w:val="en-US" w:eastAsia="zh-CN"/>
        </w:rPr>
        <w:t>20</w:t>
      </w:r>
      <w:r>
        <w:rPr>
          <w:highlight w:val="none"/>
        </w:rPr>
        <w:t>分，得分率为</w:t>
      </w:r>
      <w:r>
        <w:rPr>
          <w:rFonts w:hint="eastAsia"/>
          <w:highlight w:val="none"/>
          <w:lang w:val="en-US" w:eastAsia="zh-CN"/>
        </w:rPr>
        <w:t>100</w:t>
      </w:r>
      <w:r>
        <w:rPr>
          <w:highlight w:val="none"/>
        </w:rPr>
        <w:t>%。</w:t>
      </w:r>
    </w:p>
    <w:p w14:paraId="33500A75">
      <w:pPr>
        <w:pStyle w:val="15"/>
        <w:bidi w:val="0"/>
        <w:jc w:val="center"/>
        <w:rPr>
          <w:b/>
          <w:bCs/>
          <w:sz w:val="28"/>
          <w:szCs w:val="28"/>
          <w:highlight w:val="none"/>
        </w:rPr>
      </w:pPr>
      <w:r>
        <w:rPr>
          <w:b/>
          <w:bCs/>
          <w:sz w:val="28"/>
          <w:szCs w:val="28"/>
          <w:highlight w:val="none"/>
        </w:rPr>
        <w:t>表1综合评分表</w:t>
      </w:r>
    </w:p>
    <w:tbl>
      <w:tblPr>
        <w:tblStyle w:val="11"/>
        <w:tblW w:w="4997" w:type="pct"/>
        <w:jc w:val="center"/>
        <w:tblLayout w:type="autofit"/>
        <w:tblCellMar>
          <w:top w:w="0" w:type="dxa"/>
          <w:left w:w="108" w:type="dxa"/>
          <w:bottom w:w="0" w:type="dxa"/>
          <w:right w:w="108" w:type="dxa"/>
        </w:tblCellMar>
      </w:tblPr>
      <w:tblGrid>
        <w:gridCol w:w="3623"/>
        <w:gridCol w:w="2674"/>
        <w:gridCol w:w="2462"/>
      </w:tblGrid>
      <w:tr w14:paraId="338DDF06">
        <w:tblPrEx>
          <w:tblCellMar>
            <w:top w:w="0" w:type="dxa"/>
            <w:left w:w="108" w:type="dxa"/>
            <w:bottom w:w="0" w:type="dxa"/>
            <w:right w:w="108" w:type="dxa"/>
          </w:tblCellMar>
        </w:tblPrEx>
        <w:trPr>
          <w:trHeight w:val="448" w:hRule="atLeast"/>
          <w:tblHeader/>
          <w:jc w:val="center"/>
        </w:trPr>
        <w:tc>
          <w:tcPr>
            <w:tcW w:w="2068" w:type="pct"/>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0605508">
            <w:pPr>
              <w:jc w:val="center"/>
              <w:rPr>
                <w:b/>
                <w:bCs/>
                <w:color w:val="000000"/>
                <w:sz w:val="22"/>
                <w:highlight w:val="none"/>
              </w:rPr>
            </w:pPr>
            <w:r>
              <w:rPr>
                <w:rFonts w:hint="eastAsia"/>
                <w:b/>
                <w:bCs/>
                <w:color w:val="000000"/>
                <w:sz w:val="22"/>
                <w:highlight w:val="none"/>
              </w:rPr>
              <w:t>一级指标</w:t>
            </w:r>
          </w:p>
        </w:tc>
        <w:tc>
          <w:tcPr>
            <w:tcW w:w="1526"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0126FDF">
            <w:pPr>
              <w:jc w:val="center"/>
              <w:rPr>
                <w:b/>
                <w:bCs/>
                <w:color w:val="000000"/>
                <w:sz w:val="22"/>
                <w:highlight w:val="none"/>
              </w:rPr>
            </w:pPr>
            <w:r>
              <w:rPr>
                <w:rFonts w:hint="eastAsia"/>
                <w:b/>
                <w:bCs/>
                <w:color w:val="000000"/>
                <w:sz w:val="22"/>
                <w:highlight w:val="none"/>
              </w:rPr>
              <w:t>权重分</w:t>
            </w:r>
          </w:p>
        </w:tc>
        <w:tc>
          <w:tcPr>
            <w:tcW w:w="1405" w:type="pct"/>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80AD6D1">
            <w:pPr>
              <w:jc w:val="center"/>
              <w:rPr>
                <w:b/>
                <w:bCs/>
                <w:color w:val="000000"/>
                <w:sz w:val="22"/>
                <w:highlight w:val="none"/>
              </w:rPr>
            </w:pPr>
            <w:r>
              <w:rPr>
                <w:rFonts w:hint="eastAsia"/>
                <w:b/>
                <w:bCs/>
                <w:color w:val="000000"/>
                <w:sz w:val="22"/>
                <w:highlight w:val="none"/>
              </w:rPr>
              <w:t>得分</w:t>
            </w:r>
          </w:p>
        </w:tc>
      </w:tr>
      <w:tr w14:paraId="4ABF64C5">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2BE8A99F">
            <w:pPr>
              <w:jc w:val="center"/>
              <w:rPr>
                <w:color w:val="000000"/>
                <w:sz w:val="22"/>
                <w:highlight w:val="none"/>
              </w:rPr>
            </w:pPr>
            <w:r>
              <w:rPr>
                <w:rFonts w:hint="eastAsia"/>
                <w:color w:val="000000"/>
                <w:sz w:val="22"/>
                <w:highlight w:val="none"/>
              </w:rPr>
              <w:t>项目决策</w:t>
            </w:r>
          </w:p>
        </w:tc>
        <w:tc>
          <w:tcPr>
            <w:tcW w:w="1526" w:type="pct"/>
            <w:tcBorders>
              <w:top w:val="nil"/>
              <w:left w:val="nil"/>
              <w:bottom w:val="single" w:color="auto" w:sz="4" w:space="0"/>
              <w:right w:val="single" w:color="auto" w:sz="4" w:space="0"/>
            </w:tcBorders>
            <w:shd w:val="clear" w:color="auto" w:fill="auto"/>
            <w:vAlign w:val="center"/>
          </w:tcPr>
          <w:p w14:paraId="71EFA0AA">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1405" w:type="pct"/>
            <w:tcBorders>
              <w:top w:val="nil"/>
              <w:left w:val="nil"/>
              <w:bottom w:val="single" w:color="auto" w:sz="4" w:space="0"/>
              <w:right w:val="single" w:color="auto" w:sz="4" w:space="0"/>
            </w:tcBorders>
            <w:shd w:val="clear" w:color="auto" w:fill="auto"/>
            <w:vAlign w:val="center"/>
          </w:tcPr>
          <w:p w14:paraId="3C748AE9">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r>
      <w:tr w14:paraId="5D6D9576">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17887413">
            <w:pPr>
              <w:jc w:val="center"/>
              <w:rPr>
                <w:color w:val="000000"/>
                <w:sz w:val="22"/>
                <w:highlight w:val="none"/>
              </w:rPr>
            </w:pPr>
            <w:r>
              <w:rPr>
                <w:rFonts w:hint="eastAsia"/>
                <w:color w:val="000000"/>
                <w:sz w:val="22"/>
                <w:highlight w:val="none"/>
              </w:rPr>
              <w:t>项目过程</w:t>
            </w:r>
          </w:p>
        </w:tc>
        <w:tc>
          <w:tcPr>
            <w:tcW w:w="1526" w:type="pct"/>
            <w:tcBorders>
              <w:top w:val="nil"/>
              <w:left w:val="nil"/>
              <w:bottom w:val="single" w:color="auto" w:sz="4" w:space="0"/>
              <w:right w:val="single" w:color="auto" w:sz="4" w:space="0"/>
            </w:tcBorders>
            <w:shd w:val="clear" w:color="auto" w:fill="auto"/>
            <w:vAlign w:val="center"/>
          </w:tcPr>
          <w:p w14:paraId="36107E0D">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1405" w:type="pct"/>
            <w:tcBorders>
              <w:top w:val="nil"/>
              <w:left w:val="nil"/>
              <w:bottom w:val="single" w:color="auto" w:sz="4" w:space="0"/>
              <w:right w:val="single" w:color="auto" w:sz="4" w:space="0"/>
            </w:tcBorders>
            <w:shd w:val="clear" w:color="auto" w:fill="auto"/>
            <w:vAlign w:val="center"/>
          </w:tcPr>
          <w:p w14:paraId="13FEFDC6">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r>
      <w:tr w14:paraId="2A96D6BB">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23F003F8">
            <w:pPr>
              <w:jc w:val="center"/>
              <w:rPr>
                <w:color w:val="000000"/>
                <w:sz w:val="22"/>
                <w:highlight w:val="none"/>
              </w:rPr>
            </w:pPr>
            <w:r>
              <w:rPr>
                <w:rFonts w:hint="eastAsia"/>
                <w:color w:val="000000"/>
                <w:sz w:val="22"/>
                <w:highlight w:val="none"/>
              </w:rPr>
              <w:t>项目产出</w:t>
            </w:r>
          </w:p>
        </w:tc>
        <w:tc>
          <w:tcPr>
            <w:tcW w:w="1526" w:type="pct"/>
            <w:tcBorders>
              <w:top w:val="nil"/>
              <w:left w:val="nil"/>
              <w:bottom w:val="single" w:color="auto" w:sz="4" w:space="0"/>
              <w:right w:val="single" w:color="auto" w:sz="4" w:space="0"/>
            </w:tcBorders>
            <w:shd w:val="clear" w:color="auto" w:fill="auto"/>
            <w:vAlign w:val="center"/>
          </w:tcPr>
          <w:p w14:paraId="651FE7DF">
            <w:pPr>
              <w:jc w:val="center"/>
              <w:rPr>
                <w:rFonts w:hint="default" w:eastAsia="宋体"/>
                <w:color w:val="000000"/>
                <w:sz w:val="22"/>
                <w:highlight w:val="none"/>
                <w:lang w:val="en-US" w:eastAsia="zh-CN"/>
              </w:rPr>
            </w:pPr>
            <w:r>
              <w:rPr>
                <w:rFonts w:hint="eastAsia"/>
                <w:color w:val="000000"/>
                <w:sz w:val="22"/>
                <w:highlight w:val="none"/>
                <w:lang w:val="en-US" w:eastAsia="zh-CN"/>
              </w:rPr>
              <w:t>40</w:t>
            </w:r>
          </w:p>
        </w:tc>
        <w:tc>
          <w:tcPr>
            <w:tcW w:w="1405" w:type="pct"/>
            <w:tcBorders>
              <w:top w:val="nil"/>
              <w:left w:val="nil"/>
              <w:bottom w:val="single" w:color="auto" w:sz="4" w:space="0"/>
              <w:right w:val="single" w:color="auto" w:sz="4" w:space="0"/>
            </w:tcBorders>
            <w:shd w:val="clear" w:color="auto" w:fill="auto"/>
            <w:vAlign w:val="center"/>
          </w:tcPr>
          <w:p w14:paraId="4F13AD08">
            <w:pPr>
              <w:jc w:val="center"/>
              <w:rPr>
                <w:rFonts w:hint="default" w:eastAsia="宋体"/>
                <w:color w:val="000000"/>
                <w:sz w:val="22"/>
                <w:highlight w:val="none"/>
                <w:lang w:val="en-US" w:eastAsia="zh-CN"/>
              </w:rPr>
            </w:pPr>
            <w:r>
              <w:rPr>
                <w:rFonts w:hint="eastAsia"/>
                <w:color w:val="000000"/>
                <w:sz w:val="22"/>
                <w:highlight w:val="none"/>
                <w:lang w:val="en-US" w:eastAsia="zh-CN"/>
              </w:rPr>
              <w:t>40</w:t>
            </w:r>
          </w:p>
        </w:tc>
      </w:tr>
      <w:tr w14:paraId="36F7CDCB">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502BBDA0">
            <w:pPr>
              <w:jc w:val="center"/>
              <w:rPr>
                <w:color w:val="000000"/>
                <w:sz w:val="22"/>
                <w:highlight w:val="none"/>
              </w:rPr>
            </w:pPr>
            <w:r>
              <w:rPr>
                <w:rFonts w:hint="eastAsia"/>
                <w:color w:val="000000"/>
                <w:sz w:val="22"/>
                <w:highlight w:val="none"/>
              </w:rPr>
              <w:t>项目效益</w:t>
            </w:r>
          </w:p>
        </w:tc>
        <w:tc>
          <w:tcPr>
            <w:tcW w:w="1526" w:type="pct"/>
            <w:tcBorders>
              <w:top w:val="nil"/>
              <w:left w:val="nil"/>
              <w:bottom w:val="single" w:color="auto" w:sz="4" w:space="0"/>
              <w:right w:val="single" w:color="auto" w:sz="4" w:space="0"/>
            </w:tcBorders>
            <w:shd w:val="clear" w:color="auto" w:fill="auto"/>
            <w:vAlign w:val="center"/>
          </w:tcPr>
          <w:p w14:paraId="6046631B">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c>
          <w:tcPr>
            <w:tcW w:w="1405" w:type="pct"/>
            <w:tcBorders>
              <w:top w:val="nil"/>
              <w:left w:val="nil"/>
              <w:bottom w:val="single" w:color="auto" w:sz="4" w:space="0"/>
              <w:right w:val="single" w:color="auto" w:sz="4" w:space="0"/>
            </w:tcBorders>
            <w:shd w:val="clear" w:color="auto" w:fill="auto"/>
            <w:vAlign w:val="center"/>
          </w:tcPr>
          <w:p w14:paraId="5AA92D35">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r>
      <w:tr w14:paraId="20776B5D">
        <w:tblPrEx>
          <w:tblCellMar>
            <w:top w:w="0" w:type="dxa"/>
            <w:left w:w="108" w:type="dxa"/>
            <w:bottom w:w="0" w:type="dxa"/>
            <w:right w:w="108" w:type="dxa"/>
          </w:tblCellMar>
        </w:tblPrEx>
        <w:trPr>
          <w:trHeight w:val="340" w:hRule="atLeast"/>
          <w:jc w:val="center"/>
        </w:trPr>
        <w:tc>
          <w:tcPr>
            <w:tcW w:w="2068" w:type="pct"/>
            <w:tcBorders>
              <w:top w:val="nil"/>
              <w:left w:val="single" w:color="auto" w:sz="4" w:space="0"/>
              <w:bottom w:val="single" w:color="auto" w:sz="4" w:space="0"/>
              <w:right w:val="single" w:color="auto" w:sz="4" w:space="0"/>
            </w:tcBorders>
            <w:shd w:val="clear" w:color="auto" w:fill="auto"/>
            <w:vAlign w:val="center"/>
          </w:tcPr>
          <w:p w14:paraId="721E9D66">
            <w:pPr>
              <w:jc w:val="center"/>
              <w:rPr>
                <w:rFonts w:cs="宋体"/>
                <w:b/>
                <w:bCs/>
                <w:color w:val="000000"/>
                <w:sz w:val="22"/>
                <w:highlight w:val="none"/>
              </w:rPr>
            </w:pPr>
            <w:r>
              <w:rPr>
                <w:rFonts w:hint="eastAsia" w:cs="宋体"/>
                <w:b/>
                <w:bCs/>
                <w:color w:val="000000"/>
                <w:sz w:val="22"/>
                <w:highlight w:val="none"/>
              </w:rPr>
              <w:t>合计</w:t>
            </w:r>
          </w:p>
        </w:tc>
        <w:tc>
          <w:tcPr>
            <w:tcW w:w="1526" w:type="pct"/>
            <w:tcBorders>
              <w:top w:val="nil"/>
              <w:left w:val="nil"/>
              <w:bottom w:val="single" w:color="auto" w:sz="4" w:space="0"/>
              <w:right w:val="single" w:color="auto" w:sz="4" w:space="0"/>
            </w:tcBorders>
            <w:shd w:val="clear" w:color="auto" w:fill="auto"/>
            <w:vAlign w:val="center"/>
          </w:tcPr>
          <w:p w14:paraId="372CA3CE">
            <w:pPr>
              <w:jc w:val="center"/>
              <w:rPr>
                <w:rFonts w:hint="default" w:eastAsia="宋体"/>
                <w:b/>
                <w:bCs/>
                <w:color w:val="000000"/>
                <w:sz w:val="22"/>
                <w:highlight w:val="none"/>
                <w:lang w:val="en-US" w:eastAsia="zh-CN"/>
              </w:rPr>
            </w:pPr>
            <w:r>
              <w:rPr>
                <w:rFonts w:hint="eastAsia"/>
                <w:b/>
                <w:bCs/>
                <w:color w:val="000000"/>
                <w:sz w:val="22"/>
                <w:highlight w:val="none"/>
                <w:lang w:val="en-US" w:eastAsia="zh-CN"/>
              </w:rPr>
              <w:t>100</w:t>
            </w:r>
          </w:p>
        </w:tc>
        <w:tc>
          <w:tcPr>
            <w:tcW w:w="1405" w:type="pct"/>
            <w:tcBorders>
              <w:top w:val="nil"/>
              <w:left w:val="nil"/>
              <w:bottom w:val="single" w:color="auto" w:sz="4" w:space="0"/>
              <w:right w:val="single" w:color="auto" w:sz="4" w:space="0"/>
            </w:tcBorders>
            <w:shd w:val="clear" w:color="auto" w:fill="auto"/>
            <w:vAlign w:val="center"/>
          </w:tcPr>
          <w:p w14:paraId="48D95949">
            <w:pPr>
              <w:jc w:val="center"/>
              <w:rPr>
                <w:rFonts w:hint="default" w:eastAsia="宋体"/>
                <w:b/>
                <w:bCs/>
                <w:color w:val="000000"/>
                <w:sz w:val="22"/>
                <w:highlight w:val="none"/>
                <w:lang w:val="en-US" w:eastAsia="zh-CN"/>
              </w:rPr>
            </w:pPr>
            <w:r>
              <w:rPr>
                <w:rFonts w:hint="eastAsia"/>
                <w:b/>
                <w:bCs/>
                <w:color w:val="000000"/>
                <w:sz w:val="22"/>
                <w:highlight w:val="none"/>
                <w:lang w:val="en-US" w:eastAsia="zh-CN"/>
              </w:rPr>
              <w:t>100</w:t>
            </w:r>
          </w:p>
        </w:tc>
      </w:tr>
    </w:tbl>
    <w:p w14:paraId="5D264792">
      <w:pPr>
        <w:pStyle w:val="16"/>
        <w:bidi w:val="0"/>
        <w:rPr>
          <w:highlight w:val="none"/>
        </w:rPr>
      </w:pPr>
      <w:r>
        <w:rPr>
          <w:highlight w:val="none"/>
        </w:rPr>
        <w:t>四、绩效评价指标分析</w:t>
      </w:r>
    </w:p>
    <w:p w14:paraId="3A34A0D4">
      <w:pPr>
        <w:pStyle w:val="17"/>
        <w:bidi w:val="0"/>
        <w:rPr>
          <w:highlight w:val="none"/>
        </w:rPr>
      </w:pPr>
      <w:r>
        <w:rPr>
          <w:highlight w:val="none"/>
        </w:rPr>
        <w:t>（一）项目决策情况</w:t>
      </w:r>
    </w:p>
    <w:p w14:paraId="28485029">
      <w:pPr>
        <w:pStyle w:val="15"/>
        <w:bidi w:val="0"/>
        <w:rPr>
          <w:rFonts w:hint="eastAsia"/>
          <w:highlight w:val="none"/>
        </w:rPr>
      </w:pPr>
      <w:r>
        <w:rPr>
          <w:rFonts w:hint="eastAsia"/>
          <w:highlight w:val="none"/>
        </w:rPr>
        <w:t>项目决策类指标包括项目立项、绩效目标和资金投入三方面的内容，由6个三级指标构成，权重分值为20分，实际得分</w:t>
      </w:r>
      <w:r>
        <w:rPr>
          <w:rFonts w:hint="eastAsia"/>
          <w:highlight w:val="none"/>
          <w:lang w:val="en-US" w:eastAsia="zh-CN"/>
        </w:rPr>
        <w:t>20</w:t>
      </w:r>
      <w:r>
        <w:rPr>
          <w:rFonts w:hint="eastAsia"/>
          <w:highlight w:val="none"/>
        </w:rPr>
        <w:t>分，得分率为</w:t>
      </w:r>
      <w:r>
        <w:rPr>
          <w:rFonts w:hint="eastAsia"/>
          <w:highlight w:val="none"/>
          <w:lang w:val="en-US" w:eastAsia="zh-CN"/>
        </w:rPr>
        <w:t>100</w:t>
      </w:r>
      <w:r>
        <w:rPr>
          <w:rFonts w:hint="eastAsia"/>
          <w:highlight w:val="none"/>
        </w:rPr>
        <w:t>%。</w:t>
      </w:r>
    </w:p>
    <w:p w14:paraId="0C801266">
      <w:pPr>
        <w:pStyle w:val="18"/>
        <w:bidi w:val="0"/>
        <w:rPr>
          <w:rFonts w:hint="default"/>
          <w:highlight w:val="none"/>
          <w:lang w:val="en-US" w:eastAsia="zh-CN"/>
        </w:rPr>
      </w:pPr>
      <w:r>
        <w:rPr>
          <w:rFonts w:hint="eastAsia"/>
          <w:highlight w:val="none"/>
          <w:lang w:val="en-US" w:eastAsia="zh-CN"/>
        </w:rPr>
        <w:t>1.项目立项</w:t>
      </w:r>
    </w:p>
    <w:p w14:paraId="2CC5AD41">
      <w:pPr>
        <w:pStyle w:val="15"/>
        <w:bidi w:val="0"/>
        <w:rPr>
          <w:b/>
          <w:bCs/>
          <w:highlight w:val="none"/>
        </w:rPr>
      </w:pPr>
      <w:r>
        <w:rPr>
          <w:rFonts w:hint="eastAsia"/>
          <w:b/>
          <w:bCs/>
          <w:highlight w:val="none"/>
          <w:lang w:eastAsia="zh-CN"/>
        </w:rPr>
        <w:t>（</w:t>
      </w:r>
      <w:r>
        <w:rPr>
          <w:rFonts w:hint="eastAsia"/>
          <w:b/>
          <w:bCs/>
          <w:highlight w:val="none"/>
        </w:rPr>
        <w:t>1</w:t>
      </w:r>
      <w:r>
        <w:rPr>
          <w:rFonts w:hint="eastAsia"/>
          <w:b/>
          <w:bCs/>
          <w:highlight w:val="none"/>
          <w:lang w:eastAsia="zh-CN"/>
        </w:rPr>
        <w:t>）</w:t>
      </w:r>
      <w:r>
        <w:rPr>
          <w:rFonts w:hint="eastAsia"/>
          <w:b/>
          <w:bCs/>
          <w:highlight w:val="none"/>
        </w:rPr>
        <w:t>立项依据充分性</w:t>
      </w:r>
    </w:p>
    <w:p w14:paraId="6A6285F8">
      <w:pPr>
        <w:pStyle w:val="15"/>
        <w:bidi w:val="0"/>
        <w:rPr>
          <w:rFonts w:hint="eastAsia"/>
          <w:highlight w:val="none"/>
          <w:lang w:eastAsia="zh-CN"/>
        </w:rPr>
      </w:pPr>
      <w:r>
        <w:rPr>
          <w:rFonts w:hint="eastAsia"/>
          <w:highlight w:val="none"/>
        </w:rPr>
        <w:t>按照国务院联防联控机制《关于印发做好医疗资源准备工作方案的通知》（联防联控机制综发</w:t>
      </w:r>
      <w:r>
        <w:rPr>
          <w:rFonts w:hint="eastAsia"/>
          <w:highlight w:val="none"/>
          <w:lang w:eastAsia="zh-CN"/>
        </w:rPr>
        <w:t>〔</w:t>
      </w:r>
      <w:r>
        <w:rPr>
          <w:rFonts w:hint="eastAsia"/>
          <w:highlight w:val="none"/>
        </w:rPr>
        <w:t>2022</w:t>
      </w:r>
      <w:r>
        <w:rPr>
          <w:rFonts w:hint="eastAsia"/>
          <w:highlight w:val="none"/>
          <w:lang w:eastAsia="zh-CN"/>
        </w:rPr>
        <w:t>〕</w:t>
      </w:r>
      <w:r>
        <w:rPr>
          <w:rFonts w:hint="eastAsia"/>
          <w:highlight w:val="none"/>
        </w:rPr>
        <w:t>112号）要求和新冠病毒感染疫情乙类乙管工作要求，有效提升医疗机构重症救治资源储备，扩充ICU和可转化ICU床位数，补齐设备缺口，有效开展疫情期间重症病例救治工作</w:t>
      </w:r>
      <w:r>
        <w:rPr>
          <w:rFonts w:hint="eastAsia"/>
          <w:highlight w:val="none"/>
          <w:lang w:eastAsia="zh-CN"/>
        </w:rPr>
        <w:t>。</w:t>
      </w:r>
    </w:p>
    <w:p w14:paraId="3F1B9AFD">
      <w:pPr>
        <w:pStyle w:val="15"/>
        <w:bidi w:val="0"/>
        <w:rPr>
          <w:highlight w:val="none"/>
        </w:rPr>
      </w:pPr>
      <w:r>
        <w:rPr>
          <w:rFonts w:hint="eastAsia"/>
          <w:highlight w:val="none"/>
          <w:lang w:val="en-US" w:eastAsia="zh-CN"/>
        </w:rPr>
        <w:t>该</w:t>
      </w:r>
      <w:r>
        <w:rPr>
          <w:rFonts w:hint="eastAsia"/>
          <w:highlight w:val="none"/>
        </w:rPr>
        <w:t>项目立项符合行业发展规划和政策要求</w:t>
      </w:r>
      <w:r>
        <w:rPr>
          <w:rFonts w:hint="eastAsia"/>
          <w:highlight w:val="none"/>
          <w:lang w:eastAsia="zh-CN"/>
        </w:rPr>
        <w:t>，并</w:t>
      </w:r>
      <w:r>
        <w:rPr>
          <w:rFonts w:hint="eastAsia"/>
          <w:highlight w:val="none"/>
        </w:rPr>
        <w:t>与部门职责范围相符，属于部门履职所需</w:t>
      </w:r>
      <w:r>
        <w:rPr>
          <w:rFonts w:hint="eastAsia"/>
          <w:highlight w:val="none"/>
          <w:lang w:eastAsia="zh-CN"/>
        </w:rPr>
        <w:t>，</w:t>
      </w:r>
      <w:r>
        <w:rPr>
          <w:rFonts w:hint="eastAsia"/>
          <w:highlight w:val="none"/>
        </w:rPr>
        <w:t>属于公共财政支持范围，符合中央、地方事权支出责任划分原则；</w:t>
      </w:r>
      <w:r>
        <w:rPr>
          <w:rFonts w:hint="eastAsia"/>
          <w:highlight w:val="none"/>
          <w:lang w:val="en-US" w:eastAsia="zh-CN"/>
        </w:rPr>
        <w:t>本</w:t>
      </w:r>
      <w:r>
        <w:rPr>
          <w:rFonts w:hint="eastAsia"/>
          <w:highlight w:val="none"/>
        </w:rPr>
        <w:t>项目与相关部门同类项目或部门内部相关项目</w:t>
      </w:r>
      <w:r>
        <w:rPr>
          <w:rFonts w:hint="eastAsia"/>
          <w:highlight w:val="none"/>
          <w:lang w:eastAsia="zh-CN"/>
        </w:rPr>
        <w:t>不</w:t>
      </w:r>
      <w:r>
        <w:rPr>
          <w:rFonts w:hint="eastAsia"/>
          <w:highlight w:val="none"/>
        </w:rPr>
        <w:t>重复。</w:t>
      </w:r>
    </w:p>
    <w:p w14:paraId="70C27B30">
      <w:pPr>
        <w:pStyle w:val="15"/>
        <w:bidi w:val="0"/>
        <w:rPr>
          <w:b/>
          <w:bCs/>
          <w:highlight w:val="none"/>
        </w:rPr>
      </w:pPr>
      <w:r>
        <w:rPr>
          <w:rFonts w:hint="eastAsia"/>
          <w:b/>
          <w:bCs/>
          <w:highlight w:val="none"/>
          <w:lang w:eastAsia="zh-CN"/>
        </w:rPr>
        <w:t>（</w:t>
      </w:r>
      <w:r>
        <w:rPr>
          <w:rFonts w:hint="eastAsia"/>
          <w:b/>
          <w:bCs/>
          <w:highlight w:val="none"/>
        </w:rPr>
        <w:t>2</w:t>
      </w:r>
      <w:r>
        <w:rPr>
          <w:rFonts w:hint="eastAsia"/>
          <w:b/>
          <w:bCs/>
          <w:highlight w:val="none"/>
          <w:lang w:eastAsia="zh-CN"/>
        </w:rPr>
        <w:t>）</w:t>
      </w:r>
      <w:r>
        <w:rPr>
          <w:rFonts w:hint="eastAsia"/>
          <w:b/>
          <w:bCs/>
          <w:highlight w:val="none"/>
        </w:rPr>
        <w:t>立项程序规范性</w:t>
      </w:r>
    </w:p>
    <w:p w14:paraId="2B6DC2AC">
      <w:pPr>
        <w:pStyle w:val="15"/>
        <w:bidi w:val="0"/>
        <w:rPr>
          <w:rFonts w:hint="eastAsia"/>
          <w:highlight w:val="none"/>
        </w:rPr>
      </w:pPr>
      <w:r>
        <w:rPr>
          <w:rFonts w:hint="eastAsia"/>
          <w:highlight w:val="none"/>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集体决策，保障了程序的规范性。</w:t>
      </w:r>
    </w:p>
    <w:p w14:paraId="7D6E754B">
      <w:pPr>
        <w:pStyle w:val="18"/>
        <w:bidi w:val="0"/>
        <w:rPr>
          <w:rFonts w:hint="default"/>
          <w:highlight w:val="none"/>
          <w:lang w:val="en-US" w:eastAsia="zh-CN"/>
        </w:rPr>
      </w:pPr>
      <w:r>
        <w:rPr>
          <w:rFonts w:hint="eastAsia"/>
          <w:highlight w:val="none"/>
          <w:lang w:val="en-US" w:eastAsia="zh-CN"/>
        </w:rPr>
        <w:t>2.绩效目标</w:t>
      </w:r>
    </w:p>
    <w:p w14:paraId="4D90FC91">
      <w:pPr>
        <w:pStyle w:val="15"/>
        <w:bidi w:val="0"/>
        <w:rPr>
          <w:b/>
          <w:bCs/>
          <w:highlight w:val="none"/>
        </w:rPr>
      </w:pPr>
      <w:r>
        <w:rPr>
          <w:rFonts w:hint="eastAsia"/>
          <w:b/>
          <w:bCs/>
          <w:highlight w:val="none"/>
          <w:lang w:eastAsia="zh-CN"/>
        </w:rPr>
        <w:t>（</w:t>
      </w:r>
      <w:r>
        <w:rPr>
          <w:rFonts w:hint="eastAsia"/>
          <w:b/>
          <w:bCs/>
          <w:highlight w:val="none"/>
          <w:lang w:val="en-US" w:eastAsia="zh-CN"/>
        </w:rPr>
        <w:t>1</w:t>
      </w:r>
      <w:r>
        <w:rPr>
          <w:rFonts w:hint="eastAsia"/>
          <w:b/>
          <w:bCs/>
          <w:highlight w:val="none"/>
          <w:lang w:eastAsia="zh-CN"/>
        </w:rPr>
        <w:t>）</w:t>
      </w:r>
      <w:r>
        <w:rPr>
          <w:rFonts w:hint="eastAsia"/>
          <w:b/>
          <w:bCs/>
          <w:highlight w:val="none"/>
        </w:rPr>
        <w:t>绩效目标合理性</w:t>
      </w:r>
    </w:p>
    <w:p w14:paraId="74EADC44">
      <w:pPr>
        <w:pStyle w:val="15"/>
        <w:bidi w:val="0"/>
        <w:rPr>
          <w:highlight w:val="none"/>
        </w:rPr>
      </w:pPr>
      <w:r>
        <w:rPr>
          <w:rFonts w:hint="eastAsia"/>
          <w:highlight w:val="none"/>
        </w:rPr>
        <w:t>自治区2023年第一批疫情防控补助资金（自治区本级医疗机构重症床位设备配置经费）项目设立了项目绩效目标，与提升医疗机构重症救治资源储备</w:t>
      </w:r>
      <w:r>
        <w:rPr>
          <w:rFonts w:hint="eastAsia"/>
          <w:highlight w:val="none"/>
          <w:lang w:val="en-US" w:eastAsia="zh-CN"/>
        </w:rPr>
        <w:t>能力</w:t>
      </w:r>
      <w:r>
        <w:rPr>
          <w:rFonts w:hint="eastAsia"/>
          <w:highlight w:val="none"/>
        </w:rPr>
        <w:t>具有相关性，项目的预期产出效益和效果也均能符合正常的业绩水平，并且与预算确定的项目投资额或资金量相匹配。</w:t>
      </w:r>
    </w:p>
    <w:p w14:paraId="73ED484B">
      <w:pPr>
        <w:pStyle w:val="15"/>
        <w:bidi w:val="0"/>
        <w:rPr>
          <w:b/>
          <w:bCs/>
          <w:highlight w:val="none"/>
        </w:rPr>
      </w:pPr>
      <w:r>
        <w:rPr>
          <w:rFonts w:hint="eastAsia"/>
          <w:b/>
          <w:bCs/>
          <w:highlight w:val="none"/>
          <w:lang w:eastAsia="zh-CN"/>
        </w:rPr>
        <w:t>（</w:t>
      </w:r>
      <w:r>
        <w:rPr>
          <w:rFonts w:hint="eastAsia"/>
          <w:b/>
          <w:bCs/>
          <w:highlight w:val="none"/>
          <w:lang w:val="en-US" w:eastAsia="zh-CN"/>
        </w:rPr>
        <w:t>2</w:t>
      </w:r>
      <w:r>
        <w:rPr>
          <w:rFonts w:hint="eastAsia"/>
          <w:b/>
          <w:bCs/>
          <w:highlight w:val="none"/>
          <w:lang w:eastAsia="zh-CN"/>
        </w:rPr>
        <w:t>）</w:t>
      </w:r>
      <w:r>
        <w:rPr>
          <w:rFonts w:hint="eastAsia"/>
          <w:b/>
          <w:bCs/>
          <w:highlight w:val="none"/>
        </w:rPr>
        <w:t>绩效指标明确性</w:t>
      </w:r>
    </w:p>
    <w:p w14:paraId="435045A4">
      <w:pPr>
        <w:pStyle w:val="15"/>
        <w:bidi w:val="0"/>
        <w:rPr>
          <w:rFonts w:hint="eastAsia"/>
          <w:highlight w:val="none"/>
        </w:rPr>
      </w:pPr>
      <w:bookmarkStart w:id="3" w:name="_Hlk68699917"/>
      <w:r>
        <w:rPr>
          <w:rFonts w:hint="eastAsia"/>
          <w:highlight w:val="none"/>
        </w:rPr>
        <w:t>自治区2023年第一批疫情防控补助资金（自治区本级医疗机构重症床位设备配置经费）项目将项目绩效目标细化分解为具体的绩效指标，一级指标共</w:t>
      </w:r>
      <w:r>
        <w:rPr>
          <w:rFonts w:hint="eastAsia"/>
          <w:highlight w:val="none"/>
          <w:lang w:val="en-US" w:eastAsia="zh-CN"/>
        </w:rPr>
        <w:t>3</w:t>
      </w:r>
      <w:r>
        <w:rPr>
          <w:rFonts w:hint="eastAsia"/>
          <w:highlight w:val="none"/>
        </w:rPr>
        <w:t>条，二级指标共</w:t>
      </w:r>
      <w:r>
        <w:rPr>
          <w:rFonts w:hint="eastAsia"/>
          <w:highlight w:val="none"/>
          <w:lang w:val="en-US" w:eastAsia="zh-CN"/>
        </w:rPr>
        <w:t>4</w:t>
      </w:r>
      <w:r>
        <w:rPr>
          <w:rFonts w:hint="eastAsia"/>
          <w:highlight w:val="none"/>
        </w:rPr>
        <w:t>条，三级指标共</w:t>
      </w:r>
      <w:r>
        <w:rPr>
          <w:rFonts w:hint="eastAsia"/>
          <w:highlight w:val="none"/>
          <w:lang w:val="en-US" w:eastAsia="zh-CN"/>
        </w:rPr>
        <w:t>7</w:t>
      </w:r>
      <w:r>
        <w:rPr>
          <w:rFonts w:hint="eastAsia"/>
          <w:highlight w:val="none"/>
        </w:rPr>
        <w:t>条，其中量化指标条数共</w:t>
      </w:r>
      <w:r>
        <w:rPr>
          <w:rFonts w:hint="eastAsia"/>
          <w:highlight w:val="none"/>
          <w:lang w:val="en-US" w:eastAsia="zh-CN"/>
        </w:rPr>
        <w:t>7</w:t>
      </w:r>
      <w:r>
        <w:rPr>
          <w:rFonts w:hint="eastAsia"/>
          <w:highlight w:val="none"/>
        </w:rPr>
        <w:t>条，所有绩效指标均通过清晰、可衡量的指标值予以体现，并且做到了与项目目标任务数或计划数相对应。</w:t>
      </w:r>
      <w:bookmarkEnd w:id="3"/>
    </w:p>
    <w:p w14:paraId="2C9C07D3">
      <w:pPr>
        <w:pStyle w:val="18"/>
        <w:bidi w:val="0"/>
        <w:rPr>
          <w:rFonts w:hint="default"/>
          <w:highlight w:val="none"/>
          <w:lang w:val="en-US" w:eastAsia="zh-CN"/>
        </w:rPr>
      </w:pPr>
      <w:r>
        <w:rPr>
          <w:rFonts w:hint="eastAsia"/>
          <w:highlight w:val="none"/>
          <w:lang w:val="en-US" w:eastAsia="zh-CN"/>
        </w:rPr>
        <w:t>3.资金投入</w:t>
      </w:r>
    </w:p>
    <w:p w14:paraId="3264DB11">
      <w:pPr>
        <w:pStyle w:val="15"/>
        <w:bidi w:val="0"/>
        <w:rPr>
          <w:b/>
          <w:bCs/>
          <w:highlight w:val="none"/>
        </w:rPr>
      </w:pPr>
      <w:r>
        <w:rPr>
          <w:rFonts w:hint="eastAsia"/>
          <w:b/>
          <w:bCs/>
          <w:highlight w:val="none"/>
          <w:lang w:eastAsia="zh-CN"/>
        </w:rPr>
        <w:t>（</w:t>
      </w:r>
      <w:r>
        <w:rPr>
          <w:rFonts w:hint="eastAsia"/>
          <w:b/>
          <w:bCs/>
          <w:highlight w:val="none"/>
          <w:lang w:val="en-US" w:eastAsia="zh-CN"/>
        </w:rPr>
        <w:t>1</w:t>
      </w:r>
      <w:r>
        <w:rPr>
          <w:rFonts w:hint="eastAsia"/>
          <w:b/>
          <w:bCs/>
          <w:highlight w:val="none"/>
          <w:lang w:eastAsia="zh-CN"/>
        </w:rPr>
        <w:t>）</w:t>
      </w:r>
      <w:r>
        <w:rPr>
          <w:rFonts w:hint="eastAsia"/>
          <w:b/>
          <w:bCs/>
          <w:highlight w:val="none"/>
        </w:rPr>
        <w:t>预算编制科学性</w:t>
      </w:r>
    </w:p>
    <w:p w14:paraId="5FA69109">
      <w:pPr>
        <w:pStyle w:val="15"/>
        <w:bidi w:val="0"/>
        <w:rPr>
          <w:rFonts w:hint="eastAsia"/>
          <w:highlight w:val="none"/>
        </w:rPr>
      </w:pPr>
      <w:r>
        <w:rPr>
          <w:rFonts w:hint="eastAsia"/>
          <w:highlight w:val="none"/>
        </w:rPr>
        <w:t>预算编制经过相关领域专家组科学论证；预算内容与项目内容匹配；预算额度测算依据充分，严格按照标准编制；预算确定的项目资金额与工作任务相匹配。</w:t>
      </w:r>
    </w:p>
    <w:p w14:paraId="6D611A53">
      <w:pPr>
        <w:pStyle w:val="15"/>
        <w:bidi w:val="0"/>
        <w:rPr>
          <w:b/>
          <w:bCs/>
          <w:highlight w:val="none"/>
        </w:rPr>
      </w:pPr>
      <w:r>
        <w:rPr>
          <w:rFonts w:hint="eastAsia"/>
          <w:b/>
          <w:bCs/>
          <w:highlight w:val="none"/>
          <w:lang w:eastAsia="zh-CN"/>
        </w:rPr>
        <w:t>（</w:t>
      </w:r>
      <w:r>
        <w:rPr>
          <w:rFonts w:hint="eastAsia"/>
          <w:b/>
          <w:bCs/>
          <w:highlight w:val="none"/>
          <w:lang w:val="en-US" w:eastAsia="zh-CN"/>
        </w:rPr>
        <w:t>2）</w:t>
      </w:r>
      <w:r>
        <w:rPr>
          <w:rFonts w:hint="eastAsia"/>
          <w:b/>
          <w:bCs/>
          <w:highlight w:val="none"/>
        </w:rPr>
        <w:t>资金分配合理性</w:t>
      </w:r>
    </w:p>
    <w:p w14:paraId="6CB0BAD4">
      <w:pPr>
        <w:pStyle w:val="15"/>
        <w:bidi w:val="0"/>
        <w:rPr>
          <w:highlight w:val="none"/>
        </w:rPr>
      </w:pPr>
      <w:r>
        <w:rPr>
          <w:rFonts w:hint="eastAsia"/>
          <w:highlight w:val="none"/>
        </w:rPr>
        <w:t>预算资金分配依据充分；资金分配额度合理，与项目单位实际相适应。</w:t>
      </w:r>
    </w:p>
    <w:p w14:paraId="75A0AB0D">
      <w:pPr>
        <w:pStyle w:val="17"/>
        <w:bidi w:val="0"/>
        <w:rPr>
          <w:highlight w:val="none"/>
        </w:rPr>
      </w:pPr>
      <w:r>
        <w:rPr>
          <w:rFonts w:hint="eastAsia"/>
          <w:highlight w:val="none"/>
          <w:lang w:eastAsia="zh-CN"/>
        </w:rPr>
        <w:t>（</w:t>
      </w:r>
      <w:r>
        <w:rPr>
          <w:rFonts w:hint="eastAsia"/>
          <w:highlight w:val="none"/>
          <w:lang w:val="en-US" w:eastAsia="zh-CN"/>
        </w:rPr>
        <w:t>二</w:t>
      </w:r>
      <w:r>
        <w:rPr>
          <w:rFonts w:hint="eastAsia"/>
          <w:highlight w:val="none"/>
          <w:lang w:eastAsia="zh-CN"/>
        </w:rPr>
        <w:t>）</w:t>
      </w:r>
      <w:r>
        <w:rPr>
          <w:rFonts w:hint="eastAsia"/>
          <w:highlight w:val="none"/>
        </w:rPr>
        <w:t>项目过程情况</w:t>
      </w:r>
    </w:p>
    <w:p w14:paraId="1435AAEA">
      <w:pPr>
        <w:pStyle w:val="15"/>
        <w:bidi w:val="0"/>
        <w:rPr>
          <w:rFonts w:hint="eastAsia"/>
          <w:highlight w:val="none"/>
        </w:rPr>
      </w:pPr>
      <w:r>
        <w:rPr>
          <w:rFonts w:hint="eastAsia"/>
          <w:highlight w:val="none"/>
        </w:rPr>
        <w:t>项目过程类指标包括资金管理和组织实施两方面的内容，由5个三级指标构成，权重分值为20分，实际得分</w:t>
      </w:r>
      <w:r>
        <w:rPr>
          <w:rFonts w:hint="eastAsia"/>
          <w:highlight w:val="none"/>
          <w:lang w:val="en-US" w:eastAsia="zh-CN"/>
        </w:rPr>
        <w:t>20</w:t>
      </w:r>
      <w:r>
        <w:rPr>
          <w:rFonts w:hint="eastAsia"/>
          <w:highlight w:val="none"/>
        </w:rPr>
        <w:t>分，得分率为</w:t>
      </w:r>
      <w:r>
        <w:rPr>
          <w:rFonts w:hint="eastAsia"/>
          <w:highlight w:val="none"/>
          <w:lang w:val="en-US" w:eastAsia="zh-CN"/>
        </w:rPr>
        <w:t>100</w:t>
      </w:r>
      <w:r>
        <w:rPr>
          <w:rFonts w:hint="eastAsia"/>
          <w:highlight w:val="none"/>
        </w:rPr>
        <w:t>%。</w:t>
      </w:r>
    </w:p>
    <w:p w14:paraId="33F3BD32">
      <w:pPr>
        <w:pStyle w:val="15"/>
        <w:bidi w:val="0"/>
        <w:rPr>
          <w:rFonts w:hint="eastAsia"/>
          <w:highlight w:val="none"/>
        </w:rPr>
      </w:pPr>
      <w:r>
        <w:rPr>
          <w:rFonts w:hint="eastAsia"/>
          <w:highlight w:val="none"/>
        </w:rPr>
        <w:t>项目资金使用符合相关的财务管理制度规定，能够反映和考核项目资金的规范运行情况；项目实施单位的财务和业务管理制度健全，能够反映和考核财务和业务管理制度对项目顺利实施的保障情况。</w:t>
      </w:r>
    </w:p>
    <w:p w14:paraId="157265ED">
      <w:pPr>
        <w:pStyle w:val="18"/>
        <w:bidi w:val="0"/>
        <w:rPr>
          <w:rFonts w:hint="eastAsia"/>
          <w:highlight w:val="none"/>
          <w:lang w:val="en-US" w:eastAsia="zh-CN"/>
        </w:rPr>
      </w:pPr>
      <w:r>
        <w:rPr>
          <w:rFonts w:hint="eastAsia"/>
          <w:highlight w:val="none"/>
          <w:lang w:val="en-US" w:eastAsia="zh-CN"/>
        </w:rPr>
        <w:t>1.资金管理</w:t>
      </w:r>
    </w:p>
    <w:p w14:paraId="2E481555">
      <w:pPr>
        <w:pStyle w:val="15"/>
        <w:bidi w:val="0"/>
        <w:rPr>
          <w:b/>
          <w:bCs/>
          <w:highlight w:val="none"/>
        </w:rPr>
      </w:pPr>
      <w:r>
        <w:rPr>
          <w:rFonts w:hint="eastAsia"/>
          <w:b/>
          <w:bCs/>
          <w:highlight w:val="none"/>
          <w:lang w:val="en-US" w:eastAsia="zh-CN"/>
        </w:rPr>
        <w:t>（</w:t>
      </w:r>
      <w:r>
        <w:rPr>
          <w:rFonts w:hint="eastAsia"/>
          <w:b/>
          <w:bCs/>
          <w:highlight w:val="none"/>
        </w:rPr>
        <w:t>1</w:t>
      </w:r>
      <w:r>
        <w:rPr>
          <w:rFonts w:hint="eastAsia"/>
          <w:b/>
          <w:bCs/>
          <w:highlight w:val="none"/>
          <w:lang w:eastAsia="zh-CN"/>
        </w:rPr>
        <w:t>）</w:t>
      </w:r>
      <w:r>
        <w:rPr>
          <w:rFonts w:hint="eastAsia"/>
          <w:b/>
          <w:bCs/>
          <w:highlight w:val="none"/>
        </w:rPr>
        <w:t>资金到位率</w:t>
      </w:r>
    </w:p>
    <w:p w14:paraId="798DCD29">
      <w:pPr>
        <w:pStyle w:val="15"/>
        <w:bidi w:val="0"/>
        <w:rPr>
          <w:rFonts w:hint="eastAsia"/>
          <w:highlight w:val="none"/>
          <w:lang w:eastAsia="zh-CN"/>
        </w:rPr>
      </w:pPr>
      <w:r>
        <w:rPr>
          <w:rFonts w:hint="eastAsia"/>
          <w:highlight w:val="none"/>
          <w:lang w:eastAsia="zh-CN"/>
        </w:rPr>
        <w:t>本项目总投资2820万元，财政资金及时足额到位，到位率</w:t>
      </w:r>
      <w:r>
        <w:rPr>
          <w:rFonts w:hint="eastAsia"/>
          <w:highlight w:val="none"/>
          <w:lang w:val="en-US" w:eastAsia="zh-CN"/>
        </w:rPr>
        <w:t>100</w:t>
      </w:r>
      <w:r>
        <w:rPr>
          <w:rFonts w:hint="eastAsia"/>
          <w:highlight w:val="none"/>
          <w:lang w:eastAsia="zh-CN"/>
        </w:rPr>
        <w:t>%，预算资金按计划进度执行。</w:t>
      </w:r>
    </w:p>
    <w:p w14:paraId="092086D8">
      <w:pPr>
        <w:pStyle w:val="15"/>
        <w:bidi w:val="0"/>
        <w:rPr>
          <w:b/>
          <w:bCs/>
          <w:highlight w:val="none"/>
        </w:rPr>
      </w:pPr>
      <w:r>
        <w:rPr>
          <w:rFonts w:hint="eastAsia"/>
          <w:b/>
          <w:bCs/>
          <w:highlight w:val="none"/>
          <w:lang w:eastAsia="zh-CN"/>
        </w:rPr>
        <w:t>（</w:t>
      </w:r>
      <w:r>
        <w:rPr>
          <w:rFonts w:hint="eastAsia"/>
          <w:b/>
          <w:bCs/>
          <w:highlight w:val="none"/>
        </w:rPr>
        <w:t>2</w:t>
      </w:r>
      <w:r>
        <w:rPr>
          <w:rFonts w:hint="eastAsia"/>
          <w:b/>
          <w:bCs/>
          <w:highlight w:val="none"/>
          <w:lang w:eastAsia="zh-CN"/>
        </w:rPr>
        <w:t>）</w:t>
      </w:r>
      <w:r>
        <w:rPr>
          <w:rFonts w:hint="eastAsia"/>
          <w:b/>
          <w:bCs/>
          <w:highlight w:val="none"/>
        </w:rPr>
        <w:t>预算执行率</w:t>
      </w:r>
    </w:p>
    <w:p w14:paraId="2366DB91">
      <w:pPr>
        <w:pStyle w:val="15"/>
        <w:bidi w:val="0"/>
        <w:rPr>
          <w:rFonts w:hint="eastAsia"/>
          <w:b w:val="0"/>
          <w:bCs w:val="0"/>
          <w:highlight w:val="none"/>
          <w:lang w:eastAsia="zh-CN"/>
        </w:rPr>
      </w:pPr>
      <w:r>
        <w:rPr>
          <w:rFonts w:hint="eastAsia"/>
          <w:highlight w:val="none"/>
        </w:rPr>
        <w:t>年初预算数</w:t>
      </w:r>
      <w:r>
        <w:rPr>
          <w:rFonts w:hint="eastAsia"/>
          <w:highlight w:val="none"/>
          <w:lang w:val="en-US" w:eastAsia="zh-CN"/>
        </w:rPr>
        <w:t>2820</w:t>
      </w:r>
      <w:r>
        <w:rPr>
          <w:rFonts w:hint="eastAsia"/>
          <w:highlight w:val="none"/>
        </w:rPr>
        <w:t>万元，全年预算数</w:t>
      </w:r>
      <w:r>
        <w:rPr>
          <w:rFonts w:hint="eastAsia"/>
          <w:highlight w:val="none"/>
          <w:lang w:val="en-US" w:eastAsia="zh-CN"/>
        </w:rPr>
        <w:t>2820</w:t>
      </w:r>
      <w:r>
        <w:rPr>
          <w:rFonts w:hint="eastAsia"/>
          <w:highlight w:val="none"/>
        </w:rPr>
        <w:t>万元，全年执行</w:t>
      </w:r>
      <w:r>
        <w:rPr>
          <w:rFonts w:hint="eastAsia"/>
          <w:b w:val="0"/>
          <w:bCs w:val="0"/>
          <w:highlight w:val="none"/>
        </w:rPr>
        <w:t>数</w:t>
      </w:r>
      <w:r>
        <w:rPr>
          <w:rFonts w:hint="eastAsia"/>
          <w:b w:val="0"/>
          <w:bCs w:val="0"/>
          <w:highlight w:val="none"/>
          <w:lang w:val="en-US" w:eastAsia="zh-CN"/>
        </w:rPr>
        <w:t>2820</w:t>
      </w:r>
      <w:r>
        <w:rPr>
          <w:rFonts w:hint="eastAsia"/>
          <w:b w:val="0"/>
          <w:bCs w:val="0"/>
          <w:highlight w:val="none"/>
        </w:rPr>
        <w:t>万元，预算执行率为</w:t>
      </w:r>
      <w:r>
        <w:rPr>
          <w:rFonts w:hint="eastAsia"/>
          <w:b w:val="0"/>
          <w:bCs w:val="0"/>
          <w:highlight w:val="none"/>
          <w:lang w:val="en-US" w:eastAsia="zh-CN"/>
        </w:rPr>
        <w:t>100</w:t>
      </w:r>
      <w:r>
        <w:rPr>
          <w:rFonts w:hint="eastAsia"/>
          <w:b w:val="0"/>
          <w:bCs w:val="0"/>
          <w:highlight w:val="none"/>
        </w:rPr>
        <w:t>%</w:t>
      </w:r>
      <w:r>
        <w:rPr>
          <w:rFonts w:hint="eastAsia"/>
          <w:b w:val="0"/>
          <w:bCs w:val="0"/>
          <w:highlight w:val="none"/>
          <w:lang w:eastAsia="zh-CN"/>
        </w:rPr>
        <w:t>。</w:t>
      </w:r>
    </w:p>
    <w:p w14:paraId="7A1C30D9">
      <w:pPr>
        <w:pStyle w:val="15"/>
        <w:bidi w:val="0"/>
        <w:rPr>
          <w:b/>
          <w:bCs/>
          <w:highlight w:val="none"/>
        </w:rPr>
      </w:pPr>
      <w:r>
        <w:rPr>
          <w:rFonts w:hint="eastAsia"/>
          <w:b/>
          <w:bCs/>
          <w:highlight w:val="none"/>
          <w:lang w:eastAsia="zh-CN"/>
        </w:rPr>
        <w:t>（</w:t>
      </w:r>
      <w:r>
        <w:rPr>
          <w:rFonts w:hint="eastAsia"/>
          <w:b/>
          <w:bCs/>
          <w:highlight w:val="none"/>
        </w:rPr>
        <w:t>3</w:t>
      </w:r>
      <w:r>
        <w:rPr>
          <w:rFonts w:hint="eastAsia"/>
          <w:b/>
          <w:bCs/>
          <w:highlight w:val="none"/>
          <w:lang w:eastAsia="zh-CN"/>
        </w:rPr>
        <w:t>）</w:t>
      </w:r>
      <w:r>
        <w:rPr>
          <w:rFonts w:hint="eastAsia"/>
          <w:b/>
          <w:bCs/>
          <w:highlight w:val="none"/>
        </w:rPr>
        <w:t>资金使用合规性</w:t>
      </w:r>
    </w:p>
    <w:p w14:paraId="21E32325">
      <w:pPr>
        <w:pStyle w:val="15"/>
        <w:bidi w:val="0"/>
        <w:rPr>
          <w:rFonts w:hint="eastAsia"/>
          <w:highlight w:val="none"/>
          <w:lang w:eastAsia="zh-CN"/>
        </w:rPr>
      </w:pPr>
      <w:r>
        <w:rPr>
          <w:rFonts w:hint="eastAsia"/>
          <w:highlight w:val="none"/>
          <w:lang w:val="en-US" w:eastAsia="zh-CN"/>
        </w:rPr>
        <w:t>项目资金</w:t>
      </w:r>
      <w:r>
        <w:rPr>
          <w:rFonts w:hint="eastAsia"/>
          <w:highlight w:val="none"/>
        </w:rPr>
        <w:t>符合国家财经法规和财务管理制度以及</w:t>
      </w:r>
      <w:r>
        <w:rPr>
          <w:rFonts w:hint="eastAsia"/>
          <w:highlight w:val="none"/>
          <w:lang w:val="en-US" w:eastAsia="zh-CN"/>
        </w:rPr>
        <w:t>财政</w:t>
      </w:r>
      <w:r>
        <w:rPr>
          <w:rFonts w:hint="eastAsia"/>
          <w:highlight w:val="none"/>
        </w:rPr>
        <w:t>专项资金管理办法的规定；资金的拨付有完整的审批程序和手续；</w:t>
      </w:r>
      <w:r>
        <w:rPr>
          <w:rFonts w:hint="eastAsia"/>
          <w:highlight w:val="none"/>
          <w:lang w:val="en-US" w:eastAsia="zh-CN"/>
        </w:rPr>
        <w:t>资金的使用</w:t>
      </w:r>
      <w:r>
        <w:rPr>
          <w:rFonts w:hint="eastAsia"/>
          <w:highlight w:val="none"/>
        </w:rPr>
        <w:t>符合项目预算批复或合同规定的用途</w:t>
      </w:r>
      <w:r>
        <w:rPr>
          <w:rFonts w:hint="eastAsia"/>
          <w:highlight w:val="none"/>
          <w:lang w:eastAsia="zh-CN"/>
        </w:rPr>
        <w:t>，</w:t>
      </w:r>
      <w:r>
        <w:rPr>
          <w:rFonts w:hint="eastAsia"/>
          <w:highlight w:val="none"/>
          <w:lang w:val="en-US" w:eastAsia="zh-CN"/>
        </w:rPr>
        <w:t>在使用过程中不</w:t>
      </w:r>
      <w:r>
        <w:rPr>
          <w:rFonts w:hint="eastAsia"/>
          <w:highlight w:val="none"/>
        </w:rPr>
        <w:t>存在截留、挤占、挪用、虚列支出等情况</w:t>
      </w:r>
      <w:r>
        <w:rPr>
          <w:rFonts w:hint="eastAsia"/>
          <w:highlight w:val="none"/>
          <w:lang w:eastAsia="zh-CN"/>
        </w:rPr>
        <w:t>。</w:t>
      </w:r>
    </w:p>
    <w:p w14:paraId="5D3D48C5">
      <w:pPr>
        <w:pStyle w:val="18"/>
        <w:bidi w:val="0"/>
        <w:rPr>
          <w:rFonts w:hint="eastAsia"/>
          <w:highlight w:val="none"/>
          <w:lang w:val="en-US" w:eastAsia="zh-CN"/>
        </w:rPr>
      </w:pPr>
      <w:r>
        <w:rPr>
          <w:rFonts w:hint="eastAsia"/>
          <w:highlight w:val="none"/>
          <w:lang w:val="en-US" w:eastAsia="zh-CN"/>
        </w:rPr>
        <w:t>2.组织实施</w:t>
      </w:r>
    </w:p>
    <w:p w14:paraId="659F3135">
      <w:pPr>
        <w:pStyle w:val="15"/>
        <w:bidi w:val="0"/>
        <w:rPr>
          <w:b/>
          <w:bCs/>
          <w:highlight w:val="none"/>
        </w:rPr>
      </w:pPr>
      <w:r>
        <w:rPr>
          <w:rFonts w:hint="eastAsia"/>
          <w:b/>
          <w:bCs/>
          <w:highlight w:val="none"/>
          <w:lang w:val="en-US" w:eastAsia="zh-CN"/>
        </w:rPr>
        <w:t>（1）</w:t>
      </w:r>
      <w:r>
        <w:rPr>
          <w:rFonts w:hint="eastAsia"/>
          <w:b/>
          <w:bCs/>
          <w:highlight w:val="none"/>
        </w:rPr>
        <w:t>管理制度健全性</w:t>
      </w:r>
    </w:p>
    <w:p w14:paraId="3FFB0AA9">
      <w:pPr>
        <w:pStyle w:val="15"/>
        <w:bidi w:val="0"/>
        <w:rPr>
          <w:highlight w:val="none"/>
        </w:rPr>
      </w:pPr>
      <w:r>
        <w:rPr>
          <w:rFonts w:hint="eastAsia"/>
          <w:highlight w:val="none"/>
          <w:lang w:val="en-US" w:eastAsia="zh-CN"/>
        </w:rPr>
        <w:t>按照财政资金使用管理办法及医院财务制度等相关管理办法，对项目资金进行严格管理，做到专款专用，资金的使用符合相关的财务管理制度规定。</w:t>
      </w:r>
    </w:p>
    <w:p w14:paraId="414A6D66">
      <w:pPr>
        <w:pStyle w:val="15"/>
        <w:bidi w:val="0"/>
        <w:rPr>
          <w:b/>
          <w:bCs/>
          <w:highlight w:val="none"/>
        </w:rPr>
      </w:pPr>
      <w:r>
        <w:rPr>
          <w:rFonts w:hint="eastAsia"/>
          <w:b/>
          <w:bCs/>
          <w:highlight w:val="none"/>
          <w:lang w:eastAsia="zh-CN"/>
        </w:rPr>
        <w:t>（</w:t>
      </w:r>
      <w:r>
        <w:rPr>
          <w:rFonts w:hint="eastAsia"/>
          <w:b/>
          <w:bCs/>
          <w:highlight w:val="none"/>
          <w:lang w:val="en-US" w:eastAsia="zh-CN"/>
        </w:rPr>
        <w:t>2</w:t>
      </w:r>
      <w:r>
        <w:rPr>
          <w:rFonts w:hint="eastAsia"/>
          <w:b/>
          <w:bCs/>
          <w:highlight w:val="none"/>
          <w:lang w:eastAsia="zh-CN"/>
        </w:rPr>
        <w:t>）</w:t>
      </w:r>
      <w:r>
        <w:rPr>
          <w:rFonts w:hint="eastAsia"/>
          <w:b/>
          <w:bCs/>
          <w:highlight w:val="none"/>
        </w:rPr>
        <w:t>制度执行有效性</w:t>
      </w:r>
    </w:p>
    <w:p w14:paraId="39F600D7">
      <w:pPr>
        <w:pStyle w:val="15"/>
        <w:bidi w:val="0"/>
        <w:rPr>
          <w:highlight w:val="none"/>
        </w:rPr>
      </w:pPr>
      <w:r>
        <w:rPr>
          <w:rFonts w:hint="eastAsia"/>
          <w:highlight w:val="none"/>
        </w:rPr>
        <w:t>严格遵守相关法律法规和相关管理规定；项目合同书、验收报告等资料齐全并及时归档；项目实施的人员条件、场地设备、信息支撑等完全落实到位。</w:t>
      </w:r>
    </w:p>
    <w:p w14:paraId="2AEEA11C">
      <w:pPr>
        <w:pStyle w:val="17"/>
        <w:bidi w:val="0"/>
        <w:rPr>
          <w:rFonts w:hint="eastAsia"/>
          <w:highlight w:val="none"/>
          <w:lang w:val="en-US" w:eastAsia="zh-CN"/>
        </w:rPr>
      </w:pPr>
      <w:r>
        <w:rPr>
          <w:rFonts w:hint="eastAsia"/>
          <w:highlight w:val="none"/>
          <w:lang w:eastAsia="zh-CN"/>
        </w:rPr>
        <w:t>（</w:t>
      </w:r>
      <w:r>
        <w:rPr>
          <w:rFonts w:hint="eastAsia"/>
          <w:highlight w:val="none"/>
          <w:lang w:val="en-US" w:eastAsia="zh-CN"/>
        </w:rPr>
        <w:t>三</w:t>
      </w:r>
      <w:r>
        <w:rPr>
          <w:rFonts w:hint="eastAsia"/>
          <w:highlight w:val="none"/>
          <w:lang w:eastAsia="zh-CN"/>
        </w:rPr>
        <w:t>）</w:t>
      </w:r>
      <w:r>
        <w:rPr>
          <w:highlight w:val="none"/>
        </w:rPr>
        <w:t>项目产出</w:t>
      </w:r>
      <w:r>
        <w:rPr>
          <w:rFonts w:hint="eastAsia"/>
          <w:highlight w:val="none"/>
          <w:lang w:val="en-US" w:eastAsia="zh-CN"/>
        </w:rPr>
        <w:t>情况</w:t>
      </w:r>
    </w:p>
    <w:p w14:paraId="2580AF3B">
      <w:pPr>
        <w:pStyle w:val="15"/>
        <w:bidi w:val="0"/>
        <w:rPr>
          <w:highlight w:val="none"/>
        </w:rPr>
      </w:pPr>
      <w:r>
        <w:rPr>
          <w:rFonts w:hint="eastAsia"/>
          <w:highlight w:val="none"/>
        </w:rPr>
        <w:t>项目产出类指标包括产出数量、产出质量、产出时效、产出成本四方面的内容，由</w:t>
      </w:r>
      <w:r>
        <w:rPr>
          <w:rFonts w:hint="eastAsia"/>
          <w:highlight w:val="none"/>
          <w:lang w:val="en-US" w:eastAsia="zh-CN"/>
        </w:rPr>
        <w:t>5</w:t>
      </w:r>
      <w:r>
        <w:rPr>
          <w:rFonts w:hint="eastAsia"/>
          <w:highlight w:val="none"/>
        </w:rPr>
        <w:t>个三级指标构成，权重分为40分，实际得分</w:t>
      </w:r>
      <w:r>
        <w:rPr>
          <w:rFonts w:hint="eastAsia"/>
          <w:highlight w:val="none"/>
          <w:lang w:val="en-US" w:eastAsia="zh-CN"/>
        </w:rPr>
        <w:t>40</w:t>
      </w:r>
      <w:r>
        <w:rPr>
          <w:rFonts w:hint="eastAsia"/>
          <w:highlight w:val="none"/>
        </w:rPr>
        <w:t>分，得分率为</w:t>
      </w:r>
      <w:r>
        <w:rPr>
          <w:rFonts w:hint="eastAsia"/>
          <w:highlight w:val="none"/>
          <w:lang w:val="en-US" w:eastAsia="zh-CN"/>
        </w:rPr>
        <w:t>100</w:t>
      </w:r>
      <w:r>
        <w:rPr>
          <w:rFonts w:hint="eastAsia"/>
          <w:highlight w:val="none"/>
        </w:rPr>
        <w:t>%。具体产出指标完成情况如下：</w:t>
      </w:r>
    </w:p>
    <w:p w14:paraId="468A7253">
      <w:pPr>
        <w:pStyle w:val="15"/>
        <w:bidi w:val="0"/>
        <w:rPr>
          <w:highlight w:val="none"/>
        </w:rPr>
      </w:pPr>
      <w:r>
        <w:rPr>
          <w:highlight w:val="none"/>
        </w:rPr>
        <w:t>数量指标方面：</w:t>
      </w:r>
    </w:p>
    <w:p w14:paraId="27F39D60">
      <w:pPr>
        <w:pStyle w:val="15"/>
        <w:bidi w:val="0"/>
        <w:rPr>
          <w:highlight w:val="none"/>
        </w:rPr>
      </w:pPr>
      <w:r>
        <w:rPr>
          <w:highlight w:val="none"/>
        </w:rPr>
        <w:t>指标1：</w:t>
      </w:r>
      <w:r>
        <w:rPr>
          <w:rFonts w:hint="eastAsia"/>
          <w:highlight w:val="none"/>
        </w:rPr>
        <w:t>配置ICU床位数量及配备设备数量</w:t>
      </w:r>
      <w:r>
        <w:rPr>
          <w:highlight w:val="none"/>
        </w:rPr>
        <w:t>，指标值：</w:t>
      </w:r>
      <w:r>
        <w:rPr>
          <w:rFonts w:hint="eastAsia"/>
          <w:highlight w:val="none"/>
          <w:lang w:val="en-US" w:eastAsia="zh-CN"/>
        </w:rPr>
        <w:t>≥46床（套）</w:t>
      </w:r>
      <w:r>
        <w:rPr>
          <w:highlight w:val="none"/>
        </w:rPr>
        <w:t>，实际完成值：</w:t>
      </w:r>
      <w:r>
        <w:rPr>
          <w:rFonts w:hint="eastAsia"/>
          <w:highlight w:val="none"/>
          <w:lang w:val="en-US" w:eastAsia="zh-CN"/>
        </w:rPr>
        <w:t>=50床（套）</w:t>
      </w:r>
      <w:r>
        <w:rPr>
          <w:highlight w:val="none"/>
        </w:rPr>
        <w:t>，指标完成率</w:t>
      </w:r>
      <w:r>
        <w:rPr>
          <w:rFonts w:hint="eastAsia"/>
          <w:highlight w:val="none"/>
          <w:lang w:val="en-US" w:eastAsia="zh-CN"/>
        </w:rPr>
        <w:t>108.7</w:t>
      </w:r>
      <w:r>
        <w:rPr>
          <w:highlight w:val="none"/>
        </w:rPr>
        <w:t>%；</w:t>
      </w:r>
    </w:p>
    <w:p w14:paraId="6A580826">
      <w:pPr>
        <w:pStyle w:val="15"/>
        <w:bidi w:val="0"/>
        <w:rPr>
          <w:highlight w:val="none"/>
        </w:rPr>
      </w:pPr>
      <w:r>
        <w:rPr>
          <w:highlight w:val="none"/>
        </w:rPr>
        <w:t>质量指标方面：</w:t>
      </w:r>
    </w:p>
    <w:p w14:paraId="208FA573">
      <w:pPr>
        <w:pStyle w:val="15"/>
        <w:bidi w:val="0"/>
        <w:rPr>
          <w:highlight w:val="none"/>
        </w:rPr>
      </w:pPr>
      <w:r>
        <w:rPr>
          <w:highlight w:val="none"/>
        </w:rPr>
        <w:t>指标1：</w:t>
      </w:r>
      <w:r>
        <w:rPr>
          <w:rFonts w:hint="eastAsia"/>
          <w:highlight w:val="none"/>
        </w:rPr>
        <w:t>设备质量合格率</w:t>
      </w:r>
      <w:r>
        <w:rPr>
          <w:highlight w:val="none"/>
        </w:rPr>
        <w:t>，指标值</w:t>
      </w:r>
      <w:r>
        <w:rPr>
          <w:rFonts w:hint="eastAsia"/>
          <w:highlight w:val="none"/>
          <w:lang w:val="en-US" w:eastAsia="zh-CN"/>
        </w:rPr>
        <w:t>＞95%</w:t>
      </w:r>
      <w:r>
        <w:rPr>
          <w:highlight w:val="none"/>
        </w:rPr>
        <w:t>，实际完成值：</w:t>
      </w:r>
      <w:r>
        <w:rPr>
          <w:rFonts w:hint="eastAsia"/>
          <w:highlight w:val="none"/>
          <w:lang w:val="en-US" w:eastAsia="zh-CN"/>
        </w:rPr>
        <w:t>=100%</w:t>
      </w:r>
      <w:r>
        <w:rPr>
          <w:highlight w:val="none"/>
        </w:rPr>
        <w:t>，指标完成率</w:t>
      </w:r>
      <w:r>
        <w:rPr>
          <w:rFonts w:hint="eastAsia"/>
          <w:highlight w:val="none"/>
          <w:lang w:val="en-US" w:eastAsia="zh-CN"/>
        </w:rPr>
        <w:t>105.26%；</w:t>
      </w:r>
    </w:p>
    <w:p w14:paraId="2A8B8F67">
      <w:pPr>
        <w:pStyle w:val="15"/>
        <w:bidi w:val="0"/>
        <w:rPr>
          <w:highlight w:val="none"/>
        </w:rPr>
      </w:pPr>
      <w:r>
        <w:rPr>
          <w:highlight w:val="none"/>
        </w:rPr>
        <w:t>指标</w:t>
      </w:r>
      <w:r>
        <w:rPr>
          <w:rFonts w:hint="eastAsia"/>
          <w:highlight w:val="none"/>
          <w:lang w:val="en-US" w:eastAsia="zh-CN"/>
        </w:rPr>
        <w:t>2</w:t>
      </w:r>
      <w:r>
        <w:rPr>
          <w:highlight w:val="none"/>
        </w:rPr>
        <w:t>：</w:t>
      </w:r>
      <w:r>
        <w:rPr>
          <w:rFonts w:hint="eastAsia"/>
          <w:highlight w:val="none"/>
        </w:rPr>
        <w:t>设备</w:t>
      </w:r>
      <w:r>
        <w:rPr>
          <w:rFonts w:hint="eastAsia"/>
          <w:highlight w:val="none"/>
          <w:lang w:eastAsia="zh-CN"/>
        </w:rPr>
        <w:t>验收</w:t>
      </w:r>
      <w:r>
        <w:rPr>
          <w:rFonts w:hint="eastAsia"/>
          <w:highlight w:val="none"/>
        </w:rPr>
        <w:t>合格率</w:t>
      </w:r>
      <w:r>
        <w:rPr>
          <w:highlight w:val="none"/>
        </w:rPr>
        <w:t>，指标值：</w:t>
      </w:r>
      <w:r>
        <w:rPr>
          <w:rFonts w:hint="eastAsia"/>
          <w:highlight w:val="none"/>
          <w:lang w:val="en-US" w:eastAsia="zh-CN"/>
        </w:rPr>
        <w:t>＞95%</w:t>
      </w:r>
      <w:r>
        <w:rPr>
          <w:highlight w:val="none"/>
        </w:rPr>
        <w:t>，实际完成值：</w:t>
      </w:r>
      <w:r>
        <w:rPr>
          <w:rFonts w:hint="eastAsia"/>
          <w:highlight w:val="none"/>
          <w:lang w:val="en-US" w:eastAsia="zh-CN"/>
        </w:rPr>
        <w:t>=100%</w:t>
      </w:r>
      <w:r>
        <w:rPr>
          <w:highlight w:val="none"/>
        </w:rPr>
        <w:t>，指标完成率</w:t>
      </w:r>
      <w:r>
        <w:rPr>
          <w:rFonts w:hint="eastAsia"/>
          <w:highlight w:val="none"/>
          <w:lang w:val="en-US" w:eastAsia="zh-CN"/>
        </w:rPr>
        <w:t>105.26%；</w:t>
      </w:r>
    </w:p>
    <w:p w14:paraId="2D681979">
      <w:pPr>
        <w:pStyle w:val="15"/>
        <w:bidi w:val="0"/>
        <w:rPr>
          <w:highlight w:val="none"/>
        </w:rPr>
      </w:pPr>
      <w:r>
        <w:rPr>
          <w:rFonts w:hint="eastAsia"/>
          <w:highlight w:val="none"/>
          <w:lang w:eastAsia="zh-CN"/>
        </w:rPr>
        <w:t>时效</w:t>
      </w:r>
      <w:r>
        <w:rPr>
          <w:highlight w:val="none"/>
        </w:rPr>
        <w:t>指标方面：</w:t>
      </w:r>
    </w:p>
    <w:p w14:paraId="196E1AA0">
      <w:pPr>
        <w:pStyle w:val="15"/>
        <w:bidi w:val="0"/>
        <w:rPr>
          <w:highlight w:val="none"/>
        </w:rPr>
      </w:pPr>
      <w:r>
        <w:rPr>
          <w:highlight w:val="none"/>
        </w:rPr>
        <w:t>指标</w:t>
      </w:r>
      <w:r>
        <w:rPr>
          <w:rFonts w:hint="eastAsia"/>
          <w:highlight w:val="none"/>
          <w:lang w:val="en-US" w:eastAsia="zh-CN"/>
        </w:rPr>
        <w:t>1</w:t>
      </w:r>
      <w:r>
        <w:rPr>
          <w:highlight w:val="none"/>
        </w:rPr>
        <w:t>：</w:t>
      </w:r>
      <w:r>
        <w:rPr>
          <w:rFonts w:hint="eastAsia"/>
          <w:highlight w:val="none"/>
        </w:rPr>
        <w:t>床位改造完成时间</w:t>
      </w:r>
      <w:r>
        <w:rPr>
          <w:highlight w:val="none"/>
        </w:rPr>
        <w:t>，指标值：</w:t>
      </w:r>
      <w:r>
        <w:rPr>
          <w:rFonts w:hint="eastAsia"/>
          <w:highlight w:val="none"/>
          <w:lang w:val="en-US" w:eastAsia="zh-CN"/>
        </w:rPr>
        <w:t>2022年12月31日前</w:t>
      </w:r>
      <w:r>
        <w:rPr>
          <w:highlight w:val="none"/>
        </w:rPr>
        <w:t>，实际完成值：</w:t>
      </w:r>
      <w:r>
        <w:rPr>
          <w:rFonts w:hint="eastAsia"/>
          <w:highlight w:val="none"/>
          <w:lang w:val="en-US" w:eastAsia="zh-CN"/>
        </w:rPr>
        <w:t>2023年5月31日</w:t>
      </w:r>
      <w:r>
        <w:rPr>
          <w:highlight w:val="none"/>
        </w:rPr>
        <w:t>，指标完成率</w:t>
      </w:r>
      <w:r>
        <w:rPr>
          <w:rFonts w:hint="eastAsia"/>
          <w:highlight w:val="none"/>
          <w:lang w:val="en-US" w:eastAsia="zh-CN"/>
        </w:rPr>
        <w:t>100%，</w:t>
      </w:r>
      <w:r>
        <w:rPr>
          <w:rFonts w:hint="eastAsia"/>
          <w:highlight w:val="none"/>
          <w:lang w:eastAsia="zh-Hans"/>
        </w:rPr>
        <w:t>偏差原因：</w:t>
      </w:r>
      <w:r>
        <w:rPr>
          <w:rFonts w:hint="eastAsia"/>
          <w:highlight w:val="none"/>
          <w:lang w:val="en-US" w:eastAsia="zh-CN"/>
        </w:rPr>
        <w:t>2023年1月资金拨付后开始实施项目；</w:t>
      </w:r>
    </w:p>
    <w:p w14:paraId="34A06DDB">
      <w:pPr>
        <w:pStyle w:val="15"/>
        <w:bidi w:val="0"/>
        <w:rPr>
          <w:highlight w:val="none"/>
        </w:rPr>
      </w:pPr>
      <w:r>
        <w:rPr>
          <w:highlight w:val="none"/>
        </w:rPr>
        <w:t>成本指标方面：</w:t>
      </w:r>
    </w:p>
    <w:p w14:paraId="5631F3CD">
      <w:pPr>
        <w:pStyle w:val="15"/>
        <w:bidi w:val="0"/>
        <w:rPr>
          <w:rFonts w:hint="eastAsia"/>
          <w:highlight w:val="none"/>
          <w:lang w:val="en-US" w:eastAsia="zh-CN"/>
        </w:rPr>
      </w:pPr>
      <w:r>
        <w:rPr>
          <w:highlight w:val="none"/>
        </w:rPr>
        <w:t>指标1：</w:t>
      </w:r>
      <w:r>
        <w:rPr>
          <w:rFonts w:hint="eastAsia"/>
          <w:highlight w:val="none"/>
        </w:rPr>
        <w:t>设备采购成本控制数</w:t>
      </w:r>
      <w:r>
        <w:rPr>
          <w:highlight w:val="none"/>
        </w:rPr>
        <w:t>，指标值：</w:t>
      </w:r>
      <w:r>
        <w:rPr>
          <w:rFonts w:hint="eastAsia"/>
          <w:highlight w:val="none"/>
          <w:lang w:val="en-US" w:eastAsia="zh-CN"/>
        </w:rPr>
        <w:t>≥61万元/床</w:t>
      </w:r>
      <w:r>
        <w:rPr>
          <w:highlight w:val="none"/>
        </w:rPr>
        <w:t>，实际完成值：</w:t>
      </w:r>
      <w:r>
        <w:rPr>
          <w:rFonts w:hint="eastAsia"/>
          <w:highlight w:val="none"/>
          <w:lang w:val="en-US" w:eastAsia="zh-CN"/>
        </w:rPr>
        <w:t>56.4万元/床</w:t>
      </w:r>
      <w:r>
        <w:rPr>
          <w:highlight w:val="none"/>
        </w:rPr>
        <w:t>，指标完成率</w:t>
      </w:r>
      <w:r>
        <w:rPr>
          <w:rFonts w:hint="eastAsia"/>
          <w:highlight w:val="none"/>
          <w:lang w:val="en-US" w:eastAsia="zh-CN"/>
        </w:rPr>
        <w:t>100</w:t>
      </w:r>
      <w:r>
        <w:rPr>
          <w:highlight w:val="none"/>
        </w:rPr>
        <w:t>%</w:t>
      </w:r>
      <w:r>
        <w:rPr>
          <w:rFonts w:hint="eastAsia"/>
          <w:highlight w:val="none"/>
          <w:lang w:eastAsia="zh-CN"/>
        </w:rPr>
        <w:t>。</w:t>
      </w:r>
    </w:p>
    <w:p w14:paraId="551B6663">
      <w:pPr>
        <w:pStyle w:val="17"/>
        <w:bidi w:val="0"/>
        <w:rPr>
          <w:highlight w:val="none"/>
        </w:rPr>
      </w:pPr>
      <w:r>
        <w:rPr>
          <w:rFonts w:hint="eastAsia"/>
          <w:highlight w:val="none"/>
          <w:lang w:eastAsia="zh-CN"/>
        </w:rPr>
        <w:t>（</w:t>
      </w:r>
      <w:r>
        <w:rPr>
          <w:rFonts w:hint="eastAsia"/>
          <w:highlight w:val="none"/>
          <w:lang w:val="en-US" w:eastAsia="zh-CN"/>
        </w:rPr>
        <w:t>四</w:t>
      </w:r>
      <w:r>
        <w:rPr>
          <w:rFonts w:hint="eastAsia"/>
          <w:highlight w:val="none"/>
          <w:lang w:eastAsia="zh-CN"/>
        </w:rPr>
        <w:t>）</w:t>
      </w:r>
      <w:r>
        <w:rPr>
          <w:highlight w:val="none"/>
        </w:rPr>
        <w:t>效益情况</w:t>
      </w:r>
    </w:p>
    <w:p w14:paraId="7C659AC8">
      <w:pPr>
        <w:pStyle w:val="15"/>
        <w:bidi w:val="0"/>
        <w:rPr>
          <w:rFonts w:hint="eastAsia"/>
          <w:highlight w:val="none"/>
          <w:lang w:eastAsia="zh-Hans"/>
        </w:rPr>
      </w:pPr>
      <w:r>
        <w:rPr>
          <w:rFonts w:hint="eastAsia"/>
          <w:highlight w:val="none"/>
          <w:lang w:eastAsia="zh-Hans"/>
        </w:rPr>
        <w:t>项目效益类指标包括项目实施效益和满意度两方面的内容，由</w:t>
      </w:r>
      <w:r>
        <w:rPr>
          <w:rFonts w:hint="eastAsia"/>
          <w:highlight w:val="none"/>
          <w:lang w:val="en-US" w:eastAsia="zh-CN"/>
        </w:rPr>
        <w:t>2</w:t>
      </w:r>
      <w:r>
        <w:rPr>
          <w:rFonts w:hint="eastAsia"/>
          <w:highlight w:val="none"/>
          <w:lang w:eastAsia="zh-Hans"/>
        </w:rPr>
        <w:t>个三级指标构成，权重分为20分，实际得分</w:t>
      </w:r>
      <w:r>
        <w:rPr>
          <w:rFonts w:hint="eastAsia"/>
          <w:highlight w:val="none"/>
          <w:lang w:val="en-US" w:eastAsia="zh-CN"/>
        </w:rPr>
        <w:t>20</w:t>
      </w:r>
      <w:r>
        <w:rPr>
          <w:rFonts w:hint="eastAsia"/>
          <w:highlight w:val="none"/>
          <w:lang w:eastAsia="zh-Hans"/>
        </w:rPr>
        <w:t>分，得分率为</w:t>
      </w:r>
      <w:r>
        <w:rPr>
          <w:rFonts w:hint="eastAsia"/>
          <w:highlight w:val="none"/>
          <w:lang w:val="en-US" w:eastAsia="zh-CN"/>
        </w:rPr>
        <w:t>100</w:t>
      </w:r>
      <w:r>
        <w:rPr>
          <w:rFonts w:hint="eastAsia"/>
          <w:highlight w:val="none"/>
          <w:lang w:eastAsia="zh-Hans"/>
        </w:rPr>
        <w:t>%。具体效益指标及满意度指标完成情况如下：</w:t>
      </w:r>
    </w:p>
    <w:p w14:paraId="29943115">
      <w:pPr>
        <w:pStyle w:val="15"/>
        <w:bidi w:val="0"/>
        <w:rPr>
          <w:rFonts w:hint="eastAsia"/>
          <w:highlight w:val="none"/>
          <w:lang w:eastAsia="zh-Hans"/>
        </w:rPr>
      </w:pPr>
      <w:r>
        <w:rPr>
          <w:rFonts w:hint="eastAsia"/>
          <w:highlight w:val="none"/>
          <w:lang w:eastAsia="zh-Hans"/>
        </w:rPr>
        <w:t>1.实施效益</w:t>
      </w:r>
    </w:p>
    <w:p w14:paraId="1B284A02">
      <w:pPr>
        <w:pStyle w:val="15"/>
        <w:bidi w:val="0"/>
        <w:rPr>
          <w:highlight w:val="none"/>
          <w:lang w:eastAsia="zh-Hans"/>
        </w:rPr>
      </w:pPr>
      <w:r>
        <w:rPr>
          <w:rFonts w:hint="eastAsia"/>
          <w:highlight w:val="none"/>
          <w:lang w:eastAsia="zh-Hans"/>
        </w:rPr>
        <w:t>经济效益指标方面：</w:t>
      </w:r>
    </w:p>
    <w:p w14:paraId="5E22BC1B">
      <w:pPr>
        <w:pStyle w:val="15"/>
        <w:bidi w:val="0"/>
        <w:rPr>
          <w:highlight w:val="none"/>
          <w:lang w:eastAsia="zh-Hans"/>
        </w:rPr>
      </w:pPr>
      <w:r>
        <w:rPr>
          <w:highlight w:val="none"/>
        </w:rPr>
        <w:t>指标1：</w:t>
      </w:r>
      <w:r>
        <w:rPr>
          <w:rFonts w:hint="eastAsia"/>
          <w:highlight w:val="none"/>
          <w:lang w:val="en-US" w:eastAsia="zh-CN"/>
        </w:rPr>
        <w:t>设备利用率</w:t>
      </w:r>
      <w:r>
        <w:rPr>
          <w:highlight w:val="none"/>
        </w:rPr>
        <w:t>，指标值：</w:t>
      </w:r>
      <w:r>
        <w:rPr>
          <w:rFonts w:hint="eastAsia"/>
          <w:highlight w:val="none"/>
          <w:lang w:val="en-US" w:eastAsia="zh-CN"/>
        </w:rPr>
        <w:t>＞70%</w:t>
      </w:r>
      <w:r>
        <w:rPr>
          <w:highlight w:val="none"/>
        </w:rPr>
        <w:t>，实际完成值：</w:t>
      </w:r>
      <w:r>
        <w:rPr>
          <w:rFonts w:hint="eastAsia"/>
          <w:highlight w:val="none"/>
          <w:lang w:val="en-US" w:eastAsia="zh-CN"/>
        </w:rPr>
        <w:t>=90%</w:t>
      </w:r>
      <w:r>
        <w:rPr>
          <w:highlight w:val="none"/>
        </w:rPr>
        <w:t>，指标完成率</w:t>
      </w:r>
      <w:r>
        <w:rPr>
          <w:rFonts w:hint="eastAsia"/>
          <w:highlight w:val="none"/>
          <w:lang w:val="en-US" w:eastAsia="zh-CN"/>
        </w:rPr>
        <w:t>100</w:t>
      </w:r>
      <w:r>
        <w:rPr>
          <w:highlight w:val="none"/>
        </w:rPr>
        <w:t>%；</w:t>
      </w:r>
    </w:p>
    <w:p w14:paraId="490F7FBF">
      <w:pPr>
        <w:pStyle w:val="15"/>
        <w:bidi w:val="0"/>
        <w:rPr>
          <w:rFonts w:hint="default" w:eastAsia="仿宋_GB2312"/>
          <w:highlight w:val="none"/>
          <w:lang w:val="en-US" w:eastAsia="zh-CN"/>
        </w:rPr>
      </w:pPr>
      <w:r>
        <w:rPr>
          <w:rFonts w:hint="eastAsia"/>
          <w:highlight w:val="none"/>
          <w:lang w:val="en-US" w:eastAsia="zh-CN"/>
        </w:rPr>
        <w:t>2.满意度</w:t>
      </w:r>
    </w:p>
    <w:p w14:paraId="64D4CB94">
      <w:pPr>
        <w:pStyle w:val="15"/>
        <w:bidi w:val="0"/>
        <w:rPr>
          <w:highlight w:val="none"/>
        </w:rPr>
      </w:pPr>
      <w:r>
        <w:rPr>
          <w:highlight w:val="none"/>
        </w:rPr>
        <w:t>满意度指标方面：</w:t>
      </w:r>
    </w:p>
    <w:p w14:paraId="3FD7AD18">
      <w:pPr>
        <w:pStyle w:val="15"/>
        <w:bidi w:val="0"/>
        <w:rPr>
          <w:highlight w:val="none"/>
        </w:rPr>
      </w:pPr>
      <w:r>
        <w:rPr>
          <w:highlight w:val="none"/>
        </w:rPr>
        <w:t>指标1：</w:t>
      </w:r>
      <w:r>
        <w:rPr>
          <w:rFonts w:hint="eastAsia"/>
          <w:highlight w:val="none"/>
        </w:rPr>
        <w:t>使用人员满意度</w:t>
      </w:r>
      <w:r>
        <w:rPr>
          <w:highlight w:val="none"/>
        </w:rPr>
        <w:t>，指标值：</w:t>
      </w:r>
      <w:r>
        <w:rPr>
          <w:rFonts w:hint="eastAsia"/>
          <w:highlight w:val="none"/>
          <w:lang w:val="en-US" w:eastAsia="zh-CN"/>
        </w:rPr>
        <w:t>＞90%</w:t>
      </w:r>
      <w:r>
        <w:rPr>
          <w:highlight w:val="none"/>
        </w:rPr>
        <w:t>，实际完成值：</w:t>
      </w:r>
      <w:r>
        <w:rPr>
          <w:rFonts w:hint="eastAsia"/>
          <w:highlight w:val="none"/>
          <w:lang w:val="en-US" w:eastAsia="zh-CN"/>
        </w:rPr>
        <w:t>=97.9%</w:t>
      </w:r>
      <w:r>
        <w:rPr>
          <w:highlight w:val="none"/>
        </w:rPr>
        <w:t>，指标完成率</w:t>
      </w:r>
      <w:r>
        <w:rPr>
          <w:rFonts w:hint="eastAsia"/>
          <w:highlight w:val="none"/>
          <w:lang w:val="en-US" w:eastAsia="zh-CN"/>
        </w:rPr>
        <w:t>108.78</w:t>
      </w:r>
      <w:r>
        <w:rPr>
          <w:highlight w:val="none"/>
        </w:rPr>
        <w:t>%；</w:t>
      </w:r>
    </w:p>
    <w:p w14:paraId="21BFFCB4">
      <w:pPr>
        <w:pStyle w:val="16"/>
        <w:bidi w:val="0"/>
        <w:rPr>
          <w:highlight w:val="none"/>
          <w:lang w:eastAsia="zh-Hans"/>
        </w:rPr>
      </w:pPr>
      <w:r>
        <w:rPr>
          <w:highlight w:val="none"/>
        </w:rPr>
        <w:t>五、</w:t>
      </w:r>
      <w:r>
        <w:rPr>
          <w:rFonts w:hint="eastAsia"/>
          <w:highlight w:val="none"/>
          <w:lang w:eastAsia="zh-Hans"/>
        </w:rPr>
        <w:t>预算执行进度与绩效指标总体完成率偏差</w:t>
      </w:r>
    </w:p>
    <w:p w14:paraId="2B586510">
      <w:pPr>
        <w:pStyle w:val="15"/>
        <w:bidi w:val="0"/>
        <w:rPr>
          <w:rFonts w:hint="eastAsia"/>
          <w:highlight w:val="none"/>
          <w:lang w:val="en-US" w:eastAsia="zh-CN"/>
        </w:rPr>
      </w:pPr>
      <w:r>
        <w:rPr>
          <w:rFonts w:hint="eastAsia"/>
          <w:highlight w:val="none"/>
          <w:lang w:val="en-US" w:eastAsia="zh-CN"/>
        </w:rPr>
        <w:t>自治区2023年第一批疫情防控补助资金（自治区本级医疗机构重症床位设备配置经费）项目预算2820万元，到位2820万元，实际支出2820万元，预算执行率为100%，项目绩效指标总体完成率为104%，</w:t>
      </w:r>
      <w:r>
        <w:rPr>
          <w:rFonts w:hint="eastAsia"/>
          <w:highlight w:val="none"/>
          <w:lang w:val="en-US" w:eastAsia="zh-Hans"/>
        </w:rPr>
        <w:t>总体</w:t>
      </w:r>
      <w:r>
        <w:rPr>
          <w:rFonts w:hint="eastAsia"/>
          <w:highlight w:val="none"/>
          <w:lang w:val="en-US" w:eastAsia="zh-CN"/>
        </w:rPr>
        <w:t>偏差率为4%，</w:t>
      </w:r>
      <w:r>
        <w:rPr>
          <w:rFonts w:hint="eastAsia"/>
          <w:highlight w:val="none"/>
          <w:lang w:val="en-US" w:eastAsia="zh-Hans"/>
        </w:rPr>
        <w:t>偏差</w:t>
      </w:r>
      <w:r>
        <w:rPr>
          <w:rFonts w:hint="eastAsia"/>
          <w:highlight w:val="none"/>
          <w:lang w:val="en-US" w:eastAsia="zh-CN"/>
        </w:rPr>
        <w:t>原因项目产出指标超额完成年初设定的目标值，资金使用效率提升。</w:t>
      </w:r>
    </w:p>
    <w:p w14:paraId="0AC91484">
      <w:pPr>
        <w:pStyle w:val="16"/>
        <w:bidi w:val="0"/>
        <w:rPr>
          <w:highlight w:val="none"/>
        </w:rPr>
      </w:pPr>
      <w:r>
        <w:rPr>
          <w:rFonts w:hint="eastAsia"/>
          <w:highlight w:val="none"/>
          <w:lang w:eastAsia="zh-Hans"/>
        </w:rPr>
        <w:t>六</w:t>
      </w:r>
      <w:r>
        <w:rPr>
          <w:highlight w:val="none"/>
        </w:rPr>
        <w:t>、主要经验及做法、存在的问题及原因分析</w:t>
      </w:r>
    </w:p>
    <w:p w14:paraId="5270BB3D">
      <w:pPr>
        <w:pStyle w:val="17"/>
        <w:bidi w:val="0"/>
        <w:rPr>
          <w:highlight w:val="none"/>
        </w:rPr>
      </w:pPr>
      <w:r>
        <w:rPr>
          <w:highlight w:val="none"/>
        </w:rPr>
        <w:t>（一）主要经验及做法</w:t>
      </w:r>
    </w:p>
    <w:p w14:paraId="13B54EAA">
      <w:pPr>
        <w:pStyle w:val="15"/>
        <w:bidi w:val="0"/>
        <w:rPr>
          <w:highlight w:val="none"/>
        </w:rPr>
      </w:pPr>
      <w:r>
        <w:rPr>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6FAF64C">
      <w:pPr>
        <w:pStyle w:val="15"/>
        <w:bidi w:val="0"/>
        <w:rPr>
          <w:rFonts w:hint="eastAsia"/>
          <w:highlight w:val="none"/>
          <w:lang w:eastAsia="zh-CN"/>
        </w:rPr>
      </w:pPr>
      <w:r>
        <w:rPr>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hint="eastAsia"/>
          <w:highlight w:val="none"/>
          <w:lang w:eastAsia="zh-CN"/>
        </w:rPr>
        <w:t>。</w:t>
      </w:r>
    </w:p>
    <w:p w14:paraId="6DE612A6">
      <w:pPr>
        <w:pStyle w:val="17"/>
        <w:bidi w:val="0"/>
        <w:rPr>
          <w:highlight w:val="none"/>
        </w:rPr>
      </w:pPr>
      <w:r>
        <w:rPr>
          <w:rFonts w:hint="eastAsia"/>
          <w:highlight w:val="none"/>
          <w:lang w:eastAsia="zh-CN"/>
        </w:rPr>
        <w:t>（</w:t>
      </w:r>
      <w:r>
        <w:rPr>
          <w:rFonts w:hint="eastAsia"/>
          <w:highlight w:val="none"/>
          <w:lang w:val="en-US" w:eastAsia="zh-CN"/>
        </w:rPr>
        <w:t>二</w:t>
      </w:r>
      <w:r>
        <w:rPr>
          <w:rFonts w:hint="eastAsia"/>
          <w:highlight w:val="none"/>
          <w:lang w:eastAsia="zh-CN"/>
        </w:rPr>
        <w:t>）</w:t>
      </w:r>
      <w:r>
        <w:rPr>
          <w:highlight w:val="none"/>
        </w:rPr>
        <w:t>存在的问题及原因分析</w:t>
      </w:r>
    </w:p>
    <w:p w14:paraId="3493EB14">
      <w:pPr>
        <w:pStyle w:val="15"/>
        <w:bidi w:val="0"/>
        <w:rPr>
          <w:highlight w:val="none"/>
        </w:rPr>
      </w:pPr>
      <w:r>
        <w:rPr>
          <w:rFonts w:hint="eastAsia"/>
          <w:highlight w:val="none"/>
          <w:lang w:eastAsia="zh-Hans"/>
        </w:rPr>
        <w:t>本项目</w:t>
      </w:r>
      <w:r>
        <w:rPr>
          <w:highlight w:val="none"/>
          <w:lang w:eastAsia="zh-Hans"/>
        </w:rPr>
        <w:t>202</w:t>
      </w:r>
      <w:r>
        <w:rPr>
          <w:rFonts w:hint="eastAsia"/>
          <w:highlight w:val="none"/>
          <w:lang w:val="en-US" w:eastAsia="zh-CN"/>
        </w:rPr>
        <w:t>3</w:t>
      </w:r>
      <w:r>
        <w:rPr>
          <w:rFonts w:hint="eastAsia"/>
          <w:highlight w:val="none"/>
          <w:lang w:eastAsia="zh-Hans"/>
        </w:rPr>
        <w:t>年度无</w:t>
      </w:r>
      <w:r>
        <w:rPr>
          <w:highlight w:val="none"/>
        </w:rPr>
        <w:t>存在的问题</w:t>
      </w:r>
      <w:r>
        <w:rPr>
          <w:rFonts w:hint="eastAsia"/>
          <w:highlight w:val="none"/>
          <w:lang w:eastAsia="zh-Hans"/>
        </w:rPr>
        <w:t>。</w:t>
      </w:r>
    </w:p>
    <w:p w14:paraId="4B9EB2A9">
      <w:pPr>
        <w:pStyle w:val="16"/>
        <w:bidi w:val="0"/>
        <w:rPr>
          <w:highlight w:val="none"/>
        </w:rPr>
      </w:pPr>
      <w:r>
        <w:rPr>
          <w:rFonts w:hint="eastAsia"/>
          <w:highlight w:val="none"/>
          <w:lang w:eastAsia="zh-Hans"/>
        </w:rPr>
        <w:t>七、</w:t>
      </w:r>
      <w:r>
        <w:rPr>
          <w:highlight w:val="none"/>
        </w:rPr>
        <w:t>有关建议</w:t>
      </w:r>
    </w:p>
    <w:p w14:paraId="7CE6494C">
      <w:pPr>
        <w:pStyle w:val="15"/>
        <w:bidi w:val="0"/>
        <w:rPr>
          <w:highlight w:val="none"/>
        </w:rPr>
      </w:pPr>
      <w:r>
        <w:rPr>
          <w:rFonts w:hint="eastAsia"/>
          <w:highlight w:val="none"/>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BBB556B">
      <w:pPr>
        <w:pStyle w:val="16"/>
        <w:bidi w:val="0"/>
        <w:rPr>
          <w:highlight w:val="none"/>
        </w:rPr>
      </w:pPr>
      <w:r>
        <w:rPr>
          <w:rFonts w:hint="eastAsia"/>
          <w:highlight w:val="none"/>
          <w:lang w:eastAsia="zh-Hans"/>
        </w:rPr>
        <w:t>八、</w:t>
      </w:r>
      <w:r>
        <w:rPr>
          <w:highlight w:val="none"/>
        </w:rPr>
        <w:t>其他需要说</w:t>
      </w:r>
      <w:bookmarkStart w:id="4" w:name="page8"/>
      <w:bookmarkEnd w:id="4"/>
      <w:r>
        <w:rPr>
          <w:highlight w:val="none"/>
        </w:rPr>
        <w:t>明的问题</w:t>
      </w:r>
    </w:p>
    <w:p w14:paraId="03313819">
      <w:pPr>
        <w:pStyle w:val="15"/>
        <w:bidi w:val="0"/>
        <w:rPr>
          <w:highlight w:val="none"/>
        </w:rPr>
      </w:pPr>
      <w:r>
        <w:rPr>
          <w:rFonts w:hint="eastAsia"/>
          <w:highlight w:val="none"/>
          <w:lang w:eastAsia="zh-CN"/>
        </w:rPr>
        <w:t>无</w:t>
      </w:r>
      <w:r>
        <w:rPr>
          <w:rFonts w:hint="eastAsia"/>
          <w:highlight w:val="none"/>
          <w:lang w:eastAsia="zh-Hans"/>
        </w:rPr>
        <w:t>。</w:t>
      </w:r>
    </w:p>
    <w:p w14:paraId="41BA5462">
      <w:pPr>
        <w:pStyle w:val="10"/>
        <w:spacing w:after="0" w:line="560" w:lineRule="exact"/>
        <w:ind w:left="0" w:leftChars="0" w:firstLine="0" w:firstLineChars="0"/>
        <w:rPr>
          <w:rFonts w:ascii="仿宋_GB2312" w:hAnsi="仿宋_GB2312" w:eastAsia="仿宋_GB2312" w:cs="仿宋_GB2312"/>
          <w:color w:val="auto"/>
          <w:sz w:val="32"/>
          <w:szCs w:val="32"/>
          <w:highlight w:val="none"/>
        </w:rPr>
      </w:pPr>
    </w:p>
    <w:p w14:paraId="3551920B">
      <w:pPr>
        <w:pStyle w:val="2"/>
        <w:jc w:val="both"/>
        <w:rPr>
          <w:rFonts w:ascii="Times New Roman" w:hAnsi="Times New Roman" w:eastAsia="黑体"/>
          <w:b w:val="0"/>
          <w:bCs w:val="0"/>
          <w:color w:val="auto"/>
          <w:highlight w:val="none"/>
        </w:rPr>
      </w:pPr>
    </w:p>
    <w:p w14:paraId="076E6661">
      <w:pPr>
        <w:pStyle w:val="2"/>
        <w:rPr>
          <w:rFonts w:ascii="Times New Roman" w:hAnsi="Times New Roman" w:eastAsia="黑体"/>
          <w:b w:val="0"/>
          <w:bCs w:val="0"/>
          <w:color w:val="auto"/>
          <w:highlight w:val="none"/>
        </w:rPr>
      </w:pPr>
    </w:p>
    <w:p w14:paraId="0805F2A8">
      <w:pPr>
        <w:pStyle w:val="2"/>
        <w:jc w:val="both"/>
        <w:rPr>
          <w:rFonts w:ascii="Times New Roman" w:hAnsi="Times New Roman"/>
          <w:color w:val="auto"/>
          <w:highlight w:val="none"/>
        </w:rPr>
        <w:sectPr>
          <w:footerReference r:id="rId3" w:type="default"/>
          <w:pgSz w:w="11906" w:h="16838"/>
          <w:pgMar w:top="1440" w:right="1558" w:bottom="1440" w:left="1800" w:header="851" w:footer="992" w:gutter="0"/>
          <w:cols w:space="425" w:num="1"/>
          <w:docGrid w:type="lines" w:linePitch="312" w:charSpace="0"/>
        </w:sect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4"/>
        <w:gridCol w:w="1006"/>
        <w:gridCol w:w="2347"/>
      </w:tblGrid>
      <w:tr w14:paraId="338E16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17AEC2E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0273D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510C00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29AE1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71EE0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6A08E4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自治区2023年第一批疫情防控补助资金（自治区本级医疗机构重症床位设备配置经费）</w:t>
            </w:r>
          </w:p>
        </w:tc>
      </w:tr>
      <w:tr w14:paraId="16C9E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A888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33B0B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F9CBB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FC27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新疆医科大学第一附属医院</w:t>
            </w:r>
          </w:p>
        </w:tc>
      </w:tr>
      <w:tr w14:paraId="19414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26995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E0C88D">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2678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B1D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099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F7B4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9E50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386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AABE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04F3BB">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C078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8EF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0171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2940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B544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EEC1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3EE3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12C43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A7C03">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E92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DCA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BCC4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224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3B3A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76C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0E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6AC9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121AC">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884A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D000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BD2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1ED87">
            <w:pPr>
              <w:jc w:val="center"/>
              <w:rPr>
                <w:rFonts w:hint="eastAsia" w:ascii="宋体" w:hAnsi="宋体" w:eastAsia="宋体" w:cs="宋体"/>
                <w:i w:val="0"/>
                <w:iCs w:val="0"/>
                <w:color w:val="000000"/>
                <w:sz w:val="18"/>
                <w:szCs w:val="18"/>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916D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22A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5A8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66A68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57BA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03D8B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2F661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0FD6E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F4BA05">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0EFBA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按照国务院联防联控机制《关于印发做好医疗资源准备工作方案的通知》（联防联控机制综发</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2022</w:t>
            </w:r>
            <w:r>
              <w:rPr>
                <w:rFonts w:hint="eastAsia" w:ascii="宋体" w:hAnsi="宋体" w:cs="宋体"/>
                <w:i w:val="0"/>
                <w:iCs w:val="0"/>
                <w:color w:val="000000"/>
                <w:kern w:val="0"/>
                <w:sz w:val="18"/>
                <w:szCs w:val="18"/>
                <w:u w:val="none"/>
                <w:lang w:val="en-US" w:eastAsia="zh-CN" w:bidi="ar"/>
              </w:rPr>
              <w:t>〕</w:t>
            </w:r>
            <w:r>
              <w:rPr>
                <w:rFonts w:hint="eastAsia" w:ascii="宋体" w:hAnsi="宋体" w:eastAsia="宋体" w:cs="宋体"/>
                <w:i w:val="0"/>
                <w:iCs w:val="0"/>
                <w:color w:val="000000"/>
                <w:kern w:val="0"/>
                <w:sz w:val="18"/>
                <w:szCs w:val="18"/>
                <w:u w:val="none"/>
                <w:lang w:val="en-US" w:eastAsia="zh-CN" w:bidi="ar"/>
              </w:rPr>
              <w:t>112号）要求和新冠病毒感染疫情乙类乙管工作要求，有效提升医疗机构重症救治资源储备，扩充ICU和可转化ICU床位数，补齐设备缺口，有效开展疫情期间重症病例救治工作</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ECD9C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医院收到补助资金后，按照文件要求已补齐重症设备缺口，并有效开展重症病例救治工作</w:t>
            </w:r>
          </w:p>
        </w:tc>
      </w:tr>
      <w:tr w14:paraId="77A07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D41188">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39119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A667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01E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76A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EA8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A0E2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9443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1674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3E93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F03DD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40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2DE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E9CA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157E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F4FC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76AADD">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B4EE6">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3FE26">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6E19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3839A">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5656C">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A5F69">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C1FA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7A296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EDA0B">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37E66">
            <w:pPr>
              <w:jc w:val="center"/>
              <w:rPr>
                <w:rFonts w:hint="eastAsia" w:ascii="宋体" w:hAnsi="宋体" w:eastAsia="宋体" w:cs="宋体"/>
                <w:b/>
                <w:bCs/>
                <w:i w:val="0"/>
                <w:iCs w:val="0"/>
                <w:color w:val="000000"/>
                <w:sz w:val="18"/>
                <w:szCs w:val="18"/>
                <w:u w:val="none"/>
              </w:rPr>
            </w:pPr>
          </w:p>
        </w:tc>
        <w:tc>
          <w:tcPr>
            <w:tcW w:w="40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874FBD">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E3C1B6">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0C05E1">
            <w:pPr>
              <w:jc w:val="center"/>
              <w:rPr>
                <w:rFonts w:hint="eastAsia" w:ascii="宋体" w:hAnsi="宋体" w:eastAsia="宋体" w:cs="宋体"/>
                <w:b/>
                <w:bCs/>
                <w:i w:val="0"/>
                <w:iCs w:val="0"/>
                <w:color w:val="000000"/>
                <w:sz w:val="18"/>
                <w:szCs w:val="18"/>
                <w:u w:val="none"/>
              </w:rPr>
            </w:pPr>
          </w:p>
        </w:tc>
      </w:tr>
      <w:tr w14:paraId="30F03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F335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EE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FF2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21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配置ICU床位数量及配备设备数量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78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837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&gt;=46床（套）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C7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09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DC6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22.82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C03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C7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532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74E7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F84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实际需求增加，按需配置</w:t>
            </w:r>
          </w:p>
        </w:tc>
      </w:tr>
      <w:tr w14:paraId="530C8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8503FD">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72B5B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266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41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A79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249D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8B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439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C5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5E9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699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D965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AB0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28553">
            <w:pPr>
              <w:jc w:val="center"/>
              <w:rPr>
                <w:rFonts w:hint="eastAsia" w:ascii="宋体" w:hAnsi="宋体" w:eastAsia="宋体" w:cs="宋体"/>
                <w:i w:val="0"/>
                <w:iCs w:val="0"/>
                <w:color w:val="000000"/>
                <w:sz w:val="18"/>
                <w:szCs w:val="18"/>
                <w:u w:val="none"/>
              </w:rPr>
            </w:pPr>
          </w:p>
        </w:tc>
      </w:tr>
      <w:tr w14:paraId="5940A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597D18">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5E8A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3093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F81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5C1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753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471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2DC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47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E8A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70C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74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C1F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EC564">
            <w:pPr>
              <w:jc w:val="center"/>
              <w:rPr>
                <w:rFonts w:hint="eastAsia" w:ascii="宋体" w:hAnsi="宋体" w:eastAsia="宋体" w:cs="宋体"/>
                <w:i w:val="0"/>
                <w:iCs w:val="0"/>
                <w:color w:val="000000"/>
                <w:sz w:val="18"/>
                <w:szCs w:val="18"/>
                <w:u w:val="none"/>
              </w:rPr>
            </w:pPr>
          </w:p>
        </w:tc>
      </w:tr>
      <w:tr w14:paraId="33C75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88A6A">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842250">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931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49E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床位改造完成时间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C7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B50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48A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2023年5月31日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E7E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561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F8EF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37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06B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05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5A1A8">
            <w:pPr>
              <w:jc w:val="center"/>
              <w:rPr>
                <w:rFonts w:hint="eastAsia" w:ascii="宋体" w:hAnsi="宋体" w:eastAsia="宋体" w:cs="宋体"/>
                <w:i w:val="0"/>
                <w:iCs w:val="0"/>
                <w:color w:val="000000"/>
                <w:sz w:val="18"/>
                <w:szCs w:val="18"/>
                <w:u w:val="none"/>
              </w:rPr>
            </w:pPr>
          </w:p>
        </w:tc>
      </w:tr>
      <w:tr w14:paraId="600D9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50B69">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A74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48D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229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设备采购成本控制数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36F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8D51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&lt;=61万元/床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2B4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=56.4万元/床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477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84F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5B1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3A6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0EC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442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9796F">
            <w:pPr>
              <w:jc w:val="center"/>
              <w:rPr>
                <w:rFonts w:hint="eastAsia" w:ascii="宋体" w:hAnsi="宋体" w:eastAsia="宋体" w:cs="宋体"/>
                <w:i w:val="0"/>
                <w:iCs w:val="0"/>
                <w:color w:val="000000"/>
                <w:sz w:val="18"/>
                <w:szCs w:val="18"/>
                <w:u w:val="none"/>
              </w:rPr>
            </w:pPr>
          </w:p>
        </w:tc>
      </w:tr>
      <w:tr w14:paraId="27CDD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F1016">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D734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C53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A0C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6A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B2F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980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006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3F2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E8E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6F8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0C1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D12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B6C55">
            <w:pPr>
              <w:jc w:val="center"/>
              <w:rPr>
                <w:rFonts w:hint="eastAsia" w:ascii="宋体" w:hAnsi="宋体" w:eastAsia="宋体" w:cs="宋体"/>
                <w:i w:val="0"/>
                <w:iCs w:val="0"/>
                <w:color w:val="000000"/>
                <w:sz w:val="18"/>
                <w:szCs w:val="18"/>
                <w:u w:val="none"/>
              </w:rPr>
            </w:pPr>
          </w:p>
        </w:tc>
      </w:tr>
      <w:tr w14:paraId="0560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1426F">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4A8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0539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0C0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C05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18A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5D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=97.9%</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07D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108.78%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939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C22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1D2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A44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E74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98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设备使用效果好，使用人员满意度较高</w:t>
            </w:r>
          </w:p>
        </w:tc>
      </w:tr>
      <w:tr w14:paraId="3B70D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0F8B0E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782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09DEB480">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5EEB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3BB0D">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A2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97.30分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5B312">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FA7F3">
            <w:pPr>
              <w:rPr>
                <w:rFonts w:hint="eastAsia" w:ascii="宋体" w:hAnsi="宋体" w:eastAsia="宋体" w:cs="宋体"/>
                <w:i w:val="0"/>
                <w:iCs w:val="0"/>
                <w:color w:val="000000"/>
                <w:sz w:val="18"/>
                <w:szCs w:val="18"/>
                <w:u w:val="none"/>
              </w:rPr>
            </w:pP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A4E6E">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36960">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061CE">
            <w:pPr>
              <w:rPr>
                <w:rFonts w:hint="eastAsia" w:ascii="宋体" w:hAnsi="宋体" w:eastAsia="宋体" w:cs="宋体"/>
                <w:i w:val="0"/>
                <w:iCs w:val="0"/>
                <w:color w:val="000000"/>
                <w:sz w:val="18"/>
                <w:szCs w:val="18"/>
                <w:u w:val="none"/>
              </w:rPr>
            </w:pPr>
          </w:p>
        </w:tc>
      </w:tr>
    </w:tbl>
    <w:p w14:paraId="327D9D1E">
      <w:pPr>
        <w:pStyle w:val="16"/>
        <w:bidi w:val="0"/>
        <w:ind w:left="0" w:leftChars="0" w:firstLine="0" w:firstLineChars="0"/>
        <w:rPr>
          <w:highlight w:val="none"/>
        </w:rPr>
      </w:pPr>
    </w:p>
    <w:p w14:paraId="5352E36A">
      <w:pPr>
        <w:pStyle w:val="16"/>
        <w:bidi w:val="0"/>
        <w:ind w:left="0" w:leftChars="0" w:firstLine="0" w:firstLineChars="0"/>
        <w:rPr>
          <w:highlight w:val="none"/>
        </w:rPr>
      </w:pPr>
    </w:p>
    <w:p w14:paraId="0F90A022">
      <w:pPr>
        <w:pStyle w:val="16"/>
        <w:bidi w:val="0"/>
        <w:ind w:left="0" w:leftChars="0" w:firstLine="0" w:firstLineChars="0"/>
        <w:rPr>
          <w:highlight w:val="none"/>
        </w:rPr>
      </w:pPr>
    </w:p>
    <w:p w14:paraId="76A9858D">
      <w:pPr>
        <w:pStyle w:val="16"/>
        <w:bidi w:val="0"/>
        <w:ind w:left="0" w:leftChars="0" w:firstLine="0" w:firstLineChars="0"/>
        <w:rPr>
          <w:highlight w:val="none"/>
        </w:rPr>
      </w:pPr>
    </w:p>
    <w:p w14:paraId="1355FCD5">
      <w:pPr>
        <w:pStyle w:val="16"/>
        <w:bidi w:val="0"/>
        <w:ind w:left="0" w:leftChars="0" w:firstLine="0" w:firstLineChars="0"/>
        <w:rPr>
          <w:highlight w:val="none"/>
        </w:rPr>
      </w:pPr>
    </w:p>
    <w:p w14:paraId="0FA426CF">
      <w:pPr>
        <w:pStyle w:val="16"/>
        <w:bidi w:val="0"/>
        <w:ind w:left="0" w:leftChars="0" w:firstLine="0" w:firstLineChars="0"/>
        <w:rPr>
          <w:highlight w:val="none"/>
        </w:rPr>
      </w:pPr>
    </w:p>
    <w:p w14:paraId="5BE719A7">
      <w:pPr>
        <w:pStyle w:val="16"/>
        <w:bidi w:val="0"/>
        <w:ind w:left="0" w:leftChars="0" w:firstLine="0" w:firstLineChars="0"/>
        <w:rPr>
          <w:highlight w:val="none"/>
        </w:rPr>
      </w:pPr>
    </w:p>
    <w:p w14:paraId="385E4F0F">
      <w:pPr>
        <w:pStyle w:val="16"/>
        <w:bidi w:val="0"/>
        <w:ind w:left="0" w:leftChars="0" w:firstLine="0" w:firstLineChars="0"/>
        <w:rPr>
          <w:highlight w:val="none"/>
        </w:rPr>
      </w:pPr>
    </w:p>
    <w:p w14:paraId="6D1241B6">
      <w:pPr>
        <w:pStyle w:val="16"/>
        <w:bidi w:val="0"/>
        <w:ind w:left="0" w:leftChars="0" w:firstLine="0" w:firstLineChars="0"/>
        <w:rPr>
          <w:highlight w:val="none"/>
        </w:rPr>
      </w:pPr>
      <w:r>
        <w:rPr>
          <w:highlight w:val="none"/>
        </w:rPr>
        <w:t>附件1</w:t>
      </w:r>
    </w:p>
    <w:tbl>
      <w:tblPr>
        <w:tblStyle w:val="11"/>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36"/>
        <w:gridCol w:w="856"/>
        <w:gridCol w:w="975"/>
        <w:gridCol w:w="2628"/>
        <w:gridCol w:w="5798"/>
        <w:gridCol w:w="1452"/>
        <w:gridCol w:w="1523"/>
      </w:tblGrid>
      <w:tr w14:paraId="31DE1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0" w:type="pct"/>
            <w:shd w:val="clear" w:color="auto" w:fill="FFFFFF"/>
            <w:vAlign w:val="center"/>
          </w:tcPr>
          <w:p w14:paraId="26C82134">
            <w:pPr>
              <w:widowControl/>
              <w:spacing w:line="0" w:lineRule="atLeast"/>
              <w:jc w:val="center"/>
              <w:rPr>
                <w:b/>
                <w:bCs/>
                <w:color w:val="auto"/>
                <w:kern w:val="0"/>
                <w:sz w:val="22"/>
                <w:szCs w:val="22"/>
                <w:highlight w:val="none"/>
              </w:rPr>
            </w:pPr>
            <w:r>
              <w:rPr>
                <w:b/>
                <w:bCs/>
                <w:color w:val="auto"/>
                <w:kern w:val="0"/>
                <w:sz w:val="22"/>
                <w:szCs w:val="22"/>
                <w:highlight w:val="none"/>
              </w:rPr>
              <w:t>一级指标</w:t>
            </w:r>
          </w:p>
        </w:tc>
        <w:tc>
          <w:tcPr>
            <w:tcW w:w="302" w:type="pct"/>
            <w:shd w:val="clear" w:color="auto" w:fill="FFFFFF"/>
            <w:vAlign w:val="center"/>
          </w:tcPr>
          <w:p w14:paraId="72E440B9">
            <w:pPr>
              <w:widowControl/>
              <w:spacing w:line="0" w:lineRule="atLeast"/>
              <w:jc w:val="center"/>
              <w:rPr>
                <w:b/>
                <w:bCs/>
                <w:color w:val="auto"/>
                <w:kern w:val="0"/>
                <w:sz w:val="22"/>
                <w:szCs w:val="22"/>
                <w:highlight w:val="none"/>
              </w:rPr>
            </w:pPr>
            <w:r>
              <w:rPr>
                <w:b/>
                <w:bCs/>
                <w:color w:val="auto"/>
                <w:kern w:val="0"/>
                <w:sz w:val="22"/>
                <w:szCs w:val="22"/>
                <w:highlight w:val="none"/>
              </w:rPr>
              <w:t>二级指标</w:t>
            </w:r>
          </w:p>
        </w:tc>
        <w:tc>
          <w:tcPr>
            <w:tcW w:w="344" w:type="pct"/>
            <w:shd w:val="clear" w:color="auto" w:fill="FFFFFF"/>
            <w:vAlign w:val="center"/>
          </w:tcPr>
          <w:p w14:paraId="4153EBB2">
            <w:pPr>
              <w:widowControl/>
              <w:spacing w:line="0" w:lineRule="atLeast"/>
              <w:jc w:val="center"/>
              <w:rPr>
                <w:b/>
                <w:bCs/>
                <w:color w:val="auto"/>
                <w:kern w:val="0"/>
                <w:sz w:val="22"/>
                <w:szCs w:val="22"/>
                <w:highlight w:val="none"/>
              </w:rPr>
            </w:pPr>
            <w:r>
              <w:rPr>
                <w:b/>
                <w:bCs/>
                <w:color w:val="auto"/>
                <w:kern w:val="0"/>
                <w:sz w:val="22"/>
                <w:szCs w:val="22"/>
                <w:highlight w:val="none"/>
              </w:rPr>
              <w:t>三级指标</w:t>
            </w:r>
          </w:p>
        </w:tc>
        <w:tc>
          <w:tcPr>
            <w:tcW w:w="927" w:type="pct"/>
            <w:shd w:val="clear" w:color="auto" w:fill="FFFFFF"/>
            <w:vAlign w:val="center"/>
          </w:tcPr>
          <w:p w14:paraId="6EF0F308">
            <w:pPr>
              <w:widowControl/>
              <w:spacing w:line="0" w:lineRule="atLeast"/>
              <w:jc w:val="center"/>
              <w:rPr>
                <w:b/>
                <w:bCs/>
                <w:color w:val="auto"/>
                <w:kern w:val="0"/>
                <w:sz w:val="22"/>
                <w:szCs w:val="22"/>
                <w:highlight w:val="none"/>
              </w:rPr>
            </w:pPr>
            <w:r>
              <w:rPr>
                <w:b/>
                <w:bCs/>
                <w:color w:val="auto"/>
                <w:kern w:val="0"/>
                <w:sz w:val="22"/>
                <w:szCs w:val="22"/>
                <w:highlight w:val="none"/>
              </w:rPr>
              <w:t>指标解释</w:t>
            </w:r>
          </w:p>
        </w:tc>
        <w:tc>
          <w:tcPr>
            <w:tcW w:w="2045" w:type="pct"/>
            <w:shd w:val="clear" w:color="auto" w:fill="FFFFFF"/>
            <w:vAlign w:val="center"/>
          </w:tcPr>
          <w:p w14:paraId="704D25C3">
            <w:pPr>
              <w:widowControl/>
              <w:spacing w:line="0" w:lineRule="atLeast"/>
              <w:jc w:val="center"/>
              <w:rPr>
                <w:b/>
                <w:bCs/>
                <w:color w:val="auto"/>
                <w:kern w:val="0"/>
                <w:sz w:val="22"/>
                <w:szCs w:val="22"/>
                <w:highlight w:val="none"/>
              </w:rPr>
            </w:pPr>
            <w:r>
              <w:rPr>
                <w:b/>
                <w:bCs/>
                <w:color w:val="auto"/>
                <w:kern w:val="0"/>
                <w:sz w:val="22"/>
                <w:szCs w:val="22"/>
                <w:highlight w:val="none"/>
              </w:rPr>
              <w:t>指标说明</w:t>
            </w:r>
          </w:p>
        </w:tc>
        <w:tc>
          <w:tcPr>
            <w:tcW w:w="512" w:type="pct"/>
            <w:shd w:val="clear" w:color="auto" w:fill="FFFFFF"/>
            <w:vAlign w:val="center"/>
          </w:tcPr>
          <w:p w14:paraId="3F7A7264">
            <w:pPr>
              <w:widowControl/>
              <w:spacing w:line="0" w:lineRule="atLeast"/>
              <w:jc w:val="center"/>
              <w:rPr>
                <w:b/>
                <w:bCs/>
                <w:color w:val="auto"/>
                <w:kern w:val="0"/>
                <w:sz w:val="22"/>
                <w:szCs w:val="22"/>
                <w:highlight w:val="none"/>
              </w:rPr>
            </w:pPr>
            <w:r>
              <w:rPr>
                <w:b/>
                <w:bCs/>
                <w:color w:val="auto"/>
                <w:kern w:val="0"/>
                <w:sz w:val="22"/>
                <w:szCs w:val="22"/>
                <w:highlight w:val="none"/>
              </w:rPr>
              <w:t>权重</w:t>
            </w:r>
          </w:p>
        </w:tc>
        <w:tc>
          <w:tcPr>
            <w:tcW w:w="537" w:type="pct"/>
            <w:shd w:val="clear" w:color="auto" w:fill="FFFFFF"/>
            <w:vAlign w:val="center"/>
          </w:tcPr>
          <w:p w14:paraId="6E375530">
            <w:pPr>
              <w:widowControl/>
              <w:spacing w:line="0" w:lineRule="atLeast"/>
              <w:jc w:val="center"/>
              <w:rPr>
                <w:b/>
                <w:bCs/>
                <w:color w:val="auto"/>
                <w:kern w:val="0"/>
                <w:sz w:val="22"/>
                <w:szCs w:val="22"/>
                <w:highlight w:val="none"/>
              </w:rPr>
            </w:pPr>
            <w:r>
              <w:rPr>
                <w:b/>
                <w:bCs/>
                <w:color w:val="auto"/>
                <w:kern w:val="0"/>
                <w:sz w:val="22"/>
                <w:szCs w:val="22"/>
                <w:highlight w:val="none"/>
              </w:rPr>
              <w:t>得分</w:t>
            </w:r>
          </w:p>
        </w:tc>
      </w:tr>
      <w:tr w14:paraId="6A30EE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30" w:type="pct"/>
            <w:vMerge w:val="restart"/>
            <w:shd w:val="clear" w:color="auto" w:fill="FFFFFF"/>
            <w:vAlign w:val="center"/>
          </w:tcPr>
          <w:p w14:paraId="1B9674B3">
            <w:pPr>
              <w:widowControl/>
              <w:spacing w:line="0" w:lineRule="atLeast"/>
              <w:jc w:val="center"/>
              <w:rPr>
                <w:color w:val="auto"/>
                <w:kern w:val="0"/>
                <w:sz w:val="22"/>
                <w:szCs w:val="22"/>
                <w:highlight w:val="none"/>
              </w:rPr>
            </w:pPr>
            <w:r>
              <w:rPr>
                <w:color w:val="auto"/>
                <w:kern w:val="0"/>
                <w:sz w:val="22"/>
                <w:szCs w:val="22"/>
                <w:highlight w:val="none"/>
              </w:rPr>
              <w:t>决策　</w:t>
            </w:r>
          </w:p>
          <w:p w14:paraId="0208F6F6">
            <w:pPr>
              <w:widowControl/>
              <w:spacing w:line="0" w:lineRule="atLeast"/>
              <w:jc w:val="center"/>
              <w:rPr>
                <w:color w:val="auto"/>
                <w:kern w:val="0"/>
                <w:sz w:val="22"/>
                <w:szCs w:val="22"/>
                <w:highlight w:val="none"/>
              </w:rPr>
            </w:pPr>
            <w:r>
              <w:rPr>
                <w:color w:val="auto"/>
                <w:kern w:val="0"/>
                <w:sz w:val="22"/>
                <w:szCs w:val="22"/>
                <w:highlight w:val="none"/>
              </w:rPr>
              <w:t>　</w:t>
            </w:r>
          </w:p>
          <w:p w14:paraId="2709D4B2">
            <w:pPr>
              <w:spacing w:line="0" w:lineRule="atLeast"/>
              <w:jc w:val="center"/>
              <w:rPr>
                <w:color w:val="auto"/>
                <w:kern w:val="0"/>
                <w:sz w:val="22"/>
                <w:szCs w:val="22"/>
                <w:highlight w:val="none"/>
              </w:rPr>
            </w:pPr>
            <w:r>
              <w:rPr>
                <w:color w:val="auto"/>
                <w:kern w:val="0"/>
                <w:sz w:val="22"/>
                <w:szCs w:val="22"/>
                <w:highlight w:val="none"/>
              </w:rPr>
              <w:t>　</w:t>
            </w:r>
          </w:p>
        </w:tc>
        <w:tc>
          <w:tcPr>
            <w:tcW w:w="302" w:type="pct"/>
            <w:vMerge w:val="restart"/>
            <w:shd w:val="clear" w:color="auto" w:fill="FFFFFF"/>
            <w:vAlign w:val="center"/>
          </w:tcPr>
          <w:p w14:paraId="65FB826E">
            <w:pPr>
              <w:widowControl/>
              <w:spacing w:line="0" w:lineRule="atLeast"/>
              <w:jc w:val="center"/>
              <w:rPr>
                <w:color w:val="auto"/>
                <w:kern w:val="0"/>
                <w:sz w:val="22"/>
                <w:szCs w:val="22"/>
                <w:highlight w:val="none"/>
              </w:rPr>
            </w:pPr>
            <w:r>
              <w:rPr>
                <w:color w:val="auto"/>
                <w:kern w:val="0"/>
                <w:sz w:val="22"/>
                <w:szCs w:val="22"/>
                <w:highlight w:val="none"/>
              </w:rPr>
              <w:t>项目立项　</w:t>
            </w:r>
          </w:p>
        </w:tc>
        <w:tc>
          <w:tcPr>
            <w:tcW w:w="344" w:type="pct"/>
            <w:shd w:val="clear" w:color="auto" w:fill="FFFFFF"/>
            <w:vAlign w:val="center"/>
          </w:tcPr>
          <w:p w14:paraId="33B8A2FF">
            <w:pPr>
              <w:widowControl/>
              <w:spacing w:line="0" w:lineRule="atLeast"/>
              <w:jc w:val="center"/>
              <w:rPr>
                <w:color w:val="auto"/>
                <w:kern w:val="0"/>
                <w:sz w:val="22"/>
                <w:szCs w:val="22"/>
                <w:highlight w:val="none"/>
              </w:rPr>
            </w:pPr>
            <w:r>
              <w:rPr>
                <w:color w:val="auto"/>
                <w:kern w:val="0"/>
                <w:sz w:val="22"/>
                <w:szCs w:val="22"/>
                <w:highlight w:val="none"/>
              </w:rPr>
              <w:t>立项依据</w:t>
            </w:r>
          </w:p>
          <w:p w14:paraId="436B77D9">
            <w:pPr>
              <w:widowControl/>
              <w:spacing w:line="0" w:lineRule="atLeast"/>
              <w:jc w:val="center"/>
              <w:rPr>
                <w:color w:val="auto"/>
                <w:kern w:val="0"/>
                <w:sz w:val="22"/>
                <w:szCs w:val="22"/>
                <w:highlight w:val="none"/>
              </w:rPr>
            </w:pPr>
            <w:r>
              <w:rPr>
                <w:color w:val="auto"/>
                <w:kern w:val="0"/>
                <w:sz w:val="22"/>
                <w:szCs w:val="22"/>
                <w:highlight w:val="none"/>
              </w:rPr>
              <w:t>充分性</w:t>
            </w:r>
          </w:p>
        </w:tc>
        <w:tc>
          <w:tcPr>
            <w:tcW w:w="927" w:type="pct"/>
            <w:shd w:val="clear" w:color="auto" w:fill="FFFFFF"/>
            <w:vAlign w:val="center"/>
          </w:tcPr>
          <w:p w14:paraId="6FB43499">
            <w:pPr>
              <w:widowControl/>
              <w:spacing w:line="0" w:lineRule="atLeast"/>
              <w:rPr>
                <w:color w:val="auto"/>
                <w:kern w:val="0"/>
                <w:sz w:val="22"/>
                <w:szCs w:val="22"/>
                <w:highlight w:val="none"/>
              </w:rPr>
            </w:pPr>
            <w:r>
              <w:rPr>
                <w:color w:val="auto"/>
                <w:kern w:val="0"/>
                <w:sz w:val="22"/>
                <w:szCs w:val="22"/>
                <w:highlight w:val="none"/>
              </w:rPr>
              <w:t>项目立项是否符合法律法规、相关政策、发展规划以及部门职责，用以反映和考核项目立项依据情况。</w:t>
            </w:r>
          </w:p>
        </w:tc>
        <w:tc>
          <w:tcPr>
            <w:tcW w:w="2045" w:type="pct"/>
            <w:shd w:val="clear" w:color="auto" w:fill="FFFFFF"/>
            <w:vAlign w:val="center"/>
          </w:tcPr>
          <w:p w14:paraId="292CF4AC">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①项目立项是否符合国家法律法规、国民经济发展规划和相关政策；</w:t>
            </w:r>
            <w:r>
              <w:rPr>
                <w:color w:val="auto"/>
                <w:kern w:val="0"/>
                <w:sz w:val="22"/>
                <w:szCs w:val="22"/>
                <w:highlight w:val="none"/>
              </w:rPr>
              <w:br w:type="textWrapping"/>
            </w:r>
            <w:r>
              <w:rPr>
                <w:color w:val="auto"/>
                <w:kern w:val="0"/>
                <w:sz w:val="22"/>
                <w:szCs w:val="22"/>
                <w:highlight w:val="none"/>
              </w:rPr>
              <w:t>②项目立项是否符合行业发展规划和政策要求；</w:t>
            </w:r>
            <w:r>
              <w:rPr>
                <w:color w:val="auto"/>
                <w:kern w:val="0"/>
                <w:sz w:val="22"/>
                <w:szCs w:val="22"/>
                <w:highlight w:val="none"/>
              </w:rPr>
              <w:br w:type="textWrapping"/>
            </w:r>
            <w:r>
              <w:rPr>
                <w:color w:val="auto"/>
                <w:kern w:val="0"/>
                <w:sz w:val="22"/>
                <w:szCs w:val="22"/>
                <w:highlight w:val="none"/>
              </w:rPr>
              <w:t>③项目立项是否与部门职责范围相符，属于部门履职所需；</w:t>
            </w:r>
            <w:r>
              <w:rPr>
                <w:color w:val="auto"/>
                <w:kern w:val="0"/>
                <w:sz w:val="22"/>
                <w:szCs w:val="22"/>
                <w:highlight w:val="none"/>
              </w:rPr>
              <w:br w:type="textWrapping"/>
            </w:r>
            <w:r>
              <w:rPr>
                <w:color w:val="auto"/>
                <w:kern w:val="0"/>
                <w:sz w:val="22"/>
                <w:szCs w:val="22"/>
                <w:highlight w:val="none"/>
              </w:rPr>
              <w:t>④项目是否属于公共财政支持范围，是否符合中央、地方事权支出责任划分原则；</w:t>
            </w:r>
            <w:r>
              <w:rPr>
                <w:color w:val="auto"/>
                <w:kern w:val="0"/>
                <w:sz w:val="22"/>
                <w:szCs w:val="22"/>
                <w:highlight w:val="none"/>
              </w:rPr>
              <w:br w:type="textWrapping"/>
            </w:r>
            <w:r>
              <w:rPr>
                <w:color w:val="auto"/>
                <w:kern w:val="0"/>
                <w:sz w:val="22"/>
                <w:szCs w:val="22"/>
                <w:highlight w:val="none"/>
              </w:rPr>
              <w:t>⑤项目是否与相关部门同类项目或部门内部相关项目重复。</w:t>
            </w:r>
          </w:p>
        </w:tc>
        <w:tc>
          <w:tcPr>
            <w:tcW w:w="512" w:type="pct"/>
            <w:shd w:val="clear" w:color="auto" w:fill="FFFFFF"/>
            <w:vAlign w:val="center"/>
          </w:tcPr>
          <w:p w14:paraId="36F283C9">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auto" w:fill="FFFFFF"/>
            <w:vAlign w:val="center"/>
          </w:tcPr>
          <w:p w14:paraId="2B01E7CC">
            <w:pPr>
              <w:widowControl/>
              <w:spacing w:line="0" w:lineRule="atLeast"/>
              <w:jc w:val="center"/>
              <w:rPr>
                <w:b/>
                <w:bCs/>
                <w:color w:val="auto"/>
                <w:kern w:val="0"/>
                <w:sz w:val="22"/>
                <w:szCs w:val="22"/>
                <w:highlight w:val="none"/>
              </w:rPr>
            </w:pPr>
            <w:r>
              <w:rPr>
                <w:b/>
                <w:bCs/>
                <w:color w:val="auto"/>
                <w:kern w:val="0"/>
                <w:sz w:val="22"/>
                <w:szCs w:val="22"/>
                <w:highlight w:val="none"/>
              </w:rPr>
              <w:t>3</w:t>
            </w:r>
          </w:p>
        </w:tc>
      </w:tr>
      <w:tr w14:paraId="3533D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0" w:type="pct"/>
            <w:vMerge w:val="continue"/>
            <w:shd w:val="clear" w:color="auto" w:fill="FFFFFF"/>
            <w:vAlign w:val="center"/>
          </w:tcPr>
          <w:p w14:paraId="15B60117">
            <w:pPr>
              <w:spacing w:line="0" w:lineRule="atLeast"/>
              <w:jc w:val="center"/>
              <w:rPr>
                <w:color w:val="auto"/>
                <w:kern w:val="0"/>
                <w:sz w:val="22"/>
                <w:szCs w:val="22"/>
                <w:highlight w:val="none"/>
              </w:rPr>
            </w:pPr>
          </w:p>
        </w:tc>
        <w:tc>
          <w:tcPr>
            <w:tcW w:w="302" w:type="pct"/>
            <w:vMerge w:val="continue"/>
            <w:shd w:val="clear" w:color="auto" w:fill="FFFFFF"/>
            <w:vAlign w:val="center"/>
          </w:tcPr>
          <w:p w14:paraId="6C3EE851">
            <w:pPr>
              <w:widowControl/>
              <w:spacing w:line="0" w:lineRule="atLeast"/>
              <w:jc w:val="center"/>
              <w:rPr>
                <w:color w:val="auto"/>
                <w:kern w:val="0"/>
                <w:sz w:val="22"/>
                <w:szCs w:val="22"/>
                <w:highlight w:val="none"/>
              </w:rPr>
            </w:pPr>
          </w:p>
        </w:tc>
        <w:tc>
          <w:tcPr>
            <w:tcW w:w="344" w:type="pct"/>
            <w:shd w:val="clear" w:color="auto" w:fill="FFFFFF"/>
            <w:vAlign w:val="center"/>
          </w:tcPr>
          <w:p w14:paraId="74E77C8D">
            <w:pPr>
              <w:widowControl/>
              <w:spacing w:line="0" w:lineRule="atLeast"/>
              <w:jc w:val="center"/>
              <w:rPr>
                <w:color w:val="auto"/>
                <w:kern w:val="0"/>
                <w:sz w:val="22"/>
                <w:szCs w:val="22"/>
                <w:highlight w:val="none"/>
              </w:rPr>
            </w:pPr>
            <w:r>
              <w:rPr>
                <w:color w:val="auto"/>
                <w:kern w:val="0"/>
                <w:sz w:val="22"/>
                <w:szCs w:val="22"/>
                <w:highlight w:val="none"/>
              </w:rPr>
              <w:t>立项程序</w:t>
            </w:r>
          </w:p>
          <w:p w14:paraId="4DB063DD">
            <w:pPr>
              <w:widowControl/>
              <w:spacing w:line="0" w:lineRule="atLeast"/>
              <w:jc w:val="center"/>
              <w:rPr>
                <w:color w:val="auto"/>
                <w:kern w:val="0"/>
                <w:sz w:val="22"/>
                <w:szCs w:val="22"/>
                <w:highlight w:val="none"/>
              </w:rPr>
            </w:pPr>
            <w:r>
              <w:rPr>
                <w:color w:val="auto"/>
                <w:kern w:val="0"/>
                <w:sz w:val="22"/>
                <w:szCs w:val="22"/>
                <w:highlight w:val="none"/>
              </w:rPr>
              <w:t>规范性</w:t>
            </w:r>
          </w:p>
        </w:tc>
        <w:tc>
          <w:tcPr>
            <w:tcW w:w="927" w:type="pct"/>
            <w:shd w:val="clear" w:color="auto" w:fill="FFFFFF"/>
            <w:vAlign w:val="center"/>
          </w:tcPr>
          <w:p w14:paraId="67821DB6">
            <w:pPr>
              <w:widowControl/>
              <w:spacing w:line="0" w:lineRule="atLeast"/>
              <w:rPr>
                <w:color w:val="auto"/>
                <w:kern w:val="0"/>
                <w:sz w:val="22"/>
                <w:szCs w:val="22"/>
                <w:highlight w:val="none"/>
              </w:rPr>
            </w:pPr>
            <w:r>
              <w:rPr>
                <w:color w:val="auto"/>
                <w:kern w:val="0"/>
                <w:sz w:val="22"/>
                <w:szCs w:val="22"/>
                <w:highlight w:val="none"/>
              </w:rPr>
              <w:t>项目申请、设立过程是否符合相关要求，用以反映和考核项目立项的规范情况。</w:t>
            </w:r>
          </w:p>
        </w:tc>
        <w:tc>
          <w:tcPr>
            <w:tcW w:w="2045" w:type="pct"/>
            <w:shd w:val="clear" w:color="auto" w:fill="FFFFFF"/>
            <w:vAlign w:val="center"/>
          </w:tcPr>
          <w:p w14:paraId="193484B4">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①项目是否按照规定的程序申请设立；</w:t>
            </w:r>
            <w:r>
              <w:rPr>
                <w:color w:val="auto"/>
                <w:kern w:val="0"/>
                <w:sz w:val="22"/>
                <w:szCs w:val="22"/>
                <w:highlight w:val="none"/>
              </w:rPr>
              <w:br w:type="textWrapping"/>
            </w:r>
            <w:r>
              <w:rPr>
                <w:color w:val="auto"/>
                <w:kern w:val="0"/>
                <w:sz w:val="22"/>
                <w:szCs w:val="22"/>
                <w:highlight w:val="none"/>
              </w:rPr>
              <w:t>②审批文件、材料是否符合相关要求；</w:t>
            </w:r>
            <w:r>
              <w:rPr>
                <w:color w:val="auto"/>
                <w:kern w:val="0"/>
                <w:sz w:val="22"/>
                <w:szCs w:val="22"/>
                <w:highlight w:val="none"/>
              </w:rPr>
              <w:br w:type="textWrapping"/>
            </w:r>
            <w:r>
              <w:rPr>
                <w:color w:val="auto"/>
                <w:kern w:val="0"/>
                <w:sz w:val="22"/>
                <w:szCs w:val="22"/>
                <w:highlight w:val="none"/>
              </w:rPr>
              <w:t>③事前是否已经过必要的可行性研究、专家论证、风险评估、绩效评估、集体决策。</w:t>
            </w:r>
          </w:p>
        </w:tc>
        <w:tc>
          <w:tcPr>
            <w:tcW w:w="512" w:type="pct"/>
            <w:shd w:val="clear" w:color="auto" w:fill="FFFFFF"/>
            <w:vAlign w:val="center"/>
          </w:tcPr>
          <w:p w14:paraId="24A61185">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auto" w:fill="FFFFFF"/>
            <w:vAlign w:val="center"/>
          </w:tcPr>
          <w:p w14:paraId="15FFB199">
            <w:pPr>
              <w:widowControl/>
              <w:spacing w:line="0" w:lineRule="atLeast"/>
              <w:jc w:val="center"/>
              <w:rPr>
                <w:b/>
                <w:bCs/>
                <w:color w:val="auto"/>
                <w:kern w:val="0"/>
                <w:sz w:val="22"/>
                <w:szCs w:val="22"/>
                <w:highlight w:val="none"/>
              </w:rPr>
            </w:pPr>
            <w:r>
              <w:rPr>
                <w:b/>
                <w:bCs/>
                <w:color w:val="auto"/>
                <w:kern w:val="0"/>
                <w:sz w:val="22"/>
                <w:szCs w:val="22"/>
                <w:highlight w:val="none"/>
              </w:rPr>
              <w:t>3</w:t>
            </w:r>
          </w:p>
        </w:tc>
      </w:tr>
      <w:tr w14:paraId="1F8F4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0" w:type="pct"/>
            <w:vMerge w:val="continue"/>
            <w:shd w:val="clear" w:color="auto" w:fill="FFFFFF"/>
            <w:vAlign w:val="center"/>
          </w:tcPr>
          <w:p w14:paraId="7370505C">
            <w:pPr>
              <w:spacing w:line="0" w:lineRule="atLeast"/>
              <w:jc w:val="center"/>
              <w:rPr>
                <w:color w:val="auto"/>
                <w:kern w:val="0"/>
                <w:sz w:val="22"/>
                <w:szCs w:val="22"/>
                <w:highlight w:val="none"/>
              </w:rPr>
            </w:pPr>
          </w:p>
        </w:tc>
        <w:tc>
          <w:tcPr>
            <w:tcW w:w="302" w:type="pct"/>
            <w:shd w:val="clear" w:color="auto" w:fill="FFFFFF"/>
            <w:vAlign w:val="center"/>
          </w:tcPr>
          <w:p w14:paraId="0FEE7C6C">
            <w:pPr>
              <w:widowControl/>
              <w:spacing w:line="0" w:lineRule="atLeast"/>
              <w:jc w:val="center"/>
              <w:rPr>
                <w:color w:val="auto"/>
                <w:kern w:val="0"/>
                <w:sz w:val="22"/>
                <w:szCs w:val="22"/>
                <w:highlight w:val="none"/>
              </w:rPr>
            </w:pPr>
            <w:r>
              <w:rPr>
                <w:color w:val="auto"/>
                <w:kern w:val="0"/>
                <w:sz w:val="22"/>
                <w:szCs w:val="22"/>
                <w:highlight w:val="none"/>
              </w:rPr>
              <w:t>绩效目标　</w:t>
            </w:r>
          </w:p>
        </w:tc>
        <w:tc>
          <w:tcPr>
            <w:tcW w:w="344" w:type="pct"/>
            <w:shd w:val="clear" w:color="auto" w:fill="FFFFFF"/>
            <w:vAlign w:val="center"/>
          </w:tcPr>
          <w:p w14:paraId="2CD0D94C">
            <w:pPr>
              <w:widowControl/>
              <w:spacing w:line="0" w:lineRule="atLeast"/>
              <w:jc w:val="center"/>
              <w:rPr>
                <w:color w:val="auto"/>
                <w:kern w:val="0"/>
                <w:sz w:val="22"/>
                <w:szCs w:val="22"/>
                <w:highlight w:val="none"/>
              </w:rPr>
            </w:pPr>
            <w:r>
              <w:rPr>
                <w:color w:val="auto"/>
                <w:kern w:val="0"/>
                <w:sz w:val="22"/>
                <w:szCs w:val="22"/>
                <w:highlight w:val="none"/>
              </w:rPr>
              <w:t>绩效目标</w:t>
            </w:r>
          </w:p>
          <w:p w14:paraId="67C32555">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927" w:type="pct"/>
            <w:shd w:val="clear" w:color="000000" w:fill="FFFFFF"/>
            <w:vAlign w:val="center"/>
          </w:tcPr>
          <w:p w14:paraId="55F09F04">
            <w:pPr>
              <w:widowControl/>
              <w:spacing w:line="0" w:lineRule="atLeast"/>
              <w:rPr>
                <w:color w:val="auto"/>
                <w:kern w:val="0"/>
                <w:sz w:val="22"/>
                <w:szCs w:val="22"/>
                <w:highlight w:val="none"/>
              </w:rPr>
            </w:pPr>
            <w:r>
              <w:rPr>
                <w:color w:val="auto"/>
                <w:kern w:val="0"/>
                <w:sz w:val="22"/>
                <w:szCs w:val="22"/>
                <w:highlight w:val="none"/>
              </w:rPr>
              <w:t>项目所设定的绩效目标是否依据充分，是否符合客观实际，用以反映和考核项目绩效目标与项目实施的相符情况。</w:t>
            </w:r>
          </w:p>
        </w:tc>
        <w:tc>
          <w:tcPr>
            <w:tcW w:w="2045" w:type="pct"/>
            <w:shd w:val="clear" w:color="000000" w:fill="FFFFFF"/>
            <w:vAlign w:val="center"/>
          </w:tcPr>
          <w:p w14:paraId="016236BB">
            <w:pPr>
              <w:widowControl/>
              <w:spacing w:line="0" w:lineRule="atLeast"/>
              <w:jc w:val="lef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（如未设定预算绩效目标，也可考核其他工作任务目标）</w:t>
            </w:r>
            <w:r>
              <w:rPr>
                <w:color w:val="auto"/>
                <w:kern w:val="0"/>
                <w:sz w:val="22"/>
                <w:szCs w:val="22"/>
                <w:highlight w:val="none"/>
              </w:rPr>
              <w:br w:type="textWrapping"/>
            </w:r>
            <w:r>
              <w:rPr>
                <w:color w:val="auto"/>
                <w:kern w:val="0"/>
                <w:sz w:val="22"/>
                <w:szCs w:val="22"/>
                <w:highlight w:val="none"/>
              </w:rPr>
              <w:t>①项目是否有绩效目标；</w:t>
            </w:r>
            <w:r>
              <w:rPr>
                <w:color w:val="auto"/>
                <w:kern w:val="0"/>
                <w:sz w:val="22"/>
                <w:szCs w:val="22"/>
                <w:highlight w:val="none"/>
              </w:rPr>
              <w:br w:type="textWrapping"/>
            </w:r>
            <w:r>
              <w:rPr>
                <w:color w:val="auto"/>
                <w:kern w:val="0"/>
                <w:sz w:val="22"/>
                <w:szCs w:val="22"/>
                <w:highlight w:val="none"/>
              </w:rPr>
              <w:t>②项目绩效目标与实际工作内容是否具有相关性；</w:t>
            </w:r>
            <w:r>
              <w:rPr>
                <w:color w:val="auto"/>
                <w:kern w:val="0"/>
                <w:sz w:val="22"/>
                <w:szCs w:val="22"/>
                <w:highlight w:val="none"/>
              </w:rPr>
              <w:br w:type="textWrapping"/>
            </w:r>
            <w:r>
              <w:rPr>
                <w:color w:val="auto"/>
                <w:kern w:val="0"/>
                <w:sz w:val="22"/>
                <w:szCs w:val="22"/>
                <w:highlight w:val="none"/>
              </w:rPr>
              <w:t>③项目预期产出效益和效果是否符合正常的业绩水平；</w:t>
            </w:r>
          </w:p>
          <w:p w14:paraId="46615FAE">
            <w:pPr>
              <w:widowControl/>
              <w:spacing w:line="0" w:lineRule="atLeast"/>
              <w:jc w:val="left"/>
              <w:rPr>
                <w:color w:val="auto"/>
                <w:kern w:val="0"/>
                <w:sz w:val="22"/>
                <w:szCs w:val="22"/>
                <w:highlight w:val="none"/>
              </w:rPr>
            </w:pPr>
            <w:r>
              <w:rPr>
                <w:color w:val="auto"/>
                <w:kern w:val="0"/>
                <w:sz w:val="22"/>
                <w:szCs w:val="22"/>
                <w:highlight w:val="none"/>
              </w:rPr>
              <w:t>④是否与预算确定的项目投资额或资金量相匹配。</w:t>
            </w:r>
          </w:p>
        </w:tc>
        <w:tc>
          <w:tcPr>
            <w:tcW w:w="512" w:type="pct"/>
            <w:shd w:val="clear" w:color="000000" w:fill="FFFFFF"/>
            <w:vAlign w:val="center"/>
          </w:tcPr>
          <w:p w14:paraId="28BE1DA0">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000000" w:fill="FFFFFF"/>
            <w:vAlign w:val="center"/>
          </w:tcPr>
          <w:p w14:paraId="0CFE2736">
            <w:pPr>
              <w:widowControl/>
              <w:spacing w:line="0" w:lineRule="atLeast"/>
              <w:jc w:val="center"/>
              <w:rPr>
                <w:b/>
                <w:bCs/>
                <w:color w:val="auto"/>
                <w:kern w:val="0"/>
                <w:sz w:val="22"/>
                <w:szCs w:val="22"/>
                <w:highlight w:val="none"/>
              </w:rPr>
            </w:pPr>
            <w:r>
              <w:rPr>
                <w:b/>
                <w:bCs/>
                <w:color w:val="auto"/>
                <w:kern w:val="0"/>
                <w:sz w:val="22"/>
                <w:szCs w:val="22"/>
                <w:highlight w:val="none"/>
              </w:rPr>
              <w:t>3</w:t>
            </w:r>
          </w:p>
        </w:tc>
      </w:tr>
      <w:tr w14:paraId="5828A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0" w:type="pct"/>
            <w:vMerge w:val="restart"/>
            <w:shd w:val="clear" w:color="auto" w:fill="FFFFFF"/>
            <w:vAlign w:val="center"/>
          </w:tcPr>
          <w:p w14:paraId="64A19AFA">
            <w:pPr>
              <w:widowControl/>
              <w:spacing w:line="0" w:lineRule="atLeast"/>
              <w:jc w:val="center"/>
              <w:rPr>
                <w:color w:val="auto"/>
                <w:kern w:val="0"/>
                <w:sz w:val="22"/>
                <w:szCs w:val="22"/>
                <w:highlight w:val="none"/>
              </w:rPr>
            </w:pPr>
            <w:r>
              <w:rPr>
                <w:color w:val="auto"/>
                <w:kern w:val="0"/>
                <w:sz w:val="22"/>
                <w:szCs w:val="22"/>
                <w:highlight w:val="none"/>
              </w:rPr>
              <w:t>决策　</w:t>
            </w:r>
          </w:p>
        </w:tc>
        <w:tc>
          <w:tcPr>
            <w:tcW w:w="302" w:type="pct"/>
            <w:shd w:val="clear" w:color="auto" w:fill="FFFFFF"/>
            <w:vAlign w:val="center"/>
          </w:tcPr>
          <w:p w14:paraId="45679E82">
            <w:pPr>
              <w:widowControl/>
              <w:spacing w:line="0" w:lineRule="atLeast"/>
              <w:jc w:val="center"/>
              <w:rPr>
                <w:color w:val="auto"/>
                <w:kern w:val="0"/>
                <w:sz w:val="22"/>
                <w:szCs w:val="22"/>
                <w:highlight w:val="none"/>
              </w:rPr>
            </w:pPr>
            <w:r>
              <w:rPr>
                <w:color w:val="auto"/>
                <w:kern w:val="0"/>
                <w:sz w:val="22"/>
                <w:szCs w:val="22"/>
                <w:highlight w:val="none"/>
              </w:rPr>
              <w:t>绩效目标</w:t>
            </w:r>
          </w:p>
        </w:tc>
        <w:tc>
          <w:tcPr>
            <w:tcW w:w="344" w:type="pct"/>
            <w:shd w:val="clear" w:color="auto" w:fill="FFFFFF"/>
            <w:vAlign w:val="center"/>
          </w:tcPr>
          <w:p w14:paraId="02BF2321">
            <w:pPr>
              <w:widowControl/>
              <w:spacing w:line="0" w:lineRule="atLeast"/>
              <w:jc w:val="center"/>
              <w:rPr>
                <w:color w:val="auto"/>
                <w:kern w:val="0"/>
                <w:sz w:val="22"/>
                <w:szCs w:val="22"/>
                <w:highlight w:val="none"/>
              </w:rPr>
            </w:pPr>
            <w:r>
              <w:rPr>
                <w:color w:val="auto"/>
                <w:kern w:val="0"/>
                <w:sz w:val="22"/>
                <w:szCs w:val="22"/>
                <w:highlight w:val="none"/>
              </w:rPr>
              <w:t>绩效指标</w:t>
            </w:r>
          </w:p>
          <w:p w14:paraId="38024E20">
            <w:pPr>
              <w:widowControl/>
              <w:spacing w:line="0" w:lineRule="atLeast"/>
              <w:jc w:val="center"/>
              <w:rPr>
                <w:color w:val="auto"/>
                <w:kern w:val="0"/>
                <w:sz w:val="22"/>
                <w:szCs w:val="22"/>
                <w:highlight w:val="none"/>
              </w:rPr>
            </w:pPr>
            <w:r>
              <w:rPr>
                <w:color w:val="auto"/>
                <w:kern w:val="0"/>
                <w:sz w:val="22"/>
                <w:szCs w:val="22"/>
                <w:highlight w:val="none"/>
              </w:rPr>
              <w:t>明确性</w:t>
            </w:r>
          </w:p>
        </w:tc>
        <w:tc>
          <w:tcPr>
            <w:tcW w:w="927" w:type="pct"/>
            <w:shd w:val="clear" w:color="000000" w:fill="FFFFFF"/>
            <w:vAlign w:val="center"/>
          </w:tcPr>
          <w:p w14:paraId="4475ED27">
            <w:pPr>
              <w:widowControl/>
              <w:spacing w:line="0" w:lineRule="atLeast"/>
              <w:rPr>
                <w:color w:val="auto"/>
                <w:kern w:val="0"/>
                <w:sz w:val="22"/>
                <w:szCs w:val="22"/>
                <w:highlight w:val="none"/>
              </w:rPr>
            </w:pPr>
            <w:r>
              <w:rPr>
                <w:color w:val="auto"/>
                <w:kern w:val="0"/>
                <w:sz w:val="22"/>
                <w:szCs w:val="22"/>
                <w:highlight w:val="none"/>
              </w:rPr>
              <w:t>依据绩效目标设定的绩效指标是否清晰、细化、可衡量等，用以反映和考核项目绩效目标的明细化情况。</w:t>
            </w:r>
          </w:p>
        </w:tc>
        <w:tc>
          <w:tcPr>
            <w:tcW w:w="2045" w:type="pct"/>
            <w:shd w:val="clear" w:color="000000" w:fill="FFFFFF"/>
            <w:vAlign w:val="center"/>
          </w:tcPr>
          <w:p w14:paraId="11D4691D">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①是否将项目绩效目标细化分解为具体的绩效指标；</w:t>
            </w:r>
            <w:r>
              <w:rPr>
                <w:color w:val="auto"/>
                <w:kern w:val="0"/>
                <w:sz w:val="22"/>
                <w:szCs w:val="22"/>
                <w:highlight w:val="none"/>
              </w:rPr>
              <w:br w:type="textWrapping"/>
            </w:r>
            <w:r>
              <w:rPr>
                <w:color w:val="auto"/>
                <w:kern w:val="0"/>
                <w:sz w:val="22"/>
                <w:szCs w:val="22"/>
                <w:highlight w:val="none"/>
              </w:rPr>
              <w:t>②是否通过清晰、可衡量的指标值予以体现；</w:t>
            </w:r>
            <w:r>
              <w:rPr>
                <w:color w:val="auto"/>
                <w:kern w:val="0"/>
                <w:sz w:val="22"/>
                <w:szCs w:val="22"/>
                <w:highlight w:val="none"/>
              </w:rPr>
              <w:br w:type="textWrapping"/>
            </w:r>
            <w:r>
              <w:rPr>
                <w:color w:val="auto"/>
                <w:kern w:val="0"/>
                <w:sz w:val="22"/>
                <w:szCs w:val="22"/>
                <w:highlight w:val="none"/>
              </w:rPr>
              <w:t>③是否与项目目标任务数或计划数相对应。</w:t>
            </w:r>
            <w:r>
              <w:rPr>
                <w:color w:val="auto"/>
                <w:kern w:val="0"/>
                <w:sz w:val="22"/>
                <w:szCs w:val="22"/>
                <w:highlight w:val="none"/>
              </w:rPr>
              <w:br w:type="textWrapping"/>
            </w:r>
          </w:p>
        </w:tc>
        <w:tc>
          <w:tcPr>
            <w:tcW w:w="512" w:type="pct"/>
            <w:shd w:val="clear" w:color="000000" w:fill="FFFFFF"/>
            <w:vAlign w:val="center"/>
          </w:tcPr>
          <w:p w14:paraId="0F003F6F">
            <w:pPr>
              <w:widowControl/>
              <w:spacing w:line="0" w:lineRule="atLeast"/>
              <w:jc w:val="center"/>
              <w:rPr>
                <w:b/>
                <w:bCs/>
                <w:color w:val="auto"/>
                <w:kern w:val="0"/>
                <w:sz w:val="22"/>
                <w:szCs w:val="22"/>
                <w:highlight w:val="none"/>
              </w:rPr>
            </w:pPr>
            <w:r>
              <w:rPr>
                <w:b/>
                <w:bCs/>
                <w:color w:val="auto"/>
                <w:kern w:val="0"/>
                <w:sz w:val="22"/>
                <w:szCs w:val="22"/>
                <w:highlight w:val="none"/>
              </w:rPr>
              <w:t>3</w:t>
            </w:r>
          </w:p>
        </w:tc>
        <w:tc>
          <w:tcPr>
            <w:tcW w:w="537" w:type="pct"/>
            <w:shd w:val="clear" w:color="000000" w:fill="FFFFFF"/>
            <w:vAlign w:val="center"/>
          </w:tcPr>
          <w:p w14:paraId="02997721">
            <w:pPr>
              <w:widowControl/>
              <w:spacing w:line="0" w:lineRule="atLeast"/>
              <w:jc w:val="center"/>
              <w:rPr>
                <w:b/>
                <w:bCs/>
                <w:color w:val="auto"/>
                <w:kern w:val="0"/>
                <w:sz w:val="22"/>
                <w:szCs w:val="22"/>
                <w:highlight w:val="none"/>
              </w:rPr>
            </w:pPr>
            <w:r>
              <w:rPr>
                <w:b/>
                <w:bCs/>
                <w:color w:val="auto"/>
                <w:kern w:val="0"/>
                <w:sz w:val="22"/>
                <w:szCs w:val="22"/>
                <w:highlight w:val="none"/>
              </w:rPr>
              <w:t>3</w:t>
            </w:r>
          </w:p>
        </w:tc>
      </w:tr>
      <w:tr w14:paraId="225EE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0" w:type="pct"/>
            <w:vMerge w:val="continue"/>
            <w:shd w:val="clear" w:color="auto" w:fill="FFFFFF"/>
            <w:vAlign w:val="center"/>
          </w:tcPr>
          <w:p w14:paraId="48D6B1B2">
            <w:pPr>
              <w:spacing w:line="0" w:lineRule="atLeast"/>
              <w:jc w:val="center"/>
              <w:rPr>
                <w:color w:val="auto"/>
                <w:kern w:val="0"/>
                <w:sz w:val="22"/>
                <w:szCs w:val="22"/>
                <w:highlight w:val="none"/>
              </w:rPr>
            </w:pPr>
          </w:p>
        </w:tc>
        <w:tc>
          <w:tcPr>
            <w:tcW w:w="302" w:type="pct"/>
            <w:vMerge w:val="restart"/>
            <w:shd w:val="clear" w:color="auto" w:fill="FFFFFF"/>
            <w:vAlign w:val="center"/>
          </w:tcPr>
          <w:p w14:paraId="365F48C6">
            <w:pPr>
              <w:widowControl/>
              <w:spacing w:line="0" w:lineRule="atLeast"/>
              <w:jc w:val="center"/>
              <w:rPr>
                <w:color w:val="auto"/>
                <w:kern w:val="0"/>
                <w:sz w:val="22"/>
                <w:szCs w:val="22"/>
                <w:highlight w:val="none"/>
              </w:rPr>
            </w:pPr>
            <w:r>
              <w:rPr>
                <w:color w:val="auto"/>
                <w:kern w:val="0"/>
                <w:sz w:val="22"/>
                <w:szCs w:val="22"/>
                <w:highlight w:val="none"/>
              </w:rPr>
              <w:t>资金投入</w:t>
            </w:r>
          </w:p>
          <w:p w14:paraId="372B4E75">
            <w:pPr>
              <w:spacing w:line="0" w:lineRule="atLeast"/>
              <w:jc w:val="center"/>
              <w:rPr>
                <w:color w:val="auto"/>
                <w:kern w:val="0"/>
                <w:sz w:val="22"/>
                <w:szCs w:val="22"/>
                <w:highlight w:val="none"/>
              </w:rPr>
            </w:pPr>
            <w:r>
              <w:rPr>
                <w:color w:val="auto"/>
                <w:kern w:val="0"/>
                <w:sz w:val="22"/>
                <w:szCs w:val="22"/>
                <w:highlight w:val="none"/>
              </w:rPr>
              <w:t>　</w:t>
            </w:r>
          </w:p>
        </w:tc>
        <w:tc>
          <w:tcPr>
            <w:tcW w:w="344" w:type="pct"/>
            <w:shd w:val="clear" w:color="auto" w:fill="FFFFFF"/>
            <w:vAlign w:val="center"/>
          </w:tcPr>
          <w:p w14:paraId="42EFF75E">
            <w:pPr>
              <w:widowControl/>
              <w:spacing w:line="0" w:lineRule="atLeast"/>
              <w:jc w:val="center"/>
              <w:rPr>
                <w:color w:val="auto"/>
                <w:kern w:val="0"/>
                <w:sz w:val="22"/>
                <w:szCs w:val="22"/>
                <w:highlight w:val="none"/>
              </w:rPr>
            </w:pPr>
            <w:r>
              <w:rPr>
                <w:color w:val="auto"/>
                <w:kern w:val="0"/>
                <w:sz w:val="22"/>
                <w:szCs w:val="22"/>
                <w:highlight w:val="none"/>
              </w:rPr>
              <w:t>预算编制</w:t>
            </w:r>
          </w:p>
          <w:p w14:paraId="3BED53C5">
            <w:pPr>
              <w:widowControl/>
              <w:spacing w:line="0" w:lineRule="atLeast"/>
              <w:jc w:val="center"/>
              <w:rPr>
                <w:color w:val="auto"/>
                <w:kern w:val="0"/>
                <w:sz w:val="22"/>
                <w:szCs w:val="22"/>
                <w:highlight w:val="none"/>
              </w:rPr>
            </w:pPr>
            <w:r>
              <w:rPr>
                <w:color w:val="auto"/>
                <w:kern w:val="0"/>
                <w:sz w:val="22"/>
                <w:szCs w:val="22"/>
                <w:highlight w:val="none"/>
              </w:rPr>
              <w:t>科学性</w:t>
            </w:r>
          </w:p>
        </w:tc>
        <w:tc>
          <w:tcPr>
            <w:tcW w:w="927" w:type="pct"/>
            <w:shd w:val="clear" w:color="auto" w:fill="FFFFFF"/>
            <w:vAlign w:val="center"/>
          </w:tcPr>
          <w:p w14:paraId="1AE30CF7">
            <w:pPr>
              <w:widowControl/>
              <w:spacing w:line="0" w:lineRule="atLeast"/>
              <w:rPr>
                <w:color w:val="auto"/>
                <w:kern w:val="0"/>
                <w:sz w:val="22"/>
                <w:szCs w:val="22"/>
                <w:highlight w:val="none"/>
              </w:rPr>
            </w:pPr>
            <w:r>
              <w:rPr>
                <w:color w:val="auto"/>
                <w:kern w:val="0"/>
                <w:sz w:val="22"/>
                <w:szCs w:val="22"/>
                <w:highlight w:val="none"/>
              </w:rPr>
              <w:t>项目预算编制是否经过科学论证、有明确标准，资金额度与年度目标是否相适应，用以反映和考核项目预算编制的科学性、合理性情况。</w:t>
            </w:r>
          </w:p>
        </w:tc>
        <w:tc>
          <w:tcPr>
            <w:tcW w:w="2045" w:type="pct"/>
            <w:shd w:val="clear" w:color="auto" w:fill="FFFFFF"/>
            <w:vAlign w:val="center"/>
          </w:tcPr>
          <w:p w14:paraId="5F6BA1B7">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①预算编制是否经过科学论证；</w:t>
            </w:r>
            <w:r>
              <w:rPr>
                <w:color w:val="auto"/>
                <w:kern w:val="0"/>
                <w:sz w:val="22"/>
                <w:szCs w:val="22"/>
                <w:highlight w:val="none"/>
              </w:rPr>
              <w:br w:type="textWrapping"/>
            </w:r>
            <w:r>
              <w:rPr>
                <w:color w:val="auto"/>
                <w:kern w:val="0"/>
                <w:sz w:val="22"/>
                <w:szCs w:val="22"/>
                <w:highlight w:val="none"/>
              </w:rPr>
              <w:t>②预算内容与项目内容是否匹配；</w:t>
            </w:r>
            <w:r>
              <w:rPr>
                <w:color w:val="auto"/>
                <w:kern w:val="0"/>
                <w:sz w:val="22"/>
                <w:szCs w:val="22"/>
                <w:highlight w:val="none"/>
              </w:rPr>
              <w:br w:type="textWrapping"/>
            </w:r>
            <w:r>
              <w:rPr>
                <w:color w:val="auto"/>
                <w:kern w:val="0"/>
                <w:sz w:val="22"/>
                <w:szCs w:val="22"/>
                <w:highlight w:val="none"/>
              </w:rPr>
              <w:t>③预算额度测算依据是否充分，是否按照标准编制；</w:t>
            </w:r>
            <w:r>
              <w:rPr>
                <w:color w:val="auto"/>
                <w:kern w:val="0"/>
                <w:sz w:val="22"/>
                <w:szCs w:val="22"/>
                <w:highlight w:val="none"/>
              </w:rPr>
              <w:br w:type="textWrapping"/>
            </w:r>
            <w:r>
              <w:rPr>
                <w:color w:val="auto"/>
                <w:kern w:val="0"/>
                <w:sz w:val="22"/>
                <w:szCs w:val="22"/>
                <w:highlight w:val="none"/>
              </w:rPr>
              <w:t>④预算确定的项目投资额或资金量是否与工作任务相匹配。</w:t>
            </w:r>
          </w:p>
        </w:tc>
        <w:tc>
          <w:tcPr>
            <w:tcW w:w="512" w:type="pct"/>
            <w:shd w:val="clear" w:color="auto" w:fill="FFFFFF"/>
            <w:vAlign w:val="center"/>
          </w:tcPr>
          <w:p w14:paraId="51336D66">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auto" w:fill="FFFFFF"/>
            <w:vAlign w:val="center"/>
          </w:tcPr>
          <w:p w14:paraId="7CD961E2">
            <w:pPr>
              <w:widowControl/>
              <w:spacing w:line="0" w:lineRule="atLeast"/>
              <w:jc w:val="center"/>
              <w:rPr>
                <w:b/>
                <w:bCs/>
                <w:color w:val="auto"/>
                <w:kern w:val="0"/>
                <w:sz w:val="22"/>
                <w:szCs w:val="22"/>
                <w:highlight w:val="none"/>
              </w:rPr>
            </w:pPr>
            <w:r>
              <w:rPr>
                <w:b/>
                <w:bCs/>
                <w:color w:val="auto"/>
                <w:kern w:val="0"/>
                <w:sz w:val="22"/>
                <w:szCs w:val="22"/>
                <w:highlight w:val="none"/>
              </w:rPr>
              <w:t>4</w:t>
            </w:r>
          </w:p>
        </w:tc>
      </w:tr>
      <w:tr w14:paraId="71FBC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0" w:type="pct"/>
            <w:vMerge w:val="continue"/>
            <w:shd w:val="clear" w:color="auto" w:fill="FFFFFF"/>
            <w:vAlign w:val="center"/>
          </w:tcPr>
          <w:p w14:paraId="646C71F4">
            <w:pPr>
              <w:widowControl/>
              <w:spacing w:line="0" w:lineRule="atLeast"/>
              <w:jc w:val="center"/>
              <w:rPr>
                <w:color w:val="auto"/>
                <w:kern w:val="0"/>
                <w:sz w:val="22"/>
                <w:szCs w:val="22"/>
                <w:highlight w:val="none"/>
              </w:rPr>
            </w:pPr>
          </w:p>
        </w:tc>
        <w:tc>
          <w:tcPr>
            <w:tcW w:w="302" w:type="pct"/>
            <w:vMerge w:val="continue"/>
            <w:shd w:val="clear" w:color="auto" w:fill="FFFFFF"/>
            <w:vAlign w:val="center"/>
          </w:tcPr>
          <w:p w14:paraId="3E5148D7">
            <w:pPr>
              <w:widowControl/>
              <w:spacing w:line="0" w:lineRule="atLeast"/>
              <w:jc w:val="center"/>
              <w:rPr>
                <w:color w:val="auto"/>
                <w:kern w:val="0"/>
                <w:sz w:val="22"/>
                <w:szCs w:val="22"/>
                <w:highlight w:val="none"/>
              </w:rPr>
            </w:pPr>
          </w:p>
        </w:tc>
        <w:tc>
          <w:tcPr>
            <w:tcW w:w="344" w:type="pct"/>
            <w:shd w:val="clear" w:color="auto" w:fill="FFFFFF"/>
            <w:vAlign w:val="center"/>
          </w:tcPr>
          <w:p w14:paraId="4312A287">
            <w:pPr>
              <w:widowControl/>
              <w:spacing w:line="0" w:lineRule="atLeast"/>
              <w:jc w:val="center"/>
              <w:rPr>
                <w:color w:val="auto"/>
                <w:kern w:val="0"/>
                <w:sz w:val="22"/>
                <w:szCs w:val="22"/>
                <w:highlight w:val="none"/>
              </w:rPr>
            </w:pPr>
            <w:r>
              <w:rPr>
                <w:color w:val="auto"/>
                <w:kern w:val="0"/>
                <w:sz w:val="22"/>
                <w:szCs w:val="22"/>
                <w:highlight w:val="none"/>
              </w:rPr>
              <w:t>资金分配</w:t>
            </w:r>
          </w:p>
          <w:p w14:paraId="773736EE">
            <w:pPr>
              <w:widowControl/>
              <w:spacing w:line="0" w:lineRule="atLeast"/>
              <w:jc w:val="center"/>
              <w:rPr>
                <w:color w:val="auto"/>
                <w:kern w:val="0"/>
                <w:sz w:val="22"/>
                <w:szCs w:val="22"/>
                <w:highlight w:val="none"/>
              </w:rPr>
            </w:pPr>
            <w:r>
              <w:rPr>
                <w:color w:val="auto"/>
                <w:kern w:val="0"/>
                <w:sz w:val="22"/>
                <w:szCs w:val="22"/>
                <w:highlight w:val="none"/>
              </w:rPr>
              <w:t>合理性</w:t>
            </w:r>
          </w:p>
        </w:tc>
        <w:tc>
          <w:tcPr>
            <w:tcW w:w="927" w:type="pct"/>
            <w:shd w:val="clear" w:color="auto" w:fill="FFFFFF"/>
            <w:vAlign w:val="center"/>
          </w:tcPr>
          <w:p w14:paraId="6B297DA5">
            <w:pPr>
              <w:widowControl/>
              <w:spacing w:line="0" w:lineRule="atLeast"/>
              <w:rPr>
                <w:color w:val="auto"/>
                <w:kern w:val="0"/>
                <w:sz w:val="22"/>
                <w:szCs w:val="22"/>
                <w:highlight w:val="none"/>
              </w:rPr>
            </w:pPr>
            <w:r>
              <w:rPr>
                <w:color w:val="auto"/>
                <w:kern w:val="0"/>
                <w:sz w:val="22"/>
                <w:szCs w:val="22"/>
                <w:highlight w:val="none"/>
              </w:rPr>
              <w:t>项目预算资金分配是否有测算依据，与补助单位或地方实际是否相适应，用以反映和考核项目预算资金分配的科学性、合理性情况。</w:t>
            </w:r>
          </w:p>
        </w:tc>
        <w:tc>
          <w:tcPr>
            <w:tcW w:w="2045" w:type="pct"/>
            <w:shd w:val="clear" w:color="auto" w:fill="FFFFFF"/>
            <w:vAlign w:val="center"/>
          </w:tcPr>
          <w:p w14:paraId="6D41924D">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①预算资金分配依据是否充分；</w:t>
            </w:r>
            <w:r>
              <w:rPr>
                <w:color w:val="auto"/>
                <w:kern w:val="0"/>
                <w:sz w:val="22"/>
                <w:szCs w:val="22"/>
                <w:highlight w:val="none"/>
              </w:rPr>
              <w:br w:type="textWrapping"/>
            </w:r>
            <w:r>
              <w:rPr>
                <w:color w:val="auto"/>
                <w:kern w:val="0"/>
                <w:sz w:val="22"/>
                <w:szCs w:val="22"/>
                <w:highlight w:val="none"/>
              </w:rPr>
              <w:t>②资金分配额度是否合理，与项目单位或地方实际是否相适应。</w:t>
            </w:r>
          </w:p>
        </w:tc>
        <w:tc>
          <w:tcPr>
            <w:tcW w:w="512" w:type="pct"/>
            <w:shd w:val="clear" w:color="auto" w:fill="FFFFFF"/>
            <w:vAlign w:val="center"/>
          </w:tcPr>
          <w:p w14:paraId="5AB53AF1">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auto" w:fill="FFFFFF"/>
            <w:vAlign w:val="center"/>
          </w:tcPr>
          <w:p w14:paraId="6A142F7C">
            <w:pPr>
              <w:widowControl/>
              <w:spacing w:line="0" w:lineRule="atLeast"/>
              <w:jc w:val="center"/>
              <w:rPr>
                <w:b/>
                <w:bCs/>
                <w:color w:val="auto"/>
                <w:kern w:val="0"/>
                <w:sz w:val="22"/>
                <w:szCs w:val="22"/>
                <w:highlight w:val="none"/>
              </w:rPr>
            </w:pPr>
            <w:r>
              <w:rPr>
                <w:b/>
                <w:bCs/>
                <w:color w:val="auto"/>
                <w:kern w:val="0"/>
                <w:sz w:val="22"/>
                <w:szCs w:val="22"/>
                <w:highlight w:val="none"/>
              </w:rPr>
              <w:t>4</w:t>
            </w:r>
          </w:p>
        </w:tc>
      </w:tr>
      <w:tr w14:paraId="30F41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0" w:type="pct"/>
            <w:vMerge w:val="restart"/>
            <w:shd w:val="clear" w:color="auto" w:fill="FFFFFF"/>
            <w:vAlign w:val="center"/>
          </w:tcPr>
          <w:p w14:paraId="341B1A0B">
            <w:pPr>
              <w:spacing w:line="0" w:lineRule="atLeast"/>
              <w:jc w:val="center"/>
              <w:rPr>
                <w:color w:val="auto"/>
                <w:kern w:val="0"/>
                <w:sz w:val="22"/>
                <w:szCs w:val="22"/>
                <w:highlight w:val="none"/>
              </w:rPr>
            </w:pPr>
            <w:r>
              <w:rPr>
                <w:color w:val="auto"/>
                <w:kern w:val="0"/>
                <w:sz w:val="22"/>
                <w:szCs w:val="22"/>
                <w:highlight w:val="none"/>
              </w:rPr>
              <w:t>过程</w:t>
            </w:r>
          </w:p>
        </w:tc>
        <w:tc>
          <w:tcPr>
            <w:tcW w:w="302" w:type="pct"/>
            <w:vMerge w:val="restart"/>
            <w:shd w:val="clear" w:color="auto" w:fill="FFFFFF"/>
            <w:vAlign w:val="center"/>
          </w:tcPr>
          <w:p w14:paraId="1F77D1C8">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344" w:type="pct"/>
            <w:shd w:val="clear" w:color="auto" w:fill="FFFFFF"/>
            <w:vAlign w:val="center"/>
          </w:tcPr>
          <w:p w14:paraId="2C2FC6D0">
            <w:pPr>
              <w:widowControl/>
              <w:spacing w:line="0" w:lineRule="atLeast"/>
              <w:jc w:val="center"/>
              <w:rPr>
                <w:color w:val="auto"/>
                <w:kern w:val="0"/>
                <w:sz w:val="22"/>
                <w:szCs w:val="22"/>
                <w:highlight w:val="none"/>
              </w:rPr>
            </w:pPr>
            <w:r>
              <w:rPr>
                <w:color w:val="auto"/>
                <w:kern w:val="0"/>
                <w:sz w:val="22"/>
                <w:szCs w:val="22"/>
                <w:highlight w:val="none"/>
              </w:rPr>
              <w:t>资金到位率</w:t>
            </w:r>
          </w:p>
        </w:tc>
        <w:tc>
          <w:tcPr>
            <w:tcW w:w="927" w:type="pct"/>
            <w:shd w:val="clear" w:color="000000" w:fill="FFFFFF"/>
            <w:vAlign w:val="center"/>
          </w:tcPr>
          <w:p w14:paraId="7B0EE001">
            <w:pPr>
              <w:widowControl/>
              <w:spacing w:line="0" w:lineRule="atLeast"/>
              <w:rPr>
                <w:color w:val="auto"/>
                <w:kern w:val="0"/>
                <w:sz w:val="22"/>
                <w:szCs w:val="22"/>
                <w:highlight w:val="none"/>
              </w:rPr>
            </w:pPr>
            <w:r>
              <w:rPr>
                <w:color w:val="auto"/>
                <w:kern w:val="0"/>
                <w:sz w:val="22"/>
                <w:szCs w:val="22"/>
                <w:highlight w:val="none"/>
              </w:rPr>
              <w:t>实际到位资金与预算资金的比率，用以反映和考核资金落实情况对项目实施的总体保障程度。</w:t>
            </w:r>
          </w:p>
        </w:tc>
        <w:tc>
          <w:tcPr>
            <w:tcW w:w="2045" w:type="pct"/>
            <w:shd w:val="clear" w:color="000000" w:fill="FFFFFF"/>
            <w:vAlign w:val="center"/>
          </w:tcPr>
          <w:p w14:paraId="0D644681">
            <w:pPr>
              <w:widowControl/>
              <w:spacing w:line="0" w:lineRule="atLeast"/>
              <w:rPr>
                <w:color w:val="auto"/>
                <w:kern w:val="0"/>
                <w:sz w:val="22"/>
                <w:szCs w:val="22"/>
                <w:highlight w:val="none"/>
              </w:rPr>
            </w:pPr>
            <w:r>
              <w:rPr>
                <w:color w:val="auto"/>
                <w:kern w:val="0"/>
                <w:sz w:val="22"/>
                <w:szCs w:val="22"/>
                <w:highlight w:val="none"/>
              </w:rPr>
              <w:t>资金到位率=（实际到位资金/预算资金）×100%。</w:t>
            </w:r>
          </w:p>
          <w:p w14:paraId="4FD8C91C">
            <w:pPr>
              <w:widowControl/>
              <w:spacing w:line="0" w:lineRule="atLeast"/>
              <w:rPr>
                <w:color w:val="auto"/>
                <w:kern w:val="0"/>
                <w:sz w:val="22"/>
                <w:szCs w:val="22"/>
                <w:highlight w:val="none"/>
              </w:rPr>
            </w:pPr>
            <w:r>
              <w:rPr>
                <w:color w:val="auto"/>
                <w:kern w:val="0"/>
                <w:sz w:val="22"/>
                <w:szCs w:val="22"/>
                <w:highlight w:val="none"/>
              </w:rPr>
              <w:t>实际到位资金：一定时期（本年度或项目期）内落实到具体项目的资金。</w:t>
            </w:r>
          </w:p>
          <w:p w14:paraId="5092CD37">
            <w:pPr>
              <w:widowControl/>
              <w:spacing w:line="0" w:lineRule="atLeast"/>
              <w:rPr>
                <w:color w:val="auto"/>
                <w:kern w:val="0"/>
                <w:sz w:val="22"/>
                <w:szCs w:val="22"/>
                <w:highlight w:val="none"/>
              </w:rPr>
            </w:pPr>
            <w:r>
              <w:rPr>
                <w:color w:val="auto"/>
                <w:kern w:val="0"/>
                <w:sz w:val="22"/>
                <w:szCs w:val="22"/>
                <w:highlight w:val="none"/>
              </w:rPr>
              <w:t>预算资金：一定时期（本年度或项目期）内预算安排到具体项目的资金。</w:t>
            </w:r>
          </w:p>
        </w:tc>
        <w:tc>
          <w:tcPr>
            <w:tcW w:w="512" w:type="pct"/>
            <w:shd w:val="clear" w:color="000000" w:fill="FFFFFF"/>
            <w:vAlign w:val="center"/>
          </w:tcPr>
          <w:p w14:paraId="2974A76A">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14:paraId="52A62B05">
            <w:pPr>
              <w:widowControl/>
              <w:spacing w:line="0" w:lineRule="atLeast"/>
              <w:jc w:val="center"/>
              <w:rPr>
                <w:b/>
                <w:bCs/>
                <w:color w:val="auto"/>
                <w:kern w:val="0"/>
                <w:sz w:val="22"/>
                <w:szCs w:val="22"/>
                <w:highlight w:val="none"/>
              </w:rPr>
            </w:pPr>
            <w:r>
              <w:rPr>
                <w:b/>
                <w:bCs/>
                <w:color w:val="auto"/>
                <w:kern w:val="0"/>
                <w:sz w:val="22"/>
                <w:szCs w:val="22"/>
                <w:highlight w:val="none"/>
              </w:rPr>
              <w:t>4</w:t>
            </w:r>
          </w:p>
        </w:tc>
      </w:tr>
      <w:tr w14:paraId="65AFC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0" w:type="pct"/>
            <w:vMerge w:val="continue"/>
            <w:shd w:val="clear" w:color="auto" w:fill="FFFFFF"/>
            <w:vAlign w:val="center"/>
          </w:tcPr>
          <w:p w14:paraId="40CE9B5A">
            <w:pPr>
              <w:spacing w:line="0" w:lineRule="atLeast"/>
              <w:jc w:val="center"/>
              <w:rPr>
                <w:color w:val="auto"/>
                <w:kern w:val="0"/>
                <w:sz w:val="22"/>
                <w:szCs w:val="22"/>
                <w:highlight w:val="none"/>
              </w:rPr>
            </w:pPr>
          </w:p>
        </w:tc>
        <w:tc>
          <w:tcPr>
            <w:tcW w:w="302" w:type="pct"/>
            <w:vMerge w:val="continue"/>
            <w:shd w:val="clear" w:color="auto" w:fill="FFFFFF"/>
            <w:vAlign w:val="center"/>
          </w:tcPr>
          <w:p w14:paraId="5A92AD25">
            <w:pPr>
              <w:spacing w:line="0" w:lineRule="atLeast"/>
              <w:jc w:val="center"/>
              <w:rPr>
                <w:color w:val="auto"/>
                <w:kern w:val="0"/>
                <w:sz w:val="22"/>
                <w:szCs w:val="22"/>
                <w:highlight w:val="none"/>
              </w:rPr>
            </w:pPr>
          </w:p>
        </w:tc>
        <w:tc>
          <w:tcPr>
            <w:tcW w:w="344" w:type="pct"/>
            <w:shd w:val="clear" w:color="auto" w:fill="FFFFFF"/>
            <w:vAlign w:val="center"/>
          </w:tcPr>
          <w:p w14:paraId="6698465F">
            <w:pPr>
              <w:widowControl/>
              <w:spacing w:line="0" w:lineRule="atLeast"/>
              <w:jc w:val="center"/>
              <w:rPr>
                <w:color w:val="auto"/>
                <w:kern w:val="0"/>
                <w:sz w:val="22"/>
                <w:szCs w:val="22"/>
                <w:highlight w:val="none"/>
              </w:rPr>
            </w:pPr>
            <w:r>
              <w:rPr>
                <w:color w:val="auto"/>
                <w:kern w:val="0"/>
                <w:sz w:val="22"/>
                <w:szCs w:val="22"/>
                <w:highlight w:val="none"/>
              </w:rPr>
              <w:t>预算执行率</w:t>
            </w:r>
          </w:p>
        </w:tc>
        <w:tc>
          <w:tcPr>
            <w:tcW w:w="927" w:type="pct"/>
            <w:shd w:val="clear" w:color="auto" w:fill="FFFFFF"/>
            <w:vAlign w:val="center"/>
          </w:tcPr>
          <w:p w14:paraId="6EDC5F69">
            <w:pPr>
              <w:widowControl/>
              <w:spacing w:line="0" w:lineRule="atLeast"/>
              <w:rPr>
                <w:color w:val="auto"/>
                <w:kern w:val="0"/>
                <w:sz w:val="22"/>
                <w:szCs w:val="22"/>
                <w:highlight w:val="none"/>
              </w:rPr>
            </w:pPr>
            <w:r>
              <w:rPr>
                <w:color w:val="auto"/>
                <w:kern w:val="0"/>
                <w:sz w:val="22"/>
                <w:szCs w:val="22"/>
                <w:highlight w:val="none"/>
              </w:rPr>
              <w:t>项目预算资金是否按照计划执行，用以反映或考核项目预算执行情况。</w:t>
            </w:r>
          </w:p>
        </w:tc>
        <w:tc>
          <w:tcPr>
            <w:tcW w:w="2045" w:type="pct"/>
            <w:shd w:val="clear" w:color="auto" w:fill="FFFFFF"/>
            <w:vAlign w:val="center"/>
          </w:tcPr>
          <w:p w14:paraId="574685FC">
            <w:pPr>
              <w:widowControl/>
              <w:spacing w:line="0" w:lineRule="atLeast"/>
              <w:rPr>
                <w:color w:val="auto"/>
                <w:kern w:val="0"/>
                <w:sz w:val="22"/>
                <w:szCs w:val="22"/>
                <w:highlight w:val="none"/>
              </w:rPr>
            </w:pPr>
            <w:r>
              <w:rPr>
                <w:color w:val="auto"/>
                <w:kern w:val="0"/>
                <w:sz w:val="22"/>
                <w:szCs w:val="22"/>
                <w:highlight w:val="none"/>
              </w:rPr>
              <w:t>预算执行率=（实际支出资金/实际到位资金）×100%。</w:t>
            </w:r>
            <w:r>
              <w:rPr>
                <w:color w:val="auto"/>
                <w:kern w:val="0"/>
                <w:sz w:val="22"/>
                <w:szCs w:val="22"/>
                <w:highlight w:val="none"/>
              </w:rPr>
              <w:br w:type="textWrapping"/>
            </w:r>
            <w:r>
              <w:rPr>
                <w:color w:val="auto"/>
                <w:kern w:val="0"/>
                <w:sz w:val="22"/>
                <w:szCs w:val="22"/>
                <w:highlight w:val="none"/>
              </w:rPr>
              <w:t>实际支出资金：一定时期（本年度或项目期）内项目实际拨付的资金。</w:t>
            </w:r>
          </w:p>
        </w:tc>
        <w:tc>
          <w:tcPr>
            <w:tcW w:w="512" w:type="pct"/>
            <w:shd w:val="clear" w:color="auto" w:fill="FFFFFF"/>
            <w:vAlign w:val="center"/>
          </w:tcPr>
          <w:p w14:paraId="26F592D1">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auto" w:fill="FFFFFF"/>
            <w:vAlign w:val="center"/>
          </w:tcPr>
          <w:p w14:paraId="7655C4F8">
            <w:pPr>
              <w:widowControl/>
              <w:spacing w:line="0" w:lineRule="atLeast"/>
              <w:jc w:val="center"/>
              <w:rPr>
                <w:b/>
                <w:bCs/>
                <w:color w:val="auto"/>
                <w:kern w:val="0"/>
                <w:sz w:val="22"/>
                <w:szCs w:val="22"/>
                <w:highlight w:val="none"/>
              </w:rPr>
            </w:pPr>
            <w:r>
              <w:rPr>
                <w:b/>
                <w:bCs/>
                <w:color w:val="auto"/>
                <w:kern w:val="0"/>
                <w:sz w:val="22"/>
                <w:szCs w:val="22"/>
                <w:highlight w:val="none"/>
              </w:rPr>
              <w:t>4</w:t>
            </w:r>
          </w:p>
        </w:tc>
      </w:tr>
      <w:tr w14:paraId="5C535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restart"/>
            <w:shd w:val="clear" w:color="auto" w:fill="FFFFFF"/>
            <w:vAlign w:val="center"/>
          </w:tcPr>
          <w:p w14:paraId="790AED09">
            <w:pPr>
              <w:widowControl/>
              <w:spacing w:line="0" w:lineRule="atLeast"/>
              <w:jc w:val="center"/>
              <w:rPr>
                <w:color w:val="auto"/>
                <w:kern w:val="0"/>
                <w:sz w:val="22"/>
                <w:szCs w:val="22"/>
                <w:highlight w:val="none"/>
              </w:rPr>
            </w:pPr>
            <w:r>
              <w:rPr>
                <w:color w:val="auto"/>
                <w:kern w:val="0"/>
                <w:sz w:val="22"/>
                <w:szCs w:val="22"/>
                <w:highlight w:val="none"/>
              </w:rPr>
              <w:t>　</w:t>
            </w:r>
          </w:p>
          <w:p w14:paraId="4D47B139">
            <w:pPr>
              <w:spacing w:line="0" w:lineRule="atLeast"/>
              <w:jc w:val="center"/>
              <w:rPr>
                <w:color w:val="auto"/>
                <w:kern w:val="0"/>
                <w:sz w:val="22"/>
                <w:szCs w:val="22"/>
                <w:highlight w:val="none"/>
              </w:rPr>
            </w:pPr>
            <w:r>
              <w:rPr>
                <w:color w:val="auto"/>
                <w:kern w:val="0"/>
                <w:sz w:val="22"/>
                <w:szCs w:val="22"/>
                <w:highlight w:val="none"/>
              </w:rPr>
              <w:t>过程　</w:t>
            </w:r>
          </w:p>
        </w:tc>
        <w:tc>
          <w:tcPr>
            <w:tcW w:w="302" w:type="pct"/>
            <w:shd w:val="clear" w:color="auto" w:fill="FFFFFF"/>
            <w:vAlign w:val="center"/>
          </w:tcPr>
          <w:p w14:paraId="0591CF1E">
            <w:pPr>
              <w:widowControl/>
              <w:spacing w:line="0" w:lineRule="atLeast"/>
              <w:jc w:val="center"/>
              <w:rPr>
                <w:color w:val="auto"/>
                <w:kern w:val="0"/>
                <w:sz w:val="22"/>
                <w:szCs w:val="22"/>
                <w:highlight w:val="none"/>
              </w:rPr>
            </w:pPr>
            <w:r>
              <w:rPr>
                <w:color w:val="auto"/>
                <w:kern w:val="0"/>
                <w:sz w:val="22"/>
                <w:szCs w:val="22"/>
                <w:highlight w:val="none"/>
              </w:rPr>
              <w:t>资金管理</w:t>
            </w:r>
          </w:p>
        </w:tc>
        <w:tc>
          <w:tcPr>
            <w:tcW w:w="344" w:type="pct"/>
            <w:shd w:val="clear" w:color="auto" w:fill="FFFFFF"/>
            <w:vAlign w:val="center"/>
          </w:tcPr>
          <w:p w14:paraId="742329F7">
            <w:pPr>
              <w:widowControl/>
              <w:spacing w:line="0" w:lineRule="atLeast"/>
              <w:jc w:val="center"/>
              <w:rPr>
                <w:color w:val="auto"/>
                <w:kern w:val="0"/>
                <w:sz w:val="22"/>
                <w:szCs w:val="22"/>
                <w:highlight w:val="none"/>
              </w:rPr>
            </w:pPr>
            <w:r>
              <w:rPr>
                <w:color w:val="auto"/>
                <w:kern w:val="0"/>
                <w:sz w:val="22"/>
                <w:szCs w:val="22"/>
                <w:highlight w:val="none"/>
              </w:rPr>
              <w:t>资金使用</w:t>
            </w:r>
          </w:p>
          <w:p w14:paraId="78E67F06">
            <w:pPr>
              <w:widowControl/>
              <w:spacing w:line="0" w:lineRule="atLeast"/>
              <w:jc w:val="center"/>
              <w:rPr>
                <w:color w:val="auto"/>
                <w:kern w:val="0"/>
                <w:sz w:val="22"/>
                <w:szCs w:val="22"/>
                <w:highlight w:val="none"/>
              </w:rPr>
            </w:pPr>
            <w:r>
              <w:rPr>
                <w:color w:val="auto"/>
                <w:kern w:val="0"/>
                <w:sz w:val="22"/>
                <w:szCs w:val="22"/>
                <w:highlight w:val="none"/>
              </w:rPr>
              <w:t>合规性</w:t>
            </w:r>
          </w:p>
        </w:tc>
        <w:tc>
          <w:tcPr>
            <w:tcW w:w="927" w:type="pct"/>
            <w:shd w:val="clear" w:color="000000" w:fill="FFFFFF"/>
            <w:vAlign w:val="center"/>
          </w:tcPr>
          <w:p w14:paraId="199724CE">
            <w:pPr>
              <w:widowControl/>
              <w:spacing w:line="0" w:lineRule="atLeast"/>
              <w:rPr>
                <w:color w:val="auto"/>
                <w:kern w:val="0"/>
                <w:sz w:val="22"/>
                <w:szCs w:val="22"/>
                <w:highlight w:val="none"/>
              </w:rPr>
            </w:pPr>
            <w:r>
              <w:rPr>
                <w:color w:val="auto"/>
                <w:kern w:val="0"/>
                <w:sz w:val="22"/>
                <w:szCs w:val="22"/>
                <w:highlight w:val="none"/>
              </w:rPr>
              <w:t>项目资金使用是否符合相关的财务管理制度规定，用以反映和考核项目资金的规范运行情况。</w:t>
            </w:r>
          </w:p>
        </w:tc>
        <w:tc>
          <w:tcPr>
            <w:tcW w:w="2045" w:type="pct"/>
            <w:shd w:val="clear" w:color="000000" w:fill="FFFFFF"/>
            <w:vAlign w:val="center"/>
          </w:tcPr>
          <w:p w14:paraId="5BADFF15">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①是否符合国家财经法规和财务管理制度以及有关专项资金管理办法的规定；</w:t>
            </w:r>
            <w:r>
              <w:rPr>
                <w:color w:val="auto"/>
                <w:kern w:val="0"/>
                <w:sz w:val="22"/>
                <w:szCs w:val="22"/>
                <w:highlight w:val="none"/>
              </w:rPr>
              <w:br w:type="textWrapping"/>
            </w:r>
            <w:r>
              <w:rPr>
                <w:color w:val="auto"/>
                <w:kern w:val="0"/>
                <w:sz w:val="22"/>
                <w:szCs w:val="22"/>
                <w:highlight w:val="none"/>
              </w:rPr>
              <w:t>②资金的拨付是否有完整的审批程序和手续；</w:t>
            </w:r>
            <w:r>
              <w:rPr>
                <w:color w:val="auto"/>
                <w:kern w:val="0"/>
                <w:sz w:val="22"/>
                <w:szCs w:val="22"/>
                <w:highlight w:val="none"/>
              </w:rPr>
              <w:br w:type="textWrapping"/>
            </w:r>
            <w:r>
              <w:rPr>
                <w:color w:val="auto"/>
                <w:kern w:val="0"/>
                <w:sz w:val="22"/>
                <w:szCs w:val="22"/>
                <w:highlight w:val="none"/>
              </w:rPr>
              <w:t>③是否符合项目预算批复或合同规定的用途；</w:t>
            </w:r>
            <w:r>
              <w:rPr>
                <w:color w:val="auto"/>
                <w:kern w:val="0"/>
                <w:sz w:val="22"/>
                <w:szCs w:val="22"/>
                <w:highlight w:val="none"/>
              </w:rPr>
              <w:br w:type="textWrapping"/>
            </w:r>
            <w:r>
              <w:rPr>
                <w:color w:val="auto"/>
                <w:kern w:val="0"/>
                <w:sz w:val="22"/>
                <w:szCs w:val="22"/>
                <w:highlight w:val="none"/>
              </w:rPr>
              <w:t>④是否存在截留、挤占、挪用、虚列支出等情况。</w:t>
            </w:r>
          </w:p>
        </w:tc>
        <w:tc>
          <w:tcPr>
            <w:tcW w:w="512" w:type="pct"/>
            <w:shd w:val="clear" w:color="000000" w:fill="FFFFFF"/>
            <w:vAlign w:val="center"/>
          </w:tcPr>
          <w:p w14:paraId="01977011">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14:paraId="219191CE">
            <w:pPr>
              <w:widowControl/>
              <w:spacing w:line="0" w:lineRule="atLeast"/>
              <w:jc w:val="center"/>
              <w:rPr>
                <w:b/>
                <w:bCs/>
                <w:color w:val="auto"/>
                <w:kern w:val="0"/>
                <w:sz w:val="22"/>
                <w:szCs w:val="22"/>
                <w:highlight w:val="none"/>
              </w:rPr>
            </w:pPr>
            <w:r>
              <w:rPr>
                <w:b/>
                <w:bCs/>
                <w:color w:val="auto"/>
                <w:kern w:val="0"/>
                <w:sz w:val="22"/>
                <w:szCs w:val="22"/>
                <w:highlight w:val="none"/>
              </w:rPr>
              <w:t>4</w:t>
            </w:r>
          </w:p>
        </w:tc>
      </w:tr>
      <w:tr w14:paraId="380769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0" w:type="pct"/>
            <w:vMerge w:val="continue"/>
            <w:shd w:val="clear" w:color="auto" w:fill="FFFFFF"/>
            <w:vAlign w:val="center"/>
          </w:tcPr>
          <w:p w14:paraId="3A553246">
            <w:pPr>
              <w:spacing w:line="0" w:lineRule="atLeast"/>
              <w:jc w:val="center"/>
              <w:rPr>
                <w:color w:val="auto"/>
                <w:kern w:val="0"/>
                <w:sz w:val="22"/>
                <w:szCs w:val="22"/>
                <w:highlight w:val="none"/>
              </w:rPr>
            </w:pPr>
          </w:p>
        </w:tc>
        <w:tc>
          <w:tcPr>
            <w:tcW w:w="302" w:type="pct"/>
            <w:vMerge w:val="restart"/>
            <w:shd w:val="clear" w:color="auto" w:fill="FFFFFF"/>
            <w:vAlign w:val="center"/>
          </w:tcPr>
          <w:p w14:paraId="59444D64">
            <w:pPr>
              <w:widowControl/>
              <w:spacing w:line="0" w:lineRule="atLeast"/>
              <w:jc w:val="center"/>
              <w:rPr>
                <w:color w:val="auto"/>
                <w:kern w:val="0"/>
                <w:sz w:val="22"/>
                <w:szCs w:val="22"/>
                <w:highlight w:val="none"/>
              </w:rPr>
            </w:pPr>
            <w:r>
              <w:rPr>
                <w:color w:val="auto"/>
                <w:kern w:val="0"/>
                <w:sz w:val="22"/>
                <w:szCs w:val="22"/>
                <w:highlight w:val="none"/>
              </w:rPr>
              <w:t>组织实施</w:t>
            </w:r>
          </w:p>
          <w:p w14:paraId="7EA621A6">
            <w:pPr>
              <w:spacing w:line="0" w:lineRule="atLeast"/>
              <w:jc w:val="center"/>
              <w:rPr>
                <w:color w:val="auto"/>
                <w:kern w:val="0"/>
                <w:sz w:val="22"/>
                <w:szCs w:val="22"/>
                <w:highlight w:val="none"/>
              </w:rPr>
            </w:pPr>
            <w:r>
              <w:rPr>
                <w:color w:val="auto"/>
                <w:kern w:val="0"/>
                <w:sz w:val="22"/>
                <w:szCs w:val="22"/>
                <w:highlight w:val="none"/>
              </w:rPr>
              <w:t>　</w:t>
            </w:r>
          </w:p>
        </w:tc>
        <w:tc>
          <w:tcPr>
            <w:tcW w:w="344" w:type="pct"/>
            <w:shd w:val="clear" w:color="auto" w:fill="FFFFFF"/>
            <w:vAlign w:val="center"/>
          </w:tcPr>
          <w:p w14:paraId="3982A24A">
            <w:pPr>
              <w:widowControl/>
              <w:spacing w:line="0" w:lineRule="atLeast"/>
              <w:jc w:val="center"/>
              <w:rPr>
                <w:color w:val="auto"/>
                <w:kern w:val="0"/>
                <w:sz w:val="22"/>
                <w:szCs w:val="22"/>
                <w:highlight w:val="none"/>
              </w:rPr>
            </w:pPr>
            <w:r>
              <w:rPr>
                <w:color w:val="auto"/>
                <w:kern w:val="0"/>
                <w:sz w:val="22"/>
                <w:szCs w:val="22"/>
                <w:highlight w:val="none"/>
              </w:rPr>
              <w:t>管理制度</w:t>
            </w:r>
          </w:p>
          <w:p w14:paraId="3E5CF4A6">
            <w:pPr>
              <w:widowControl/>
              <w:spacing w:line="0" w:lineRule="atLeast"/>
              <w:jc w:val="center"/>
              <w:rPr>
                <w:color w:val="auto"/>
                <w:kern w:val="0"/>
                <w:sz w:val="22"/>
                <w:szCs w:val="22"/>
                <w:highlight w:val="none"/>
              </w:rPr>
            </w:pPr>
            <w:r>
              <w:rPr>
                <w:color w:val="auto"/>
                <w:kern w:val="0"/>
                <w:sz w:val="22"/>
                <w:szCs w:val="22"/>
                <w:highlight w:val="none"/>
              </w:rPr>
              <w:t>健全性</w:t>
            </w:r>
          </w:p>
        </w:tc>
        <w:tc>
          <w:tcPr>
            <w:tcW w:w="927" w:type="pct"/>
            <w:shd w:val="clear" w:color="000000" w:fill="FFFFFF"/>
            <w:vAlign w:val="center"/>
          </w:tcPr>
          <w:p w14:paraId="1D788603">
            <w:pPr>
              <w:widowControl/>
              <w:spacing w:line="0" w:lineRule="atLeast"/>
              <w:rPr>
                <w:color w:val="auto"/>
                <w:kern w:val="0"/>
                <w:sz w:val="22"/>
                <w:szCs w:val="22"/>
                <w:highlight w:val="none"/>
              </w:rPr>
            </w:pPr>
            <w:r>
              <w:rPr>
                <w:color w:val="auto"/>
                <w:kern w:val="0"/>
                <w:sz w:val="22"/>
                <w:szCs w:val="22"/>
                <w:highlight w:val="none"/>
              </w:rPr>
              <w:t>项目实施单位的财务和业务管理制度是否健全，用以反映和考核财务和业务管理制度对项目顺利实施的保障情况。</w:t>
            </w:r>
          </w:p>
        </w:tc>
        <w:tc>
          <w:tcPr>
            <w:tcW w:w="2045" w:type="pct"/>
            <w:shd w:val="clear" w:color="000000" w:fill="FFFFFF"/>
            <w:vAlign w:val="center"/>
          </w:tcPr>
          <w:p w14:paraId="3BB22BF6">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①是否已制定或具有相应的财务和业务管理制度；</w:t>
            </w:r>
            <w:r>
              <w:rPr>
                <w:color w:val="auto"/>
                <w:kern w:val="0"/>
                <w:sz w:val="22"/>
                <w:szCs w:val="22"/>
                <w:highlight w:val="none"/>
              </w:rPr>
              <w:br w:type="textWrapping"/>
            </w:r>
            <w:r>
              <w:rPr>
                <w:color w:val="auto"/>
                <w:kern w:val="0"/>
                <w:sz w:val="22"/>
                <w:szCs w:val="22"/>
                <w:highlight w:val="none"/>
              </w:rPr>
              <w:t>②财务和业务管理制度是否合法、合规、完整。</w:t>
            </w:r>
          </w:p>
        </w:tc>
        <w:tc>
          <w:tcPr>
            <w:tcW w:w="512" w:type="pct"/>
            <w:shd w:val="clear" w:color="000000" w:fill="FFFFFF"/>
            <w:vAlign w:val="center"/>
          </w:tcPr>
          <w:p w14:paraId="104230C0">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14:paraId="0FDB2F81">
            <w:pPr>
              <w:widowControl/>
              <w:spacing w:line="0" w:lineRule="atLeast"/>
              <w:jc w:val="center"/>
              <w:rPr>
                <w:b/>
                <w:bCs/>
                <w:color w:val="auto"/>
                <w:kern w:val="0"/>
                <w:sz w:val="22"/>
                <w:szCs w:val="22"/>
                <w:highlight w:val="none"/>
              </w:rPr>
            </w:pPr>
            <w:r>
              <w:rPr>
                <w:b/>
                <w:bCs/>
                <w:color w:val="auto"/>
                <w:kern w:val="0"/>
                <w:sz w:val="22"/>
                <w:szCs w:val="22"/>
                <w:highlight w:val="none"/>
              </w:rPr>
              <w:t>4</w:t>
            </w:r>
          </w:p>
        </w:tc>
      </w:tr>
      <w:tr w14:paraId="277652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0" w:type="pct"/>
            <w:vMerge w:val="continue"/>
            <w:shd w:val="clear" w:color="auto" w:fill="FFFFFF"/>
            <w:vAlign w:val="center"/>
          </w:tcPr>
          <w:p w14:paraId="55641B5D">
            <w:pPr>
              <w:widowControl/>
              <w:spacing w:line="0" w:lineRule="atLeast"/>
              <w:jc w:val="center"/>
              <w:rPr>
                <w:color w:val="auto"/>
                <w:kern w:val="0"/>
                <w:sz w:val="22"/>
                <w:szCs w:val="22"/>
                <w:highlight w:val="none"/>
              </w:rPr>
            </w:pPr>
          </w:p>
        </w:tc>
        <w:tc>
          <w:tcPr>
            <w:tcW w:w="302" w:type="pct"/>
            <w:vMerge w:val="continue"/>
            <w:shd w:val="clear" w:color="auto" w:fill="FFFFFF"/>
            <w:vAlign w:val="center"/>
          </w:tcPr>
          <w:p w14:paraId="0B934C53">
            <w:pPr>
              <w:widowControl/>
              <w:spacing w:line="0" w:lineRule="atLeast"/>
              <w:jc w:val="center"/>
              <w:rPr>
                <w:color w:val="auto"/>
                <w:kern w:val="0"/>
                <w:sz w:val="22"/>
                <w:szCs w:val="22"/>
                <w:highlight w:val="none"/>
              </w:rPr>
            </w:pPr>
          </w:p>
        </w:tc>
        <w:tc>
          <w:tcPr>
            <w:tcW w:w="344" w:type="pct"/>
            <w:shd w:val="clear" w:color="auto" w:fill="FFFFFF"/>
            <w:vAlign w:val="center"/>
          </w:tcPr>
          <w:p w14:paraId="57ED748A">
            <w:pPr>
              <w:widowControl/>
              <w:spacing w:line="0" w:lineRule="atLeast"/>
              <w:jc w:val="center"/>
              <w:rPr>
                <w:color w:val="auto"/>
                <w:kern w:val="0"/>
                <w:sz w:val="22"/>
                <w:szCs w:val="22"/>
                <w:highlight w:val="none"/>
              </w:rPr>
            </w:pPr>
            <w:r>
              <w:rPr>
                <w:color w:val="auto"/>
                <w:kern w:val="0"/>
                <w:sz w:val="22"/>
                <w:szCs w:val="22"/>
                <w:highlight w:val="none"/>
              </w:rPr>
              <w:t>制度执行</w:t>
            </w:r>
          </w:p>
          <w:p w14:paraId="6B9C57DD">
            <w:pPr>
              <w:widowControl/>
              <w:spacing w:line="0" w:lineRule="atLeast"/>
              <w:jc w:val="center"/>
              <w:rPr>
                <w:color w:val="auto"/>
                <w:kern w:val="0"/>
                <w:sz w:val="22"/>
                <w:szCs w:val="22"/>
                <w:highlight w:val="none"/>
              </w:rPr>
            </w:pPr>
            <w:r>
              <w:rPr>
                <w:color w:val="auto"/>
                <w:kern w:val="0"/>
                <w:sz w:val="22"/>
                <w:szCs w:val="22"/>
                <w:highlight w:val="none"/>
              </w:rPr>
              <w:t>有效性</w:t>
            </w:r>
          </w:p>
        </w:tc>
        <w:tc>
          <w:tcPr>
            <w:tcW w:w="927" w:type="pct"/>
            <w:shd w:val="clear" w:color="000000" w:fill="FFFFFF"/>
            <w:vAlign w:val="center"/>
          </w:tcPr>
          <w:p w14:paraId="1A3BAF13">
            <w:pPr>
              <w:widowControl/>
              <w:spacing w:line="0" w:lineRule="atLeast"/>
              <w:rPr>
                <w:color w:val="auto"/>
                <w:kern w:val="0"/>
                <w:sz w:val="22"/>
                <w:szCs w:val="22"/>
                <w:highlight w:val="none"/>
              </w:rPr>
            </w:pPr>
            <w:r>
              <w:rPr>
                <w:color w:val="auto"/>
                <w:kern w:val="0"/>
                <w:sz w:val="22"/>
                <w:szCs w:val="22"/>
                <w:highlight w:val="none"/>
              </w:rPr>
              <w:t>项目实施是否符合相关管理规定，用以反映和考核相关管理制度的有效执行情况。</w:t>
            </w:r>
          </w:p>
        </w:tc>
        <w:tc>
          <w:tcPr>
            <w:tcW w:w="2045" w:type="pct"/>
            <w:shd w:val="clear" w:color="000000" w:fill="FFFFFF"/>
            <w:vAlign w:val="center"/>
          </w:tcPr>
          <w:p w14:paraId="52572BB8">
            <w:pPr>
              <w:widowControl/>
              <w:spacing w:line="0" w:lineRule="atLeast"/>
              <w:rPr>
                <w:color w:val="auto"/>
                <w:kern w:val="0"/>
                <w:sz w:val="22"/>
                <w:szCs w:val="22"/>
                <w:highlight w:val="none"/>
              </w:rPr>
            </w:pPr>
            <w:r>
              <w:rPr>
                <w:color w:val="auto"/>
                <w:kern w:val="0"/>
                <w:sz w:val="22"/>
                <w:szCs w:val="22"/>
                <w:highlight w:val="none"/>
              </w:rPr>
              <w:t>评价要点：</w:t>
            </w:r>
            <w:r>
              <w:rPr>
                <w:color w:val="auto"/>
                <w:kern w:val="0"/>
                <w:sz w:val="22"/>
                <w:szCs w:val="22"/>
                <w:highlight w:val="none"/>
              </w:rPr>
              <w:br w:type="textWrapping"/>
            </w:r>
            <w:r>
              <w:rPr>
                <w:color w:val="auto"/>
                <w:kern w:val="0"/>
                <w:sz w:val="22"/>
                <w:szCs w:val="22"/>
                <w:highlight w:val="none"/>
              </w:rPr>
              <w:t>①是否遵守相关法律法规和相关管理规定；</w:t>
            </w:r>
            <w:r>
              <w:rPr>
                <w:color w:val="auto"/>
                <w:kern w:val="0"/>
                <w:sz w:val="22"/>
                <w:szCs w:val="22"/>
                <w:highlight w:val="none"/>
              </w:rPr>
              <w:br w:type="textWrapping"/>
            </w:r>
            <w:r>
              <w:rPr>
                <w:color w:val="auto"/>
                <w:kern w:val="0"/>
                <w:sz w:val="22"/>
                <w:szCs w:val="22"/>
                <w:highlight w:val="none"/>
              </w:rPr>
              <w:t>②项目调整及支出调整手续是否完备；</w:t>
            </w:r>
            <w:r>
              <w:rPr>
                <w:color w:val="auto"/>
                <w:kern w:val="0"/>
                <w:sz w:val="22"/>
                <w:szCs w:val="22"/>
                <w:highlight w:val="none"/>
              </w:rPr>
              <w:br w:type="textWrapping"/>
            </w:r>
            <w:r>
              <w:rPr>
                <w:color w:val="auto"/>
                <w:kern w:val="0"/>
                <w:sz w:val="22"/>
                <w:szCs w:val="22"/>
                <w:highlight w:val="none"/>
              </w:rPr>
              <w:t>③项目合同书、验收报告、技术鉴定等资料是否齐全并及时归档；</w:t>
            </w:r>
            <w:r>
              <w:rPr>
                <w:color w:val="auto"/>
                <w:kern w:val="0"/>
                <w:sz w:val="22"/>
                <w:szCs w:val="22"/>
                <w:highlight w:val="none"/>
              </w:rPr>
              <w:br w:type="textWrapping"/>
            </w:r>
            <w:r>
              <w:rPr>
                <w:color w:val="auto"/>
                <w:kern w:val="0"/>
                <w:sz w:val="22"/>
                <w:szCs w:val="22"/>
                <w:highlight w:val="none"/>
              </w:rPr>
              <w:t>④项目实施的人员条件、场地设备、信息支撑等是否落实到位。</w:t>
            </w:r>
          </w:p>
        </w:tc>
        <w:tc>
          <w:tcPr>
            <w:tcW w:w="512" w:type="pct"/>
            <w:shd w:val="clear" w:color="000000" w:fill="FFFFFF"/>
            <w:vAlign w:val="center"/>
          </w:tcPr>
          <w:p w14:paraId="590FB128">
            <w:pPr>
              <w:widowControl/>
              <w:spacing w:line="0" w:lineRule="atLeast"/>
              <w:jc w:val="center"/>
              <w:rPr>
                <w:b/>
                <w:bCs/>
                <w:color w:val="auto"/>
                <w:kern w:val="0"/>
                <w:sz w:val="22"/>
                <w:szCs w:val="22"/>
                <w:highlight w:val="none"/>
              </w:rPr>
            </w:pPr>
            <w:r>
              <w:rPr>
                <w:b/>
                <w:bCs/>
                <w:color w:val="auto"/>
                <w:kern w:val="0"/>
                <w:sz w:val="22"/>
                <w:szCs w:val="22"/>
                <w:highlight w:val="none"/>
              </w:rPr>
              <w:t>4</w:t>
            </w:r>
          </w:p>
        </w:tc>
        <w:tc>
          <w:tcPr>
            <w:tcW w:w="537" w:type="pct"/>
            <w:shd w:val="clear" w:color="000000" w:fill="FFFFFF"/>
            <w:vAlign w:val="center"/>
          </w:tcPr>
          <w:p w14:paraId="288D5E34">
            <w:pPr>
              <w:widowControl/>
              <w:spacing w:line="0" w:lineRule="atLeast"/>
              <w:jc w:val="center"/>
              <w:rPr>
                <w:b/>
                <w:bCs/>
                <w:color w:val="auto"/>
                <w:kern w:val="0"/>
                <w:sz w:val="22"/>
                <w:szCs w:val="22"/>
                <w:highlight w:val="none"/>
              </w:rPr>
            </w:pPr>
            <w:r>
              <w:rPr>
                <w:b/>
                <w:bCs/>
                <w:color w:val="auto"/>
                <w:kern w:val="0"/>
                <w:sz w:val="22"/>
                <w:szCs w:val="22"/>
                <w:highlight w:val="none"/>
              </w:rPr>
              <w:t>4</w:t>
            </w:r>
          </w:p>
        </w:tc>
      </w:tr>
      <w:tr w14:paraId="736BF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0" w:type="pct"/>
            <w:shd w:val="clear" w:color="auto" w:fill="FFFFFF"/>
            <w:vAlign w:val="center"/>
          </w:tcPr>
          <w:p w14:paraId="4171726F">
            <w:pPr>
              <w:widowControl/>
              <w:spacing w:line="0" w:lineRule="atLeast"/>
              <w:jc w:val="center"/>
              <w:rPr>
                <w:color w:val="auto"/>
                <w:kern w:val="0"/>
                <w:sz w:val="22"/>
                <w:szCs w:val="22"/>
                <w:highlight w:val="none"/>
              </w:rPr>
            </w:pPr>
            <w:r>
              <w:rPr>
                <w:color w:val="auto"/>
                <w:kern w:val="0"/>
                <w:sz w:val="22"/>
                <w:szCs w:val="22"/>
                <w:highlight w:val="none"/>
              </w:rPr>
              <w:t>产出</w:t>
            </w:r>
          </w:p>
        </w:tc>
        <w:tc>
          <w:tcPr>
            <w:tcW w:w="302" w:type="pct"/>
            <w:shd w:val="clear" w:color="auto" w:fill="FFFFFF"/>
            <w:vAlign w:val="center"/>
          </w:tcPr>
          <w:p w14:paraId="51D8F341">
            <w:pPr>
              <w:widowControl/>
              <w:spacing w:line="0" w:lineRule="atLeast"/>
              <w:jc w:val="center"/>
              <w:rPr>
                <w:color w:val="auto"/>
                <w:kern w:val="0"/>
                <w:sz w:val="22"/>
                <w:szCs w:val="22"/>
                <w:highlight w:val="none"/>
              </w:rPr>
            </w:pPr>
            <w:r>
              <w:rPr>
                <w:color w:val="auto"/>
                <w:kern w:val="0"/>
                <w:sz w:val="22"/>
                <w:szCs w:val="22"/>
                <w:highlight w:val="none"/>
              </w:rPr>
              <w:t>产出数量</w:t>
            </w:r>
          </w:p>
        </w:tc>
        <w:tc>
          <w:tcPr>
            <w:tcW w:w="344" w:type="pct"/>
            <w:shd w:val="clear" w:color="auto" w:fill="FFFFFF"/>
            <w:vAlign w:val="center"/>
          </w:tcPr>
          <w:p w14:paraId="52ECA569">
            <w:pPr>
              <w:widowControl/>
              <w:spacing w:line="0" w:lineRule="atLeast"/>
              <w:jc w:val="center"/>
              <w:rPr>
                <w:color w:val="auto"/>
                <w:kern w:val="0"/>
                <w:sz w:val="22"/>
                <w:szCs w:val="22"/>
                <w:highlight w:val="none"/>
              </w:rPr>
            </w:pPr>
            <w:r>
              <w:rPr>
                <w:color w:val="auto"/>
                <w:kern w:val="0"/>
                <w:sz w:val="22"/>
                <w:szCs w:val="22"/>
                <w:highlight w:val="none"/>
              </w:rPr>
              <w:t>实际完成率</w:t>
            </w:r>
          </w:p>
        </w:tc>
        <w:tc>
          <w:tcPr>
            <w:tcW w:w="927" w:type="pct"/>
            <w:shd w:val="clear" w:color="000000" w:fill="FFFFFF"/>
            <w:vAlign w:val="center"/>
          </w:tcPr>
          <w:p w14:paraId="70B92737">
            <w:pPr>
              <w:widowControl/>
              <w:spacing w:line="0" w:lineRule="atLeast"/>
              <w:rPr>
                <w:color w:val="auto"/>
                <w:kern w:val="0"/>
                <w:sz w:val="22"/>
                <w:szCs w:val="22"/>
                <w:highlight w:val="none"/>
              </w:rPr>
            </w:pPr>
            <w:r>
              <w:rPr>
                <w:color w:val="auto"/>
                <w:kern w:val="0"/>
                <w:sz w:val="22"/>
                <w:szCs w:val="22"/>
                <w:highlight w:val="none"/>
              </w:rPr>
              <w:t>项目实施的实际产出数与计划产出数的比率，用以反映和考核项目产出数量目标的实现程度。</w:t>
            </w:r>
          </w:p>
        </w:tc>
        <w:tc>
          <w:tcPr>
            <w:tcW w:w="2045" w:type="pct"/>
            <w:shd w:val="clear" w:color="000000" w:fill="FFFFFF"/>
            <w:vAlign w:val="center"/>
          </w:tcPr>
          <w:p w14:paraId="791819F4">
            <w:pPr>
              <w:widowControl/>
              <w:spacing w:line="0" w:lineRule="atLeast"/>
              <w:rPr>
                <w:color w:val="auto"/>
                <w:kern w:val="0"/>
                <w:sz w:val="22"/>
                <w:szCs w:val="22"/>
                <w:highlight w:val="none"/>
              </w:rPr>
            </w:pPr>
            <w:r>
              <w:rPr>
                <w:color w:val="auto"/>
                <w:kern w:val="0"/>
                <w:sz w:val="22"/>
                <w:szCs w:val="22"/>
                <w:highlight w:val="none"/>
              </w:rPr>
              <w:t>实际完成率=（实际产出数/计划产出数）×100%。</w:t>
            </w:r>
            <w:r>
              <w:rPr>
                <w:color w:val="auto"/>
                <w:kern w:val="0"/>
                <w:sz w:val="22"/>
                <w:szCs w:val="22"/>
                <w:highlight w:val="none"/>
              </w:rPr>
              <w:br w:type="textWrapping"/>
            </w:r>
            <w:r>
              <w:rPr>
                <w:color w:val="auto"/>
                <w:kern w:val="0"/>
                <w:sz w:val="22"/>
                <w:szCs w:val="22"/>
                <w:highlight w:val="none"/>
              </w:rPr>
              <w:t>实际产出数：一定时期（本年度或项目期）内项目实际产出的产品或提供的服务数量。</w:t>
            </w:r>
            <w:r>
              <w:rPr>
                <w:color w:val="auto"/>
                <w:kern w:val="0"/>
                <w:sz w:val="22"/>
                <w:szCs w:val="22"/>
                <w:highlight w:val="none"/>
              </w:rPr>
              <w:br w:type="textWrapping"/>
            </w:r>
            <w:r>
              <w:rPr>
                <w:color w:val="auto"/>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175D06BE">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14:paraId="06EDB419">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67D43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0" w:type="pct"/>
            <w:vMerge w:val="restart"/>
            <w:shd w:val="clear" w:color="auto" w:fill="FFFFFF"/>
            <w:vAlign w:val="center"/>
          </w:tcPr>
          <w:p w14:paraId="429122CA">
            <w:pPr>
              <w:widowControl/>
              <w:spacing w:line="0" w:lineRule="atLeast"/>
              <w:jc w:val="center"/>
              <w:rPr>
                <w:color w:val="auto"/>
                <w:kern w:val="0"/>
                <w:sz w:val="22"/>
                <w:szCs w:val="22"/>
                <w:highlight w:val="none"/>
              </w:rPr>
            </w:pPr>
            <w:r>
              <w:rPr>
                <w:color w:val="auto"/>
                <w:kern w:val="0"/>
                <w:sz w:val="22"/>
                <w:szCs w:val="22"/>
                <w:highlight w:val="none"/>
              </w:rPr>
              <w:t>产出</w:t>
            </w:r>
          </w:p>
        </w:tc>
        <w:tc>
          <w:tcPr>
            <w:tcW w:w="302" w:type="pct"/>
            <w:shd w:val="clear" w:color="auto" w:fill="FFFFFF"/>
            <w:vAlign w:val="center"/>
          </w:tcPr>
          <w:p w14:paraId="379D8B4D">
            <w:pPr>
              <w:widowControl/>
              <w:spacing w:line="0" w:lineRule="atLeast"/>
              <w:jc w:val="center"/>
              <w:rPr>
                <w:color w:val="auto"/>
                <w:kern w:val="0"/>
                <w:sz w:val="22"/>
                <w:szCs w:val="22"/>
                <w:highlight w:val="none"/>
              </w:rPr>
            </w:pPr>
            <w:r>
              <w:rPr>
                <w:color w:val="auto"/>
                <w:kern w:val="0"/>
                <w:sz w:val="22"/>
                <w:szCs w:val="22"/>
                <w:highlight w:val="none"/>
              </w:rPr>
              <w:t>产出质量</w:t>
            </w:r>
          </w:p>
        </w:tc>
        <w:tc>
          <w:tcPr>
            <w:tcW w:w="344" w:type="pct"/>
            <w:shd w:val="clear" w:color="auto" w:fill="FFFFFF"/>
            <w:vAlign w:val="center"/>
          </w:tcPr>
          <w:p w14:paraId="55F35D4A">
            <w:pPr>
              <w:widowControl/>
              <w:spacing w:line="0" w:lineRule="atLeast"/>
              <w:jc w:val="center"/>
              <w:rPr>
                <w:color w:val="auto"/>
                <w:kern w:val="0"/>
                <w:sz w:val="22"/>
                <w:szCs w:val="22"/>
                <w:highlight w:val="none"/>
              </w:rPr>
            </w:pPr>
            <w:r>
              <w:rPr>
                <w:color w:val="auto"/>
                <w:kern w:val="0"/>
                <w:sz w:val="22"/>
                <w:szCs w:val="22"/>
                <w:highlight w:val="none"/>
              </w:rPr>
              <w:t>质量达标率</w:t>
            </w:r>
          </w:p>
        </w:tc>
        <w:tc>
          <w:tcPr>
            <w:tcW w:w="927" w:type="pct"/>
            <w:shd w:val="clear" w:color="000000" w:fill="FFFFFF"/>
            <w:vAlign w:val="center"/>
          </w:tcPr>
          <w:p w14:paraId="7105942F">
            <w:pPr>
              <w:widowControl/>
              <w:spacing w:line="0" w:lineRule="atLeast"/>
              <w:rPr>
                <w:color w:val="auto"/>
                <w:kern w:val="0"/>
                <w:sz w:val="22"/>
                <w:szCs w:val="22"/>
                <w:highlight w:val="none"/>
              </w:rPr>
            </w:pPr>
            <w:r>
              <w:rPr>
                <w:color w:val="auto"/>
                <w:kern w:val="0"/>
                <w:sz w:val="22"/>
                <w:szCs w:val="22"/>
                <w:highlight w:val="none"/>
              </w:rPr>
              <w:t>项目完成的质量达标产出数与实际产出数的比率，用以反映和考核项目产出质量目标的实现程度。</w:t>
            </w:r>
          </w:p>
        </w:tc>
        <w:tc>
          <w:tcPr>
            <w:tcW w:w="2045" w:type="pct"/>
            <w:shd w:val="clear" w:color="000000" w:fill="FFFFFF"/>
            <w:vAlign w:val="center"/>
          </w:tcPr>
          <w:p w14:paraId="5A77BDF5">
            <w:pPr>
              <w:widowControl/>
              <w:spacing w:line="0" w:lineRule="atLeast"/>
              <w:rPr>
                <w:color w:val="auto"/>
                <w:kern w:val="0"/>
                <w:sz w:val="22"/>
                <w:szCs w:val="22"/>
                <w:highlight w:val="none"/>
              </w:rPr>
            </w:pPr>
            <w:r>
              <w:rPr>
                <w:color w:val="auto"/>
                <w:kern w:val="0"/>
                <w:sz w:val="22"/>
                <w:szCs w:val="22"/>
                <w:highlight w:val="none"/>
              </w:rPr>
              <w:t>质量达标率=（质量达标产出数/实际产出数）×100%。</w:t>
            </w:r>
          </w:p>
          <w:p w14:paraId="508CF778">
            <w:pPr>
              <w:widowControl/>
              <w:spacing w:line="0" w:lineRule="atLeast"/>
              <w:rPr>
                <w:color w:val="auto"/>
                <w:kern w:val="0"/>
                <w:sz w:val="22"/>
                <w:szCs w:val="22"/>
                <w:highlight w:val="none"/>
              </w:rPr>
            </w:pPr>
            <w:r>
              <w:rPr>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79DCB154">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14:paraId="73AD0F36">
            <w:pPr>
              <w:widowControl/>
              <w:spacing w:line="0" w:lineRule="atLeast"/>
              <w:jc w:val="center"/>
              <w:rPr>
                <w:rFonts w:hint="default" w:eastAsia="宋体"/>
                <w:b/>
                <w:bCs/>
                <w:color w:val="auto"/>
                <w:kern w:val="0"/>
                <w:sz w:val="22"/>
                <w:szCs w:val="22"/>
                <w:highlight w:val="none"/>
                <w:lang w:val="en-US" w:eastAsia="zh-CN"/>
              </w:rPr>
            </w:pPr>
            <w:r>
              <w:rPr>
                <w:rFonts w:hint="eastAsia"/>
                <w:b/>
                <w:bCs/>
                <w:color w:val="auto"/>
                <w:kern w:val="0"/>
                <w:sz w:val="22"/>
                <w:szCs w:val="22"/>
                <w:highlight w:val="none"/>
                <w:lang w:val="en-US" w:eastAsia="zh-CN"/>
              </w:rPr>
              <w:t>10</w:t>
            </w:r>
          </w:p>
        </w:tc>
      </w:tr>
      <w:tr w14:paraId="6B990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0" w:type="pct"/>
            <w:vMerge w:val="continue"/>
            <w:shd w:val="clear" w:color="auto" w:fill="FFFFFF"/>
            <w:vAlign w:val="center"/>
          </w:tcPr>
          <w:p w14:paraId="3C8E82FC">
            <w:pPr>
              <w:spacing w:line="0" w:lineRule="atLeast"/>
              <w:jc w:val="center"/>
              <w:rPr>
                <w:color w:val="auto"/>
                <w:kern w:val="0"/>
                <w:sz w:val="22"/>
                <w:szCs w:val="22"/>
                <w:highlight w:val="none"/>
              </w:rPr>
            </w:pPr>
          </w:p>
        </w:tc>
        <w:tc>
          <w:tcPr>
            <w:tcW w:w="302" w:type="pct"/>
            <w:shd w:val="clear" w:color="auto" w:fill="FFFFFF"/>
            <w:vAlign w:val="center"/>
          </w:tcPr>
          <w:p w14:paraId="54BBFA76">
            <w:pPr>
              <w:spacing w:line="0" w:lineRule="atLeast"/>
              <w:jc w:val="center"/>
              <w:rPr>
                <w:color w:val="auto"/>
                <w:kern w:val="0"/>
                <w:sz w:val="22"/>
                <w:szCs w:val="22"/>
                <w:highlight w:val="none"/>
              </w:rPr>
            </w:pPr>
            <w:r>
              <w:rPr>
                <w:color w:val="auto"/>
                <w:kern w:val="0"/>
                <w:sz w:val="22"/>
                <w:szCs w:val="22"/>
                <w:highlight w:val="none"/>
              </w:rPr>
              <w:t>产出时效</w:t>
            </w:r>
          </w:p>
        </w:tc>
        <w:tc>
          <w:tcPr>
            <w:tcW w:w="344" w:type="pct"/>
            <w:shd w:val="clear" w:color="auto" w:fill="FFFFFF"/>
            <w:vAlign w:val="center"/>
          </w:tcPr>
          <w:p w14:paraId="287B4F2F">
            <w:pPr>
              <w:widowControl/>
              <w:spacing w:line="0" w:lineRule="atLeast"/>
              <w:jc w:val="center"/>
              <w:rPr>
                <w:color w:val="auto"/>
                <w:kern w:val="0"/>
                <w:sz w:val="22"/>
                <w:szCs w:val="22"/>
                <w:highlight w:val="none"/>
              </w:rPr>
            </w:pPr>
            <w:r>
              <w:rPr>
                <w:color w:val="auto"/>
                <w:kern w:val="0"/>
                <w:sz w:val="22"/>
                <w:szCs w:val="22"/>
                <w:highlight w:val="none"/>
              </w:rPr>
              <w:t>完成及时性</w:t>
            </w:r>
          </w:p>
        </w:tc>
        <w:tc>
          <w:tcPr>
            <w:tcW w:w="927" w:type="pct"/>
            <w:shd w:val="clear" w:color="000000" w:fill="FFFFFF"/>
            <w:vAlign w:val="center"/>
          </w:tcPr>
          <w:p w14:paraId="20C893B1">
            <w:pPr>
              <w:widowControl/>
              <w:spacing w:line="0" w:lineRule="atLeast"/>
              <w:rPr>
                <w:color w:val="auto"/>
                <w:kern w:val="0"/>
                <w:sz w:val="22"/>
                <w:szCs w:val="22"/>
                <w:highlight w:val="none"/>
              </w:rPr>
            </w:pPr>
            <w:r>
              <w:rPr>
                <w:color w:val="auto"/>
                <w:kern w:val="0"/>
                <w:sz w:val="22"/>
                <w:szCs w:val="22"/>
                <w:highlight w:val="none"/>
              </w:rPr>
              <w:t>项目实际完成时间与计划完成时间的比较，用以反映和考核项目产出时效目标的实现程度。</w:t>
            </w:r>
          </w:p>
        </w:tc>
        <w:tc>
          <w:tcPr>
            <w:tcW w:w="2045" w:type="pct"/>
            <w:shd w:val="clear" w:color="000000" w:fill="FFFFFF"/>
            <w:vAlign w:val="center"/>
          </w:tcPr>
          <w:p w14:paraId="18DE9970">
            <w:pPr>
              <w:widowControl/>
              <w:spacing w:line="0" w:lineRule="atLeast"/>
              <w:rPr>
                <w:color w:val="auto"/>
                <w:kern w:val="0"/>
                <w:sz w:val="22"/>
                <w:szCs w:val="22"/>
                <w:highlight w:val="none"/>
              </w:rPr>
            </w:pPr>
            <w:r>
              <w:rPr>
                <w:color w:val="auto"/>
                <w:kern w:val="0"/>
                <w:sz w:val="22"/>
                <w:szCs w:val="22"/>
                <w:highlight w:val="none"/>
              </w:rPr>
              <w:t>实际完成时间：项目实施单位完成该项目实际所耗用的时间。</w:t>
            </w:r>
            <w:r>
              <w:rPr>
                <w:color w:val="auto"/>
                <w:kern w:val="0"/>
                <w:sz w:val="22"/>
                <w:szCs w:val="22"/>
                <w:highlight w:val="none"/>
              </w:rPr>
              <w:br w:type="textWrapping"/>
            </w:r>
            <w:r>
              <w:rPr>
                <w:color w:val="auto"/>
                <w:kern w:val="0"/>
                <w:sz w:val="22"/>
                <w:szCs w:val="22"/>
                <w:highlight w:val="none"/>
              </w:rPr>
              <w:t>计划完成时间：按照项目实施计划或相关规定完成该项目所需的时间。</w:t>
            </w:r>
          </w:p>
        </w:tc>
        <w:tc>
          <w:tcPr>
            <w:tcW w:w="512" w:type="pct"/>
            <w:shd w:val="clear" w:color="000000" w:fill="FFFFFF"/>
            <w:vAlign w:val="center"/>
          </w:tcPr>
          <w:p w14:paraId="152DD72D">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14:paraId="68E1E523">
            <w:pPr>
              <w:widowControl/>
              <w:spacing w:line="0" w:lineRule="atLeast"/>
              <w:jc w:val="center"/>
              <w:rPr>
                <w:b/>
                <w:bCs/>
                <w:color w:val="auto"/>
                <w:kern w:val="0"/>
                <w:sz w:val="22"/>
                <w:szCs w:val="22"/>
                <w:highlight w:val="none"/>
              </w:rPr>
            </w:pPr>
            <w:r>
              <w:rPr>
                <w:b/>
                <w:bCs/>
                <w:color w:val="auto"/>
                <w:kern w:val="0"/>
                <w:sz w:val="22"/>
                <w:szCs w:val="22"/>
                <w:highlight w:val="none"/>
              </w:rPr>
              <w:t>10</w:t>
            </w:r>
          </w:p>
        </w:tc>
      </w:tr>
      <w:tr w14:paraId="628F2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0" w:type="pct"/>
            <w:vMerge w:val="continue"/>
            <w:shd w:val="clear" w:color="auto" w:fill="FFFFFF"/>
            <w:vAlign w:val="center"/>
          </w:tcPr>
          <w:p w14:paraId="27ADBE28">
            <w:pPr>
              <w:widowControl/>
              <w:spacing w:line="0" w:lineRule="atLeast"/>
              <w:jc w:val="center"/>
              <w:rPr>
                <w:color w:val="auto"/>
                <w:kern w:val="0"/>
                <w:sz w:val="22"/>
                <w:szCs w:val="22"/>
                <w:highlight w:val="none"/>
              </w:rPr>
            </w:pPr>
          </w:p>
        </w:tc>
        <w:tc>
          <w:tcPr>
            <w:tcW w:w="302" w:type="pct"/>
            <w:shd w:val="clear" w:color="auto" w:fill="FFFFFF"/>
            <w:vAlign w:val="center"/>
          </w:tcPr>
          <w:p w14:paraId="55367E48">
            <w:pPr>
              <w:widowControl/>
              <w:spacing w:line="0" w:lineRule="atLeast"/>
              <w:jc w:val="center"/>
              <w:rPr>
                <w:color w:val="auto"/>
                <w:kern w:val="0"/>
                <w:sz w:val="22"/>
                <w:szCs w:val="22"/>
                <w:highlight w:val="none"/>
              </w:rPr>
            </w:pPr>
            <w:r>
              <w:rPr>
                <w:color w:val="auto"/>
                <w:kern w:val="0"/>
                <w:sz w:val="22"/>
                <w:szCs w:val="22"/>
                <w:highlight w:val="none"/>
              </w:rPr>
              <w:t>产出成本</w:t>
            </w:r>
          </w:p>
        </w:tc>
        <w:tc>
          <w:tcPr>
            <w:tcW w:w="344" w:type="pct"/>
            <w:shd w:val="clear" w:color="auto" w:fill="FFFFFF"/>
            <w:vAlign w:val="center"/>
          </w:tcPr>
          <w:p w14:paraId="0EBAD768">
            <w:pPr>
              <w:widowControl/>
              <w:spacing w:line="0" w:lineRule="atLeast"/>
              <w:jc w:val="center"/>
              <w:rPr>
                <w:color w:val="auto"/>
                <w:kern w:val="0"/>
                <w:sz w:val="22"/>
                <w:szCs w:val="22"/>
                <w:highlight w:val="none"/>
              </w:rPr>
            </w:pPr>
            <w:r>
              <w:rPr>
                <w:color w:val="auto"/>
                <w:kern w:val="0"/>
                <w:sz w:val="22"/>
                <w:szCs w:val="22"/>
                <w:highlight w:val="none"/>
              </w:rPr>
              <w:t>成本节约率</w:t>
            </w:r>
          </w:p>
        </w:tc>
        <w:tc>
          <w:tcPr>
            <w:tcW w:w="927" w:type="pct"/>
            <w:shd w:val="clear" w:color="000000" w:fill="FFFFFF"/>
            <w:vAlign w:val="center"/>
          </w:tcPr>
          <w:p w14:paraId="14DB8AD2">
            <w:pPr>
              <w:widowControl/>
              <w:spacing w:line="0" w:lineRule="atLeast"/>
              <w:rPr>
                <w:color w:val="auto"/>
                <w:kern w:val="0"/>
                <w:sz w:val="22"/>
                <w:szCs w:val="22"/>
                <w:highlight w:val="none"/>
              </w:rPr>
            </w:pPr>
            <w:r>
              <w:rPr>
                <w:color w:val="auto"/>
                <w:kern w:val="0"/>
                <w:sz w:val="22"/>
                <w:szCs w:val="22"/>
                <w:highlight w:val="none"/>
              </w:rPr>
              <w:t>完成项目计划工作目标的实际节约成本与计划成本的比率，用以反映和考核项目的成本节约程度。</w:t>
            </w:r>
          </w:p>
        </w:tc>
        <w:tc>
          <w:tcPr>
            <w:tcW w:w="2045" w:type="pct"/>
            <w:shd w:val="clear" w:color="000000" w:fill="FFFFFF"/>
            <w:vAlign w:val="center"/>
          </w:tcPr>
          <w:p w14:paraId="1B856168">
            <w:pPr>
              <w:widowControl/>
              <w:spacing w:line="0" w:lineRule="atLeast"/>
              <w:rPr>
                <w:color w:val="auto"/>
                <w:kern w:val="0"/>
                <w:sz w:val="22"/>
                <w:szCs w:val="22"/>
                <w:highlight w:val="none"/>
              </w:rPr>
            </w:pPr>
            <w:r>
              <w:rPr>
                <w:color w:val="auto"/>
                <w:kern w:val="0"/>
                <w:sz w:val="22"/>
                <w:szCs w:val="22"/>
                <w:highlight w:val="none"/>
              </w:rPr>
              <w:br w:type="textWrapping"/>
            </w:r>
            <w:r>
              <w:rPr>
                <w:color w:val="auto"/>
                <w:kern w:val="0"/>
                <w:sz w:val="22"/>
                <w:szCs w:val="22"/>
                <w:highlight w:val="none"/>
              </w:rPr>
              <w:t>成本节约率=[（计划成本-实际成本）/计划成本]×100%。</w:t>
            </w:r>
            <w:r>
              <w:rPr>
                <w:color w:val="auto"/>
                <w:kern w:val="0"/>
                <w:sz w:val="22"/>
                <w:szCs w:val="22"/>
                <w:highlight w:val="none"/>
              </w:rPr>
              <w:br w:type="textWrapping"/>
            </w:r>
            <w:r>
              <w:rPr>
                <w:color w:val="auto"/>
                <w:kern w:val="0"/>
                <w:sz w:val="22"/>
                <w:szCs w:val="22"/>
                <w:highlight w:val="none"/>
              </w:rPr>
              <w:t>实际成本：项目实施单位如期、保质、保量完成既定工作目标实际所耗费的支出。</w:t>
            </w:r>
            <w:r>
              <w:rPr>
                <w:color w:val="auto"/>
                <w:kern w:val="0"/>
                <w:sz w:val="22"/>
                <w:szCs w:val="22"/>
                <w:highlight w:val="none"/>
              </w:rPr>
              <w:br w:type="textWrapping"/>
            </w:r>
            <w:r>
              <w:rPr>
                <w:color w:val="auto"/>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5D359544">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14:paraId="7C34C8AF">
            <w:pPr>
              <w:widowControl/>
              <w:spacing w:line="0" w:lineRule="atLeast"/>
              <w:jc w:val="center"/>
              <w:rPr>
                <w:b/>
                <w:bCs/>
                <w:color w:val="auto"/>
                <w:kern w:val="0"/>
                <w:sz w:val="22"/>
                <w:szCs w:val="22"/>
                <w:highlight w:val="none"/>
              </w:rPr>
            </w:pPr>
            <w:r>
              <w:rPr>
                <w:b/>
                <w:bCs/>
                <w:color w:val="auto"/>
                <w:kern w:val="0"/>
                <w:sz w:val="22"/>
                <w:szCs w:val="22"/>
                <w:highlight w:val="none"/>
              </w:rPr>
              <w:t>10</w:t>
            </w:r>
          </w:p>
        </w:tc>
      </w:tr>
      <w:tr w14:paraId="011B68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0" w:type="pct"/>
            <w:vMerge w:val="restart"/>
            <w:shd w:val="clear" w:color="auto" w:fill="FFFFFF"/>
            <w:vAlign w:val="center"/>
          </w:tcPr>
          <w:p w14:paraId="58223CA6">
            <w:pPr>
              <w:widowControl/>
              <w:spacing w:line="0" w:lineRule="atLeast"/>
              <w:jc w:val="center"/>
              <w:rPr>
                <w:color w:val="auto"/>
                <w:kern w:val="0"/>
                <w:sz w:val="22"/>
                <w:szCs w:val="22"/>
                <w:highlight w:val="none"/>
              </w:rPr>
            </w:pPr>
            <w:r>
              <w:rPr>
                <w:color w:val="auto"/>
                <w:kern w:val="0"/>
                <w:sz w:val="22"/>
                <w:szCs w:val="22"/>
                <w:highlight w:val="none"/>
              </w:rPr>
              <w:t>效益　</w:t>
            </w:r>
          </w:p>
        </w:tc>
        <w:tc>
          <w:tcPr>
            <w:tcW w:w="302" w:type="pct"/>
            <w:vMerge w:val="restart"/>
            <w:shd w:val="clear" w:color="auto" w:fill="FFFFFF"/>
            <w:vAlign w:val="center"/>
          </w:tcPr>
          <w:p w14:paraId="43056379">
            <w:pPr>
              <w:widowControl/>
              <w:spacing w:line="0" w:lineRule="atLeast"/>
              <w:jc w:val="center"/>
              <w:rPr>
                <w:color w:val="auto"/>
                <w:kern w:val="0"/>
                <w:sz w:val="22"/>
                <w:szCs w:val="22"/>
                <w:highlight w:val="none"/>
              </w:rPr>
            </w:pPr>
            <w:r>
              <w:rPr>
                <w:color w:val="auto"/>
                <w:kern w:val="0"/>
                <w:sz w:val="22"/>
                <w:szCs w:val="22"/>
                <w:highlight w:val="none"/>
              </w:rPr>
              <w:t>项目效益　</w:t>
            </w:r>
          </w:p>
        </w:tc>
        <w:tc>
          <w:tcPr>
            <w:tcW w:w="344" w:type="pct"/>
            <w:shd w:val="clear" w:color="auto" w:fill="FFFFFF"/>
            <w:vAlign w:val="center"/>
          </w:tcPr>
          <w:p w14:paraId="41EC6AF2">
            <w:pPr>
              <w:widowControl/>
              <w:spacing w:line="0" w:lineRule="atLeast"/>
              <w:jc w:val="center"/>
              <w:rPr>
                <w:color w:val="auto"/>
                <w:kern w:val="0"/>
                <w:sz w:val="22"/>
                <w:szCs w:val="22"/>
                <w:highlight w:val="none"/>
              </w:rPr>
            </w:pPr>
            <w:r>
              <w:rPr>
                <w:color w:val="auto"/>
                <w:kern w:val="0"/>
                <w:sz w:val="22"/>
                <w:szCs w:val="22"/>
                <w:highlight w:val="none"/>
              </w:rPr>
              <w:t>实施效益</w:t>
            </w:r>
          </w:p>
        </w:tc>
        <w:tc>
          <w:tcPr>
            <w:tcW w:w="927" w:type="pct"/>
            <w:shd w:val="clear" w:color="auto" w:fill="FFFFFF"/>
            <w:vAlign w:val="center"/>
          </w:tcPr>
          <w:p w14:paraId="1EA56073">
            <w:pPr>
              <w:widowControl/>
              <w:spacing w:line="0" w:lineRule="atLeast"/>
              <w:jc w:val="left"/>
              <w:rPr>
                <w:color w:val="auto"/>
                <w:kern w:val="0"/>
                <w:sz w:val="22"/>
                <w:szCs w:val="22"/>
                <w:highlight w:val="none"/>
              </w:rPr>
            </w:pPr>
            <w:r>
              <w:rPr>
                <w:color w:val="auto"/>
                <w:kern w:val="0"/>
                <w:sz w:val="22"/>
                <w:szCs w:val="22"/>
                <w:highlight w:val="none"/>
              </w:rPr>
              <w:t>项目实施所产生的效益。</w:t>
            </w:r>
          </w:p>
        </w:tc>
        <w:tc>
          <w:tcPr>
            <w:tcW w:w="2045" w:type="pct"/>
            <w:shd w:val="clear" w:color="auto" w:fill="FFFFFF"/>
            <w:vAlign w:val="center"/>
          </w:tcPr>
          <w:p w14:paraId="405FDE93">
            <w:pPr>
              <w:widowControl/>
              <w:spacing w:line="0" w:lineRule="atLeast"/>
              <w:rPr>
                <w:color w:val="auto"/>
                <w:kern w:val="0"/>
                <w:sz w:val="22"/>
                <w:szCs w:val="22"/>
                <w:highlight w:val="none"/>
              </w:rPr>
            </w:pPr>
            <w:r>
              <w:rPr>
                <w:color w:val="auto"/>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68FCFC27">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auto" w:fill="FFFFFF"/>
            <w:vAlign w:val="center"/>
          </w:tcPr>
          <w:p w14:paraId="28C47D15">
            <w:pPr>
              <w:widowControl/>
              <w:spacing w:line="0" w:lineRule="atLeast"/>
              <w:jc w:val="center"/>
              <w:rPr>
                <w:b/>
                <w:bCs/>
                <w:color w:val="auto"/>
                <w:kern w:val="0"/>
                <w:sz w:val="22"/>
                <w:szCs w:val="22"/>
                <w:highlight w:val="none"/>
              </w:rPr>
            </w:pPr>
            <w:r>
              <w:rPr>
                <w:b/>
                <w:bCs/>
                <w:color w:val="auto"/>
                <w:kern w:val="0"/>
                <w:sz w:val="22"/>
                <w:szCs w:val="22"/>
                <w:highlight w:val="none"/>
              </w:rPr>
              <w:t>10</w:t>
            </w:r>
          </w:p>
        </w:tc>
      </w:tr>
      <w:tr w14:paraId="5489FF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0" w:type="pct"/>
            <w:vMerge w:val="continue"/>
            <w:shd w:val="clear" w:color="auto" w:fill="FFFFFF"/>
            <w:vAlign w:val="center"/>
          </w:tcPr>
          <w:p w14:paraId="39151CCD">
            <w:pPr>
              <w:widowControl/>
              <w:spacing w:line="0" w:lineRule="atLeast"/>
              <w:jc w:val="center"/>
              <w:rPr>
                <w:color w:val="auto"/>
                <w:kern w:val="0"/>
                <w:sz w:val="22"/>
                <w:szCs w:val="22"/>
                <w:highlight w:val="none"/>
              </w:rPr>
            </w:pPr>
          </w:p>
        </w:tc>
        <w:tc>
          <w:tcPr>
            <w:tcW w:w="302" w:type="pct"/>
            <w:vMerge w:val="continue"/>
            <w:shd w:val="clear" w:color="auto" w:fill="FFFFFF"/>
            <w:vAlign w:val="center"/>
          </w:tcPr>
          <w:p w14:paraId="6A688D74">
            <w:pPr>
              <w:widowControl/>
              <w:spacing w:line="0" w:lineRule="atLeast"/>
              <w:jc w:val="center"/>
              <w:rPr>
                <w:color w:val="auto"/>
                <w:kern w:val="0"/>
                <w:sz w:val="22"/>
                <w:szCs w:val="22"/>
                <w:highlight w:val="none"/>
              </w:rPr>
            </w:pPr>
          </w:p>
        </w:tc>
        <w:tc>
          <w:tcPr>
            <w:tcW w:w="344" w:type="pct"/>
            <w:shd w:val="clear" w:color="auto" w:fill="FFFFFF"/>
            <w:vAlign w:val="center"/>
          </w:tcPr>
          <w:p w14:paraId="0FD4AC1D">
            <w:pPr>
              <w:widowControl/>
              <w:spacing w:line="0" w:lineRule="atLeast"/>
              <w:jc w:val="center"/>
              <w:rPr>
                <w:color w:val="auto"/>
                <w:kern w:val="0"/>
                <w:sz w:val="22"/>
                <w:szCs w:val="22"/>
                <w:highlight w:val="none"/>
              </w:rPr>
            </w:pPr>
            <w:r>
              <w:rPr>
                <w:color w:val="auto"/>
                <w:kern w:val="0"/>
                <w:sz w:val="22"/>
                <w:szCs w:val="22"/>
                <w:highlight w:val="none"/>
              </w:rPr>
              <w:t>满意度</w:t>
            </w:r>
          </w:p>
        </w:tc>
        <w:tc>
          <w:tcPr>
            <w:tcW w:w="927" w:type="pct"/>
            <w:shd w:val="clear" w:color="000000" w:fill="FFFFFF"/>
            <w:vAlign w:val="center"/>
          </w:tcPr>
          <w:p w14:paraId="7F008E69">
            <w:pPr>
              <w:widowControl/>
              <w:spacing w:line="0" w:lineRule="atLeast"/>
              <w:rPr>
                <w:color w:val="auto"/>
                <w:kern w:val="0"/>
                <w:sz w:val="22"/>
                <w:szCs w:val="22"/>
                <w:highlight w:val="none"/>
              </w:rPr>
            </w:pPr>
            <w:r>
              <w:rPr>
                <w:color w:val="auto"/>
                <w:kern w:val="0"/>
                <w:sz w:val="22"/>
                <w:szCs w:val="22"/>
                <w:highlight w:val="none"/>
              </w:rPr>
              <w:t>社会公众或服务对象对项目实施效果的满意程度。</w:t>
            </w:r>
          </w:p>
        </w:tc>
        <w:tc>
          <w:tcPr>
            <w:tcW w:w="2045" w:type="pct"/>
            <w:shd w:val="clear" w:color="000000" w:fill="FFFFFF"/>
            <w:vAlign w:val="center"/>
          </w:tcPr>
          <w:p w14:paraId="77A1295A">
            <w:pPr>
              <w:widowControl/>
              <w:spacing w:line="0" w:lineRule="atLeast"/>
              <w:rPr>
                <w:color w:val="auto"/>
                <w:kern w:val="0"/>
                <w:sz w:val="22"/>
                <w:szCs w:val="22"/>
                <w:highlight w:val="none"/>
              </w:rPr>
            </w:pPr>
            <w:r>
              <w:rPr>
                <w:color w:val="auto"/>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46EFFCF4">
            <w:pPr>
              <w:widowControl/>
              <w:spacing w:line="0" w:lineRule="atLeast"/>
              <w:jc w:val="center"/>
              <w:rPr>
                <w:b/>
                <w:bCs/>
                <w:color w:val="auto"/>
                <w:kern w:val="0"/>
                <w:sz w:val="22"/>
                <w:szCs w:val="22"/>
                <w:highlight w:val="none"/>
              </w:rPr>
            </w:pPr>
            <w:r>
              <w:rPr>
                <w:b/>
                <w:bCs/>
                <w:color w:val="auto"/>
                <w:kern w:val="0"/>
                <w:sz w:val="22"/>
                <w:szCs w:val="22"/>
                <w:highlight w:val="none"/>
              </w:rPr>
              <w:t>10</w:t>
            </w:r>
          </w:p>
        </w:tc>
        <w:tc>
          <w:tcPr>
            <w:tcW w:w="537" w:type="pct"/>
            <w:shd w:val="clear" w:color="000000" w:fill="FFFFFF"/>
            <w:vAlign w:val="center"/>
          </w:tcPr>
          <w:p w14:paraId="0DF495A0">
            <w:pPr>
              <w:widowControl/>
              <w:spacing w:line="0" w:lineRule="atLeast"/>
              <w:jc w:val="center"/>
              <w:rPr>
                <w:b/>
                <w:bCs/>
                <w:color w:val="auto"/>
                <w:kern w:val="0"/>
                <w:sz w:val="22"/>
                <w:szCs w:val="22"/>
                <w:highlight w:val="none"/>
              </w:rPr>
            </w:pPr>
            <w:r>
              <w:rPr>
                <w:b/>
                <w:bCs/>
                <w:color w:val="auto"/>
                <w:kern w:val="0"/>
                <w:sz w:val="22"/>
                <w:szCs w:val="22"/>
                <w:highlight w:val="none"/>
              </w:rPr>
              <w:t>10</w:t>
            </w:r>
          </w:p>
        </w:tc>
      </w:tr>
    </w:tbl>
    <w:p w14:paraId="6AFA85B8">
      <w:pPr>
        <w:pStyle w:val="2"/>
        <w:rPr>
          <w:rFonts w:ascii="Times New Roman" w:hAnsi="Times New Roman"/>
          <w:color w:val="auto"/>
          <w:highlight w:val="none"/>
        </w:rPr>
      </w:pPr>
    </w:p>
    <w:p w14:paraId="31C81598">
      <w:pPr>
        <w:rPr>
          <w:color w:val="auto"/>
          <w:highlight w:val="none"/>
        </w:rPr>
      </w:pPr>
    </w:p>
    <w:p w14:paraId="663E64F5">
      <w:pPr>
        <w:spacing w:line="540" w:lineRule="exact"/>
        <w:ind w:firstLine="640"/>
        <w:rPr>
          <w:rStyle w:val="13"/>
          <w:rFonts w:eastAsia="黑体"/>
          <w:bCs w:val="0"/>
          <w:color w:val="auto"/>
          <w:spacing w:val="-4"/>
          <w:sz w:val="32"/>
          <w:szCs w:val="32"/>
          <w:highlight w:val="none"/>
        </w:rPr>
      </w:pPr>
    </w:p>
    <w:p w14:paraId="5DB80DAB">
      <w:pPr>
        <w:spacing w:line="540" w:lineRule="exact"/>
        <w:ind w:firstLine="640"/>
        <w:rPr>
          <w:rStyle w:val="13"/>
          <w:rFonts w:eastAsia="黑体"/>
          <w:bCs w:val="0"/>
          <w:color w:val="auto"/>
          <w:spacing w:val="-4"/>
          <w:sz w:val="32"/>
          <w:szCs w:val="32"/>
          <w:highlight w:val="none"/>
        </w:rPr>
      </w:pPr>
    </w:p>
    <w:p w14:paraId="494B4901">
      <w:pPr>
        <w:spacing w:line="540" w:lineRule="exact"/>
        <w:ind w:firstLine="640"/>
        <w:rPr>
          <w:rStyle w:val="13"/>
          <w:rFonts w:eastAsia="黑体"/>
          <w:bCs w:val="0"/>
          <w:color w:val="auto"/>
          <w:spacing w:val="-4"/>
          <w:sz w:val="32"/>
          <w:szCs w:val="32"/>
          <w:highlight w:val="none"/>
        </w:rPr>
      </w:pPr>
    </w:p>
    <w:p w14:paraId="0496C3EA">
      <w:pPr>
        <w:spacing w:line="540" w:lineRule="exact"/>
        <w:ind w:firstLine="640"/>
        <w:rPr>
          <w:rStyle w:val="13"/>
          <w:rFonts w:eastAsia="黑体"/>
          <w:bCs w:val="0"/>
          <w:color w:val="auto"/>
          <w:spacing w:val="-4"/>
          <w:sz w:val="32"/>
          <w:szCs w:val="32"/>
          <w:highlight w:val="none"/>
        </w:rPr>
      </w:pPr>
    </w:p>
    <w:p w14:paraId="51150A48">
      <w:pPr>
        <w:spacing w:line="540" w:lineRule="exact"/>
        <w:ind w:firstLine="640"/>
        <w:rPr>
          <w:rStyle w:val="13"/>
          <w:rFonts w:eastAsia="黑体"/>
          <w:bCs w:val="0"/>
          <w:color w:val="auto"/>
          <w:spacing w:val="-4"/>
          <w:sz w:val="32"/>
          <w:szCs w:val="32"/>
          <w:highlight w:val="none"/>
        </w:rPr>
      </w:pPr>
    </w:p>
    <w:p w14:paraId="3B96A464">
      <w:pPr>
        <w:spacing w:line="540" w:lineRule="exact"/>
        <w:ind w:firstLine="640"/>
        <w:rPr>
          <w:rStyle w:val="13"/>
          <w:rFonts w:eastAsia="黑体"/>
          <w:bCs w:val="0"/>
          <w:color w:val="auto"/>
          <w:spacing w:val="-4"/>
          <w:sz w:val="32"/>
          <w:szCs w:val="32"/>
          <w:highlight w:val="none"/>
        </w:rPr>
      </w:pPr>
    </w:p>
    <w:p w14:paraId="01024573">
      <w:pPr>
        <w:spacing w:line="540" w:lineRule="exact"/>
        <w:rPr>
          <w:rStyle w:val="13"/>
          <w:rFonts w:eastAsia="仿宋"/>
          <w:b w:val="0"/>
          <w:color w:val="auto"/>
          <w:spacing w:val="-4"/>
          <w:sz w:val="32"/>
          <w:szCs w:val="32"/>
          <w:highlight w:val="none"/>
        </w:rPr>
      </w:pPr>
    </w:p>
    <w:p w14:paraId="5F9DCFEF">
      <w:pPr>
        <w:rPr>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D2CD0B7">
        <w:pPr>
          <w:pStyle w:val="7"/>
          <w:jc w:val="center"/>
        </w:pPr>
        <w:r>
          <w:fldChar w:fldCharType="begin"/>
        </w:r>
        <w:r>
          <w:instrText xml:space="preserve">PAGE   \* MERGEFORMAT</w:instrText>
        </w:r>
        <w:r>
          <w:fldChar w:fldCharType="separate"/>
        </w:r>
        <w:r>
          <w:rPr>
            <w:lang w:val="zh-CN"/>
          </w:rPr>
          <w:t>1</w:t>
        </w:r>
        <w:r>
          <w:fldChar w:fldCharType="end"/>
        </w:r>
      </w:p>
    </w:sdtContent>
  </w:sdt>
  <w:p w14:paraId="7DCEFEE0">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s>
  <w:rsids>
    <w:rsidRoot w:val="FF6C4049"/>
    <w:rsid w:val="00095176"/>
    <w:rsid w:val="004712B7"/>
    <w:rsid w:val="00714727"/>
    <w:rsid w:val="00BD3397"/>
    <w:rsid w:val="00FC7F82"/>
    <w:rsid w:val="00FD3DF8"/>
    <w:rsid w:val="012E7766"/>
    <w:rsid w:val="07DB6FE8"/>
    <w:rsid w:val="100C2DAC"/>
    <w:rsid w:val="11973630"/>
    <w:rsid w:val="11A940EF"/>
    <w:rsid w:val="13B90F01"/>
    <w:rsid w:val="143D4FE6"/>
    <w:rsid w:val="16617A0C"/>
    <w:rsid w:val="183D3240"/>
    <w:rsid w:val="1A33235C"/>
    <w:rsid w:val="1C671E73"/>
    <w:rsid w:val="27AF2451"/>
    <w:rsid w:val="2E284511"/>
    <w:rsid w:val="327C3D28"/>
    <w:rsid w:val="33533E8E"/>
    <w:rsid w:val="395F2B56"/>
    <w:rsid w:val="3BECE841"/>
    <w:rsid w:val="3D6D63E1"/>
    <w:rsid w:val="3FF7797D"/>
    <w:rsid w:val="42756F32"/>
    <w:rsid w:val="462D3E97"/>
    <w:rsid w:val="4D915EC0"/>
    <w:rsid w:val="51E150F3"/>
    <w:rsid w:val="51E437F7"/>
    <w:rsid w:val="5B726FD6"/>
    <w:rsid w:val="5BFF6039"/>
    <w:rsid w:val="5D76A616"/>
    <w:rsid w:val="5D7F20B9"/>
    <w:rsid w:val="5DAC7D0E"/>
    <w:rsid w:val="5FFE8511"/>
    <w:rsid w:val="5FFEACE2"/>
    <w:rsid w:val="61682FAB"/>
    <w:rsid w:val="643EE26D"/>
    <w:rsid w:val="65BE2C35"/>
    <w:rsid w:val="6657308F"/>
    <w:rsid w:val="68F369B0"/>
    <w:rsid w:val="696B3B01"/>
    <w:rsid w:val="6BC62FDC"/>
    <w:rsid w:val="6C2E1DF8"/>
    <w:rsid w:val="6CF80F21"/>
    <w:rsid w:val="6FAF6C78"/>
    <w:rsid w:val="714B51FB"/>
    <w:rsid w:val="7317C656"/>
    <w:rsid w:val="76D54273"/>
    <w:rsid w:val="77FD8BE9"/>
    <w:rsid w:val="79A9BD3F"/>
    <w:rsid w:val="7BFFFDD0"/>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BF920E"/>
    <w:rsid w:val="F9FD7907"/>
    <w:rsid w:val="F9FEF402"/>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3"/>
    <w:autoRedefine/>
    <w:qFormat/>
    <w:uiPriority w:val="99"/>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2"/>
    <w:autoRedefine/>
    <w:qFormat/>
    <w:uiPriority w:val="0"/>
    <w:pPr>
      <w:tabs>
        <w:tab w:val="center" w:pos="4153"/>
        <w:tab w:val="right" w:pos="8306"/>
      </w:tabs>
      <w:snapToGrid w:val="0"/>
      <w:jc w:val="center"/>
    </w:pPr>
    <w:rPr>
      <w:sz w:val="18"/>
      <w:szCs w:val="18"/>
    </w:rPr>
  </w:style>
  <w:style w:type="paragraph" w:styleId="9">
    <w:name w:val="Body Text First Indent"/>
    <w:basedOn w:val="5"/>
    <w:autoRedefine/>
    <w:qFormat/>
    <w:uiPriority w:val="0"/>
    <w:pPr>
      <w:spacing w:after="0"/>
      <w:ind w:firstLine="200" w:firstLineChars="200"/>
    </w:pPr>
  </w:style>
  <w:style w:type="paragraph" w:styleId="10">
    <w:name w:val="Body Text First Indent 2"/>
    <w:basedOn w:val="6"/>
    <w:autoRedefine/>
    <w:qFormat/>
    <w:uiPriority w:val="0"/>
    <w:pPr>
      <w:ind w:firstLine="420" w:firstLineChars="200"/>
    </w:pPr>
  </w:style>
  <w:style w:type="character" w:styleId="13">
    <w:name w:val="Strong"/>
    <w:basedOn w:val="12"/>
    <w:autoRedefine/>
    <w:qFormat/>
    <w:uiPriority w:val="0"/>
    <w:rPr>
      <w:b/>
      <w:bCs/>
    </w:rPr>
  </w:style>
  <w:style w:type="character" w:styleId="14">
    <w:name w:val="annotation reference"/>
    <w:basedOn w:val="12"/>
    <w:autoRedefine/>
    <w:qFormat/>
    <w:uiPriority w:val="99"/>
    <w:rPr>
      <w:sz w:val="21"/>
      <w:szCs w:val="21"/>
    </w:rPr>
  </w:style>
  <w:style w:type="paragraph" w:customStyle="1" w:styleId="15">
    <w:name w:val="报-正文"/>
    <w:basedOn w:val="1"/>
    <w:autoRedefine/>
    <w:qFormat/>
    <w:uiPriority w:val="0"/>
    <w:pPr>
      <w:spacing w:line="560" w:lineRule="atLeast"/>
      <w:ind w:firstLine="440" w:firstLineChars="200"/>
      <w:jc w:val="both"/>
    </w:pPr>
    <w:rPr>
      <w:rFonts w:hint="eastAsia" w:ascii="Times New Roman" w:hAnsi="Times New Roman" w:eastAsia="仿宋_GB2312" w:cs="Times New Roman"/>
      <w:sz w:val="32"/>
      <w:szCs w:val="32"/>
    </w:rPr>
  </w:style>
  <w:style w:type="paragraph" w:customStyle="1" w:styleId="16">
    <w:name w:val="报一级"/>
    <w:basedOn w:val="1"/>
    <w:autoRedefine/>
    <w:qFormat/>
    <w:uiPriority w:val="0"/>
    <w:pPr>
      <w:widowControl/>
      <w:overflowPunct w:val="0"/>
      <w:autoSpaceDE w:val="0"/>
      <w:autoSpaceDN w:val="0"/>
      <w:adjustRightInd w:val="0"/>
      <w:spacing w:line="560" w:lineRule="exact"/>
      <w:ind w:firstLine="640" w:firstLineChars="200"/>
      <w:jc w:val="left"/>
      <w:textAlignment w:val="baseline"/>
      <w:outlineLvl w:val="0"/>
    </w:pPr>
    <w:rPr>
      <w:rFonts w:ascii="Times New Roman" w:hAnsi="Times New Roman" w:eastAsia="黑体" w:cs="Times New Roman"/>
      <w:bCs/>
      <w:color w:val="auto"/>
      <w:kern w:val="0"/>
      <w:sz w:val="32"/>
      <w:szCs w:val="32"/>
    </w:rPr>
  </w:style>
  <w:style w:type="paragraph" w:customStyle="1" w:styleId="17">
    <w:name w:val="报二级"/>
    <w:basedOn w:val="1"/>
    <w:link w:val="26"/>
    <w:autoRedefine/>
    <w:qFormat/>
    <w:uiPriority w:val="0"/>
    <w:pPr>
      <w:widowControl/>
      <w:overflowPunct w:val="0"/>
      <w:autoSpaceDE w:val="0"/>
      <w:autoSpaceDN w:val="0"/>
      <w:adjustRightInd w:val="0"/>
      <w:spacing w:line="560" w:lineRule="exact"/>
      <w:ind w:firstLine="803" w:firstLineChars="200"/>
      <w:textAlignment w:val="baseline"/>
      <w:outlineLvl w:val="1"/>
    </w:pPr>
    <w:rPr>
      <w:rFonts w:ascii="Times New Roman" w:hAnsi="Times New Roman" w:eastAsia="楷体" w:cs="Times New Roman"/>
      <w:b/>
      <w:color w:val="auto"/>
      <w:kern w:val="0"/>
      <w:sz w:val="32"/>
      <w:szCs w:val="32"/>
    </w:rPr>
  </w:style>
  <w:style w:type="paragraph" w:customStyle="1" w:styleId="18">
    <w:name w:val="报三级"/>
    <w:basedOn w:val="1"/>
    <w:link w:val="25"/>
    <w:autoRedefine/>
    <w:qFormat/>
    <w:uiPriority w:val="0"/>
    <w:pPr>
      <w:widowControl/>
      <w:overflowPunct w:val="0"/>
      <w:autoSpaceDE w:val="0"/>
      <w:autoSpaceDN w:val="0"/>
      <w:adjustRightInd w:val="0"/>
      <w:spacing w:line="560" w:lineRule="exact"/>
      <w:ind w:firstLine="803" w:firstLineChars="200"/>
      <w:jc w:val="left"/>
      <w:textAlignment w:val="baseline"/>
      <w:outlineLvl w:val="2"/>
    </w:pPr>
    <w:rPr>
      <w:rFonts w:ascii="Times New Roman" w:hAnsi="Times New Roman" w:eastAsia="仿宋_GB2312" w:cs="Times New Roman"/>
      <w:b/>
      <w:bCs/>
      <w:color w:val="auto"/>
      <w:kern w:val="0"/>
      <w:sz w:val="32"/>
      <w:szCs w:val="32"/>
    </w:rPr>
  </w:style>
  <w:style w:type="character" w:customStyle="1" w:styleId="19">
    <w:name w:val="fontstyle01"/>
    <w:autoRedefine/>
    <w:qFormat/>
    <w:uiPriority w:val="0"/>
    <w:rPr>
      <w:rFonts w:ascii="仿宋_GB2312" w:hAnsi="仿宋_GB2312" w:eastAsia="仿宋_GB2312" w:cs="仿宋_GB2312"/>
      <w:color w:val="000000"/>
      <w:sz w:val="32"/>
      <w:szCs w:val="32"/>
    </w:rPr>
  </w:style>
  <w:style w:type="paragraph" w:customStyle="1" w:styleId="20">
    <w:name w:val="闻政-正文段落文字"/>
    <w:basedOn w:val="1"/>
    <w:autoRedefine/>
    <w:qFormat/>
    <w:uiPriority w:val="3"/>
    <w:pPr>
      <w:spacing w:line="500" w:lineRule="exact"/>
      <w:ind w:firstLine="200"/>
    </w:pPr>
    <w:rPr>
      <w:kern w:val="0"/>
      <w:szCs w:val="28"/>
    </w:rPr>
  </w:style>
  <w:style w:type="paragraph" w:customStyle="1" w:styleId="21">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22">
    <w:name w:val="页眉 字符"/>
    <w:basedOn w:val="12"/>
    <w:link w:val="8"/>
    <w:autoRedefine/>
    <w:qFormat/>
    <w:uiPriority w:val="0"/>
    <w:rPr>
      <w:rFonts w:ascii="Times New Roman" w:hAnsi="Times New Roman" w:eastAsia="宋体" w:cs="Times New Roman"/>
      <w:kern w:val="2"/>
      <w:sz w:val="18"/>
      <w:szCs w:val="18"/>
    </w:rPr>
  </w:style>
  <w:style w:type="character" w:customStyle="1" w:styleId="23">
    <w:name w:val="批注文字 字符"/>
    <w:basedOn w:val="12"/>
    <w:link w:val="4"/>
    <w:autoRedefine/>
    <w:qFormat/>
    <w:uiPriority w:val="99"/>
    <w:rPr>
      <w:rFonts w:ascii="Times New Roman" w:hAnsi="Times New Roman" w:eastAsia="宋体" w:cs="Times New Roman"/>
      <w:kern w:val="2"/>
      <w:sz w:val="21"/>
      <w:szCs w:val="24"/>
    </w:rPr>
  </w:style>
  <w:style w:type="paragraph" w:styleId="24">
    <w:name w:val="List Paragraph"/>
    <w:basedOn w:val="1"/>
    <w:autoRedefine/>
    <w:unhideWhenUsed/>
    <w:qFormat/>
    <w:uiPriority w:val="99"/>
    <w:pPr>
      <w:ind w:firstLine="420" w:firstLineChars="200"/>
    </w:pPr>
  </w:style>
  <w:style w:type="character" w:customStyle="1" w:styleId="25">
    <w:name w:val="报三级 Char"/>
    <w:link w:val="18"/>
    <w:autoRedefine/>
    <w:qFormat/>
    <w:uiPriority w:val="0"/>
    <w:rPr>
      <w:rFonts w:ascii="Times New Roman" w:hAnsi="Times New Roman" w:eastAsia="仿宋_GB2312" w:cs="Times New Roman"/>
      <w:b/>
      <w:bCs/>
      <w:color w:val="auto"/>
      <w:kern w:val="0"/>
      <w:sz w:val="32"/>
      <w:szCs w:val="32"/>
    </w:rPr>
  </w:style>
  <w:style w:type="character" w:customStyle="1" w:styleId="26">
    <w:name w:val="报二级 Char"/>
    <w:link w:val="17"/>
    <w:autoRedefine/>
    <w:qFormat/>
    <w:uiPriority w:val="0"/>
    <w:rPr>
      <w:rFonts w:ascii="Times New Roman" w:hAnsi="Times New Roman" w:eastAsia="楷体" w:cs="Times New Roman"/>
      <w:b/>
      <w:color w:val="auto"/>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8989</Words>
  <Characters>9479</Characters>
  <Lines>63</Lines>
  <Paragraphs>17</Paragraphs>
  <TotalTime>0</TotalTime>
  <ScaleCrop>false</ScaleCrop>
  <LinksUpToDate>false</LinksUpToDate>
  <CharactersWithSpaces>9493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painstaking efforts</cp:lastModifiedBy>
  <dcterms:modified xsi:type="dcterms:W3CDTF">2024-08-28T02:12:34Z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0CA58AF8364FF55815C8066417B177EA</vt:lpwstr>
  </property>
</Properties>
</file>