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0B15D">
      <w:pPr>
        <w:spacing w:line="540" w:lineRule="exact"/>
        <w:jc w:val="center"/>
        <w:rPr>
          <w:rFonts w:eastAsia="华文中宋"/>
          <w:b/>
          <w:kern w:val="0"/>
          <w:sz w:val="52"/>
          <w:szCs w:val="52"/>
          <w:highlight w:val="none"/>
        </w:rPr>
      </w:pPr>
    </w:p>
    <w:p w14:paraId="1F4BD837">
      <w:pPr>
        <w:spacing w:line="540" w:lineRule="exact"/>
        <w:rPr>
          <w:rFonts w:eastAsia="华文中宋"/>
          <w:b/>
          <w:kern w:val="0"/>
          <w:sz w:val="52"/>
          <w:szCs w:val="52"/>
          <w:highlight w:val="none"/>
        </w:rPr>
      </w:pPr>
    </w:p>
    <w:p w14:paraId="7FA8F147">
      <w:pPr>
        <w:spacing w:line="540" w:lineRule="exact"/>
        <w:jc w:val="center"/>
        <w:rPr>
          <w:rFonts w:eastAsia="华文中宋"/>
          <w:b/>
          <w:kern w:val="0"/>
          <w:sz w:val="52"/>
          <w:szCs w:val="52"/>
          <w:highlight w:val="none"/>
        </w:rPr>
      </w:pPr>
    </w:p>
    <w:p w14:paraId="2277C963">
      <w:pPr>
        <w:spacing w:line="540" w:lineRule="exact"/>
        <w:jc w:val="center"/>
        <w:rPr>
          <w:rFonts w:eastAsia="华文中宋"/>
          <w:b/>
          <w:kern w:val="0"/>
          <w:sz w:val="52"/>
          <w:szCs w:val="52"/>
          <w:highlight w:val="none"/>
        </w:rPr>
      </w:pPr>
    </w:p>
    <w:p w14:paraId="5A3B88C8">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eastAsia="方正小标宋_GBK"/>
          <w:kern w:val="0"/>
          <w:sz w:val="48"/>
          <w:szCs w:val="48"/>
          <w:highlight w:val="none"/>
        </w:rPr>
      </w:pPr>
      <w:r>
        <w:rPr>
          <w:rFonts w:hint="eastAsia" w:eastAsia="方正小标宋_GBK"/>
          <w:kern w:val="0"/>
          <w:sz w:val="48"/>
          <w:szCs w:val="48"/>
          <w:highlight w:val="none"/>
        </w:rPr>
        <w:t>医院政府采购项目支出</w:t>
      </w:r>
    </w:p>
    <w:p w14:paraId="13DBF864">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eastAsia="方正小标宋_GBK"/>
          <w:kern w:val="0"/>
          <w:sz w:val="48"/>
          <w:szCs w:val="48"/>
          <w:highlight w:val="none"/>
        </w:rPr>
      </w:pPr>
      <w:r>
        <w:rPr>
          <w:rFonts w:eastAsia="方正小标宋_GBK"/>
          <w:kern w:val="0"/>
          <w:sz w:val="48"/>
          <w:szCs w:val="48"/>
          <w:highlight w:val="none"/>
        </w:rPr>
        <w:t>绩效评价报告</w:t>
      </w:r>
    </w:p>
    <w:p w14:paraId="5F7CCC0C">
      <w:pPr>
        <w:spacing w:line="540" w:lineRule="exact"/>
        <w:jc w:val="center"/>
        <w:rPr>
          <w:rFonts w:eastAsia="华文中宋"/>
          <w:b/>
          <w:kern w:val="0"/>
          <w:sz w:val="52"/>
          <w:szCs w:val="52"/>
          <w:highlight w:val="none"/>
        </w:rPr>
      </w:pPr>
    </w:p>
    <w:p w14:paraId="5007EDB7">
      <w:pPr>
        <w:spacing w:line="540" w:lineRule="exact"/>
        <w:jc w:val="center"/>
        <w:rPr>
          <w:rFonts w:eastAsia="仿宋_GB2312"/>
          <w:kern w:val="0"/>
          <w:sz w:val="36"/>
          <w:szCs w:val="36"/>
          <w:highlight w:val="none"/>
        </w:rPr>
      </w:pPr>
      <w:r>
        <w:rPr>
          <w:rFonts w:eastAsia="仿宋_GB2312"/>
          <w:kern w:val="0"/>
          <w:sz w:val="36"/>
          <w:szCs w:val="36"/>
          <w:highlight w:val="none"/>
        </w:rPr>
        <w:t>（202</w:t>
      </w:r>
      <w:r>
        <w:rPr>
          <w:rFonts w:hint="eastAsia" w:eastAsia="仿宋_GB2312"/>
          <w:kern w:val="0"/>
          <w:sz w:val="36"/>
          <w:szCs w:val="36"/>
          <w:highlight w:val="none"/>
        </w:rPr>
        <w:t>3年度</w:t>
      </w:r>
      <w:r>
        <w:rPr>
          <w:rFonts w:eastAsia="仿宋_GB2312"/>
          <w:kern w:val="0"/>
          <w:sz w:val="36"/>
          <w:szCs w:val="36"/>
          <w:highlight w:val="none"/>
        </w:rPr>
        <w:t>）</w:t>
      </w:r>
    </w:p>
    <w:p w14:paraId="43B1F45A">
      <w:pPr>
        <w:spacing w:line="540" w:lineRule="exact"/>
        <w:jc w:val="center"/>
        <w:rPr>
          <w:rFonts w:eastAsia="仿宋_GB2312"/>
          <w:kern w:val="0"/>
          <w:sz w:val="30"/>
          <w:szCs w:val="30"/>
          <w:highlight w:val="none"/>
        </w:rPr>
      </w:pPr>
    </w:p>
    <w:p w14:paraId="2D02D944">
      <w:pPr>
        <w:spacing w:line="540" w:lineRule="exact"/>
        <w:jc w:val="center"/>
        <w:rPr>
          <w:rFonts w:eastAsia="仿宋_GB2312"/>
          <w:kern w:val="0"/>
          <w:sz w:val="30"/>
          <w:szCs w:val="30"/>
          <w:highlight w:val="none"/>
        </w:rPr>
      </w:pPr>
    </w:p>
    <w:p w14:paraId="012D6941">
      <w:pPr>
        <w:spacing w:line="540" w:lineRule="exact"/>
        <w:jc w:val="center"/>
        <w:rPr>
          <w:rFonts w:eastAsia="仿宋_GB2312"/>
          <w:kern w:val="0"/>
          <w:sz w:val="30"/>
          <w:szCs w:val="30"/>
          <w:highlight w:val="none"/>
        </w:rPr>
      </w:pPr>
    </w:p>
    <w:p w14:paraId="54DCBFBF">
      <w:pPr>
        <w:pStyle w:val="2"/>
        <w:rPr>
          <w:highlight w:val="none"/>
        </w:rPr>
      </w:pPr>
    </w:p>
    <w:p w14:paraId="0D9E631B">
      <w:pPr>
        <w:spacing w:line="540" w:lineRule="exact"/>
        <w:jc w:val="center"/>
        <w:rPr>
          <w:rFonts w:eastAsia="仿宋_GB2312"/>
          <w:kern w:val="0"/>
          <w:sz w:val="30"/>
          <w:szCs w:val="30"/>
          <w:highlight w:val="none"/>
        </w:rPr>
      </w:pPr>
    </w:p>
    <w:p w14:paraId="006993D5">
      <w:pPr>
        <w:spacing w:line="540" w:lineRule="exact"/>
        <w:rPr>
          <w:rFonts w:eastAsia="仿宋_GB2312"/>
          <w:kern w:val="0"/>
          <w:sz w:val="30"/>
          <w:szCs w:val="30"/>
          <w:highlight w:val="none"/>
        </w:rPr>
      </w:pPr>
    </w:p>
    <w:p w14:paraId="4CB8E713">
      <w:pPr>
        <w:spacing w:line="700" w:lineRule="exact"/>
        <w:jc w:val="left"/>
        <w:rPr>
          <w:rFonts w:eastAsia="仿宋_GB2312"/>
          <w:kern w:val="0"/>
          <w:sz w:val="36"/>
          <w:szCs w:val="36"/>
          <w:highlight w:val="none"/>
        </w:rPr>
      </w:pPr>
      <w:r>
        <w:rPr>
          <w:rFonts w:eastAsia="仿宋_GB2312"/>
          <w:kern w:val="0"/>
          <w:sz w:val="36"/>
          <w:szCs w:val="36"/>
          <w:highlight w:val="none"/>
        </w:rPr>
        <w:t>项</w:t>
      </w:r>
      <w:r>
        <w:rPr>
          <w:rFonts w:hint="eastAsia" w:eastAsia="仿宋_GB2312"/>
          <w:kern w:val="0"/>
          <w:sz w:val="36"/>
          <w:szCs w:val="36"/>
          <w:highlight w:val="none"/>
          <w:lang w:val="en-US" w:eastAsia="zh-CN"/>
        </w:rPr>
        <w:t xml:space="preserve">   </w:t>
      </w:r>
      <w:r>
        <w:rPr>
          <w:rFonts w:eastAsia="仿宋_GB2312"/>
          <w:kern w:val="0"/>
          <w:sz w:val="36"/>
          <w:szCs w:val="36"/>
          <w:highlight w:val="none"/>
        </w:rPr>
        <w:t>目</w:t>
      </w:r>
      <w:r>
        <w:rPr>
          <w:rFonts w:hint="eastAsia" w:eastAsia="仿宋_GB2312"/>
          <w:kern w:val="0"/>
          <w:sz w:val="36"/>
          <w:szCs w:val="36"/>
          <w:highlight w:val="none"/>
          <w:lang w:val="en-US" w:eastAsia="zh-CN"/>
        </w:rPr>
        <w:t xml:space="preserve">   </w:t>
      </w:r>
      <w:r>
        <w:rPr>
          <w:rFonts w:eastAsia="仿宋_GB2312"/>
          <w:kern w:val="0"/>
          <w:sz w:val="36"/>
          <w:szCs w:val="36"/>
          <w:highlight w:val="none"/>
        </w:rPr>
        <w:t>名</w:t>
      </w:r>
      <w:r>
        <w:rPr>
          <w:rFonts w:hint="eastAsia" w:eastAsia="仿宋_GB2312"/>
          <w:kern w:val="0"/>
          <w:sz w:val="36"/>
          <w:szCs w:val="36"/>
          <w:highlight w:val="none"/>
          <w:lang w:val="en-US" w:eastAsia="zh-CN"/>
        </w:rPr>
        <w:t xml:space="preserve">  </w:t>
      </w:r>
      <w:r>
        <w:rPr>
          <w:rFonts w:eastAsia="仿宋_GB2312"/>
          <w:kern w:val="0"/>
          <w:sz w:val="36"/>
          <w:szCs w:val="36"/>
          <w:highlight w:val="none"/>
        </w:rPr>
        <w:t>称：</w:t>
      </w:r>
      <w:r>
        <w:rPr>
          <w:rFonts w:hint="eastAsia" w:eastAsia="仿宋_GB2312"/>
          <w:kern w:val="0"/>
          <w:sz w:val="36"/>
          <w:szCs w:val="36"/>
          <w:highlight w:val="none"/>
        </w:rPr>
        <w:t>医院政府采购项目</w:t>
      </w:r>
    </w:p>
    <w:p w14:paraId="0EEB7DFA">
      <w:pPr>
        <w:spacing w:line="700" w:lineRule="exact"/>
        <w:jc w:val="left"/>
        <w:rPr>
          <w:rFonts w:eastAsia="仿宋_GB2312"/>
          <w:kern w:val="0"/>
          <w:sz w:val="36"/>
          <w:szCs w:val="36"/>
          <w:highlight w:val="none"/>
        </w:rPr>
      </w:pPr>
      <w:r>
        <w:rPr>
          <w:rFonts w:eastAsia="仿宋_GB2312"/>
          <w:kern w:val="0"/>
          <w:sz w:val="36"/>
          <w:szCs w:val="36"/>
          <w:highlight w:val="none"/>
        </w:rPr>
        <w:t>实施单位（公章）：</w:t>
      </w:r>
      <w:r>
        <w:rPr>
          <w:rFonts w:hint="eastAsia" w:eastAsia="仿宋_GB2312"/>
          <w:kern w:val="0"/>
          <w:sz w:val="36"/>
          <w:szCs w:val="36"/>
          <w:highlight w:val="none"/>
        </w:rPr>
        <w:t>新疆医科大学第一附属医院</w:t>
      </w:r>
    </w:p>
    <w:p w14:paraId="2FA87217">
      <w:pPr>
        <w:spacing w:line="700" w:lineRule="exact"/>
        <w:jc w:val="left"/>
        <w:rPr>
          <w:rFonts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lang w:val="en-US" w:eastAsia="zh-CN"/>
        </w:rPr>
        <w:t>新疆维吾尔自治区卫生健康委员会</w:t>
      </w:r>
    </w:p>
    <w:p w14:paraId="240E26BC">
      <w:pPr>
        <w:spacing w:line="700" w:lineRule="exact"/>
        <w:jc w:val="left"/>
        <w:rPr>
          <w:rFonts w:eastAsia="仿宋_GB2312"/>
          <w:kern w:val="0"/>
          <w:sz w:val="36"/>
          <w:szCs w:val="36"/>
          <w:highlight w:val="none"/>
        </w:rPr>
      </w:pPr>
      <w:r>
        <w:rPr>
          <w:rFonts w:eastAsia="仿宋_GB2312"/>
          <w:kern w:val="0"/>
          <w:sz w:val="36"/>
          <w:szCs w:val="36"/>
          <w:highlight w:val="none"/>
        </w:rPr>
        <w:t>项目负责人（签章）：鲁晓擘</w:t>
      </w:r>
    </w:p>
    <w:p w14:paraId="4B9DA259">
      <w:pPr>
        <w:spacing w:line="700" w:lineRule="exact"/>
        <w:jc w:val="left"/>
        <w:rPr>
          <w:rFonts w:eastAsia="仿宋_GB2312"/>
          <w:kern w:val="0"/>
          <w:sz w:val="36"/>
          <w:szCs w:val="36"/>
          <w:highlight w:val="none"/>
        </w:rPr>
      </w:pPr>
      <w:r>
        <w:rPr>
          <w:rFonts w:eastAsia="仿宋_GB2312"/>
          <w:kern w:val="0"/>
          <w:sz w:val="36"/>
          <w:szCs w:val="36"/>
          <w:highlight w:val="none"/>
        </w:rPr>
        <w:t>填</w:t>
      </w:r>
      <w:r>
        <w:rPr>
          <w:rFonts w:hint="eastAsia" w:eastAsia="仿宋_GB2312"/>
          <w:kern w:val="0"/>
          <w:sz w:val="36"/>
          <w:szCs w:val="36"/>
          <w:highlight w:val="none"/>
          <w:lang w:val="en-US" w:eastAsia="zh-CN"/>
        </w:rPr>
        <w:t xml:space="preserve">   </w:t>
      </w:r>
      <w:r>
        <w:rPr>
          <w:rFonts w:eastAsia="仿宋_GB2312"/>
          <w:kern w:val="0"/>
          <w:sz w:val="36"/>
          <w:szCs w:val="36"/>
          <w:highlight w:val="none"/>
        </w:rPr>
        <w:t>报</w:t>
      </w:r>
      <w:r>
        <w:rPr>
          <w:rFonts w:hint="eastAsia" w:eastAsia="仿宋_GB2312"/>
          <w:kern w:val="0"/>
          <w:sz w:val="36"/>
          <w:szCs w:val="36"/>
          <w:highlight w:val="none"/>
          <w:lang w:val="en-US" w:eastAsia="zh-CN"/>
        </w:rPr>
        <w:t xml:space="preserve">   </w:t>
      </w:r>
      <w:r>
        <w:rPr>
          <w:rFonts w:eastAsia="仿宋_GB2312"/>
          <w:kern w:val="0"/>
          <w:sz w:val="36"/>
          <w:szCs w:val="36"/>
          <w:highlight w:val="none"/>
        </w:rPr>
        <w:t>时</w:t>
      </w:r>
      <w:r>
        <w:rPr>
          <w:rFonts w:hint="eastAsia" w:eastAsia="仿宋_GB2312"/>
          <w:kern w:val="0"/>
          <w:sz w:val="36"/>
          <w:szCs w:val="36"/>
          <w:highlight w:val="none"/>
          <w:lang w:val="en-US" w:eastAsia="zh-CN"/>
        </w:rPr>
        <w:t xml:space="preserve">  </w:t>
      </w:r>
      <w:r>
        <w:rPr>
          <w:rFonts w:eastAsia="仿宋_GB2312"/>
          <w:kern w:val="0"/>
          <w:sz w:val="36"/>
          <w:szCs w:val="36"/>
          <w:highlight w:val="none"/>
        </w:rPr>
        <w:t>间：</w:t>
      </w:r>
      <w:r>
        <w:rPr>
          <w:rFonts w:hint="eastAsia" w:eastAsia="仿宋_GB2312"/>
          <w:kern w:val="0"/>
          <w:sz w:val="36"/>
          <w:szCs w:val="36"/>
          <w:highlight w:val="none"/>
        </w:rPr>
        <w:t>2024年3月10日</w:t>
      </w:r>
    </w:p>
    <w:p w14:paraId="768D9B70">
      <w:pPr>
        <w:spacing w:line="540" w:lineRule="exact"/>
        <w:jc w:val="center"/>
        <w:rPr>
          <w:rFonts w:eastAsia="仿宋_GB2312"/>
          <w:kern w:val="0"/>
          <w:sz w:val="30"/>
          <w:szCs w:val="30"/>
          <w:highlight w:val="none"/>
        </w:rPr>
      </w:pPr>
    </w:p>
    <w:p w14:paraId="27D0AC63">
      <w:pPr>
        <w:spacing w:line="540" w:lineRule="exact"/>
        <w:rPr>
          <w:rStyle w:val="15"/>
          <w:rFonts w:eastAsia="黑体"/>
          <w:b w:val="0"/>
          <w:spacing w:val="-4"/>
          <w:sz w:val="32"/>
          <w:szCs w:val="32"/>
          <w:highlight w:val="none"/>
        </w:rPr>
      </w:pPr>
    </w:p>
    <w:p w14:paraId="7BC6437B">
      <w:pPr>
        <w:spacing w:line="540" w:lineRule="exact"/>
        <w:rPr>
          <w:rStyle w:val="15"/>
          <w:rFonts w:eastAsia="黑体"/>
          <w:b w:val="0"/>
          <w:spacing w:val="-4"/>
          <w:sz w:val="32"/>
          <w:szCs w:val="32"/>
          <w:highlight w:val="none"/>
        </w:rPr>
      </w:pPr>
      <w:bookmarkStart w:id="7" w:name="_GoBack"/>
      <w:bookmarkEnd w:id="7"/>
    </w:p>
    <w:p w14:paraId="14DBE4B4">
      <w:pPr>
        <w:pStyle w:val="18"/>
        <w:rPr>
          <w:highlight w:val="none"/>
        </w:rPr>
      </w:pPr>
      <w:r>
        <w:rPr>
          <w:highlight w:val="none"/>
        </w:rPr>
        <w:t>一、基本情况</w:t>
      </w:r>
    </w:p>
    <w:p w14:paraId="29040F72">
      <w:pPr>
        <w:pStyle w:val="19"/>
        <w:ind w:firstLine="643"/>
        <w:rPr>
          <w:highlight w:val="none"/>
        </w:rPr>
      </w:pPr>
      <w:r>
        <w:rPr>
          <w:highlight w:val="none"/>
        </w:rPr>
        <w:t>（一）项目概况</w:t>
      </w:r>
    </w:p>
    <w:p w14:paraId="6B98CFA0">
      <w:pPr>
        <w:pStyle w:val="20"/>
        <w:ind w:firstLine="643"/>
        <w:rPr>
          <w:highlight w:val="none"/>
        </w:rPr>
      </w:pPr>
      <w:r>
        <w:rPr>
          <w:highlight w:val="none"/>
        </w:rPr>
        <w:t>1、项目背景</w:t>
      </w:r>
    </w:p>
    <w:p w14:paraId="6FC95936">
      <w:pPr>
        <w:pStyle w:val="17"/>
        <w:ind w:firstLine="640"/>
        <w:rPr>
          <w:rFonts w:hint="default"/>
          <w:highlight w:val="none"/>
        </w:rPr>
      </w:pPr>
      <w:r>
        <w:rPr>
          <w:highlight w:val="none"/>
        </w:rPr>
        <w:t>新疆医科大学第一附属医院是三级甲等综合医院，是自治区重点医疗中心，是西部领先、辐射中亚的区域医疗中心。1956年建院以来，在自治区党委、人民政府的关心支持下，在国家和自治区卫生主管部门的指导下，医院不断发展壮大。</w:t>
      </w:r>
      <w:r>
        <w:rPr>
          <w:rFonts w:hint="eastAsia"/>
          <w:highlight w:val="none"/>
          <w:lang w:eastAsia="zh-CN"/>
        </w:rPr>
        <w:t>进一步提高</w:t>
      </w:r>
      <w:r>
        <w:rPr>
          <w:highlight w:val="none"/>
        </w:rPr>
        <w:t>诊疗能力、科研教学能力，服务能力，优化基础设备设施，提升患者就医环境，现需进行政府采购。</w:t>
      </w:r>
    </w:p>
    <w:p w14:paraId="3D6D4367">
      <w:pPr>
        <w:pStyle w:val="17"/>
        <w:ind w:firstLine="640"/>
        <w:rPr>
          <w:rFonts w:hint="default"/>
          <w:highlight w:val="none"/>
        </w:rPr>
      </w:pPr>
      <w:r>
        <w:rPr>
          <w:highlight w:val="none"/>
        </w:rPr>
        <w:t>医院成立了政府采购工作领导小组，全面领导医院招标采购管理工作，不断提高政府采购工作效率，发挥采购人的主体责任，审议了年度政府采购预算，做好政府采购工作。</w:t>
      </w:r>
    </w:p>
    <w:p w14:paraId="34DA9EBC">
      <w:pPr>
        <w:pStyle w:val="17"/>
        <w:ind w:firstLine="640"/>
        <w:rPr>
          <w:rFonts w:hint="default"/>
          <w:highlight w:val="none"/>
        </w:rPr>
      </w:pPr>
      <w:r>
        <w:rPr>
          <w:highlight w:val="none"/>
        </w:rPr>
        <w:t>医院政府采购工作涉及购置全院各种货物（医疗设备、试剂耗材、普通货物等）、服务（安全保障服务、信息保障服务等）、工程（楼宇建设、装修修缮等），为提高医院经营质量，提升医院综合竞争力，满足新疆人民群众日益增长的医疗需求提供了坚实的基础保障。</w:t>
      </w:r>
    </w:p>
    <w:p w14:paraId="7BBA0E7C">
      <w:pPr>
        <w:pStyle w:val="17"/>
        <w:ind w:firstLine="640"/>
        <w:rPr>
          <w:rFonts w:hint="default"/>
          <w:highlight w:val="none"/>
        </w:rPr>
      </w:pPr>
      <w:r>
        <w:rPr>
          <w:highlight w:val="none"/>
        </w:rPr>
        <w:t>2023年进行的主要项目有：</w:t>
      </w:r>
    </w:p>
    <w:p w14:paraId="46CC13DC">
      <w:pPr>
        <w:pStyle w:val="17"/>
        <w:ind w:firstLine="640"/>
        <w:rPr>
          <w:rFonts w:hint="default"/>
          <w:highlight w:val="none"/>
        </w:rPr>
      </w:pPr>
      <w:r>
        <w:rPr>
          <w:highlight w:val="none"/>
        </w:rPr>
        <w:t>工程类：急救创伤中心改造项目、第二办公楼改造项目、中心开闭所扩建改造项目、第二综合实验楼负二层、7-10层改造项目、2023年室内外防水、一住15楼、二住14楼餐厅改造项目等25项。</w:t>
      </w:r>
    </w:p>
    <w:p w14:paraId="296FC7E5">
      <w:pPr>
        <w:pStyle w:val="17"/>
        <w:ind w:firstLine="640"/>
        <w:rPr>
          <w:rFonts w:hint="default"/>
          <w:highlight w:val="none"/>
        </w:rPr>
      </w:pPr>
      <w:r>
        <w:rPr>
          <w:highlight w:val="none"/>
        </w:rPr>
        <w:t>货物类：主要是新型医疗设备采购。患者需求不断增长，救治疾病谱也在不断变化，需要引进先进的医疗设备以满足日益增长和多样化的诊疗需求，同时为实现医疗资源的合理配置，需定期评估和更新设备配置，淘汰老旧设备，购置高效、节能的新一代设备。</w:t>
      </w:r>
    </w:p>
    <w:p w14:paraId="0BAFA54A">
      <w:pPr>
        <w:pStyle w:val="17"/>
        <w:ind w:firstLine="640"/>
        <w:rPr>
          <w:rFonts w:hint="default"/>
          <w:highlight w:val="none"/>
        </w:rPr>
      </w:pPr>
      <w:r>
        <w:rPr>
          <w:highlight w:val="none"/>
        </w:rPr>
        <w:t>服务类：主要是安保服务项目，完善我院“三防”建设，推进规范化医院警务室和安保队伍建设，深入开展“等级医院”建设，推动我院安全管理的规范化、科学化，增强实效性，确保医院安防工作的平安稳定。</w:t>
      </w:r>
    </w:p>
    <w:p w14:paraId="5B649999">
      <w:pPr>
        <w:pStyle w:val="17"/>
        <w:ind w:firstLine="640"/>
        <w:rPr>
          <w:rFonts w:hint="default"/>
          <w:highlight w:val="none"/>
        </w:rPr>
      </w:pPr>
      <w:r>
        <w:rPr>
          <w:highlight w:val="none"/>
        </w:rPr>
        <w:t>医院政府采购是一项政策性强、操作流程严、涉及部门多的工作。自治区财政厅要求政府采购工作执行全流程管理，涉及医院各相关部门（如财务部、设备与信息管理部、后勤等归口管理部门）。政府采购从开始到结束大致有16步骤，具体各步骤涉及</w:t>
      </w:r>
      <w:r>
        <w:rPr>
          <w:rFonts w:hint="eastAsia"/>
          <w:highlight w:val="none"/>
          <w:lang w:eastAsia="zh-CN"/>
        </w:rPr>
        <w:t>部门如下</w:t>
      </w:r>
      <w:r>
        <w:rPr>
          <w:highlight w:val="none"/>
        </w:rPr>
        <w:t>表：</w:t>
      </w:r>
    </w:p>
    <w:tbl>
      <w:tblPr>
        <w:tblStyle w:val="13"/>
        <w:tblW w:w="5000" w:type="pct"/>
        <w:tblInd w:w="0" w:type="dxa"/>
        <w:tblLayout w:type="autofit"/>
        <w:tblCellMar>
          <w:top w:w="0" w:type="dxa"/>
          <w:left w:w="108" w:type="dxa"/>
          <w:bottom w:w="0" w:type="dxa"/>
          <w:right w:w="108" w:type="dxa"/>
        </w:tblCellMar>
      </w:tblPr>
      <w:tblGrid>
        <w:gridCol w:w="547"/>
        <w:gridCol w:w="1532"/>
        <w:gridCol w:w="2849"/>
        <w:gridCol w:w="3836"/>
      </w:tblGrid>
      <w:tr w14:paraId="4470BA6F">
        <w:tblPrEx>
          <w:tblCellMar>
            <w:top w:w="0" w:type="dxa"/>
            <w:left w:w="108" w:type="dxa"/>
            <w:bottom w:w="0" w:type="dxa"/>
            <w:right w:w="108" w:type="dxa"/>
          </w:tblCellMar>
        </w:tblPrEx>
        <w:trPr>
          <w:trHeight w:val="270" w:hRule="atLeast"/>
        </w:trPr>
        <w:tc>
          <w:tcPr>
            <w:tcW w:w="3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76716FE">
            <w:pPr>
              <w:widowControl/>
              <w:jc w:val="center"/>
              <w:rPr>
                <w:b/>
                <w:highlight w:val="none"/>
              </w:rPr>
            </w:pPr>
            <w:r>
              <w:rPr>
                <w:rFonts w:hint="eastAsia"/>
                <w:b/>
                <w:highlight w:val="none"/>
              </w:rPr>
              <w:t>序号</w:t>
            </w:r>
          </w:p>
        </w:tc>
        <w:tc>
          <w:tcPr>
            <w:tcW w:w="874" w:type="pct"/>
            <w:tcBorders>
              <w:top w:val="single" w:color="auto" w:sz="4" w:space="0"/>
              <w:left w:val="nil"/>
              <w:bottom w:val="single" w:color="auto" w:sz="4" w:space="0"/>
              <w:right w:val="single" w:color="auto" w:sz="4" w:space="0"/>
            </w:tcBorders>
            <w:shd w:val="clear" w:color="auto" w:fill="auto"/>
            <w:noWrap/>
            <w:vAlign w:val="center"/>
          </w:tcPr>
          <w:p w14:paraId="60A92F5E">
            <w:pPr>
              <w:widowControl/>
              <w:jc w:val="center"/>
              <w:rPr>
                <w:b/>
                <w:highlight w:val="none"/>
              </w:rPr>
            </w:pPr>
            <w:r>
              <w:rPr>
                <w:rFonts w:hint="eastAsia"/>
                <w:b/>
                <w:highlight w:val="none"/>
              </w:rPr>
              <w:t>政府采购步骤</w:t>
            </w:r>
          </w:p>
        </w:tc>
        <w:tc>
          <w:tcPr>
            <w:tcW w:w="1625" w:type="pct"/>
            <w:tcBorders>
              <w:top w:val="single" w:color="auto" w:sz="4" w:space="0"/>
              <w:left w:val="nil"/>
              <w:bottom w:val="single" w:color="auto" w:sz="4" w:space="0"/>
              <w:right w:val="single" w:color="auto" w:sz="4" w:space="0"/>
            </w:tcBorders>
            <w:shd w:val="clear" w:color="auto" w:fill="auto"/>
            <w:noWrap/>
            <w:vAlign w:val="center"/>
          </w:tcPr>
          <w:p w14:paraId="2BBF9E70">
            <w:pPr>
              <w:widowControl/>
              <w:jc w:val="center"/>
              <w:rPr>
                <w:b/>
                <w:highlight w:val="none"/>
              </w:rPr>
            </w:pPr>
            <w:r>
              <w:rPr>
                <w:rFonts w:hint="eastAsia"/>
                <w:b/>
                <w:highlight w:val="none"/>
              </w:rPr>
              <w:t>负责部门</w:t>
            </w:r>
          </w:p>
        </w:tc>
        <w:tc>
          <w:tcPr>
            <w:tcW w:w="2188" w:type="pct"/>
            <w:tcBorders>
              <w:top w:val="single" w:color="auto" w:sz="4" w:space="0"/>
              <w:left w:val="nil"/>
              <w:bottom w:val="single" w:color="auto" w:sz="4" w:space="0"/>
              <w:right w:val="single" w:color="auto" w:sz="4" w:space="0"/>
            </w:tcBorders>
            <w:shd w:val="clear" w:color="auto" w:fill="auto"/>
            <w:noWrap/>
            <w:vAlign w:val="center"/>
          </w:tcPr>
          <w:p w14:paraId="1104B976">
            <w:pPr>
              <w:widowControl/>
              <w:jc w:val="center"/>
              <w:rPr>
                <w:b/>
                <w:highlight w:val="none"/>
              </w:rPr>
            </w:pPr>
            <w:r>
              <w:rPr>
                <w:rFonts w:hint="eastAsia"/>
                <w:b/>
                <w:highlight w:val="none"/>
              </w:rPr>
              <w:t>目前协作部门</w:t>
            </w:r>
          </w:p>
        </w:tc>
      </w:tr>
      <w:tr w14:paraId="213A9E57">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415257F7">
            <w:pPr>
              <w:widowControl/>
              <w:jc w:val="center"/>
              <w:rPr>
                <w:highlight w:val="none"/>
              </w:rPr>
            </w:pPr>
            <w:r>
              <w:rPr>
                <w:rFonts w:hint="eastAsia"/>
                <w:highlight w:val="none"/>
              </w:rPr>
              <w:t>1</w:t>
            </w:r>
          </w:p>
        </w:tc>
        <w:tc>
          <w:tcPr>
            <w:tcW w:w="874" w:type="pct"/>
            <w:tcBorders>
              <w:top w:val="nil"/>
              <w:left w:val="nil"/>
              <w:bottom w:val="single" w:color="auto" w:sz="4" w:space="0"/>
              <w:right w:val="single" w:color="auto" w:sz="4" w:space="0"/>
            </w:tcBorders>
            <w:shd w:val="clear" w:color="auto" w:fill="auto"/>
            <w:noWrap/>
            <w:vAlign w:val="center"/>
          </w:tcPr>
          <w:p w14:paraId="1C80CDF7">
            <w:pPr>
              <w:widowControl/>
              <w:jc w:val="center"/>
              <w:rPr>
                <w:highlight w:val="none"/>
              </w:rPr>
            </w:pPr>
            <w:r>
              <w:rPr>
                <w:rFonts w:hint="eastAsia"/>
                <w:highlight w:val="none"/>
              </w:rPr>
              <w:t>采购预算的 编制</w:t>
            </w:r>
          </w:p>
        </w:tc>
        <w:tc>
          <w:tcPr>
            <w:tcW w:w="1625" w:type="pct"/>
            <w:tcBorders>
              <w:top w:val="nil"/>
              <w:left w:val="nil"/>
              <w:bottom w:val="single" w:color="auto" w:sz="4" w:space="0"/>
              <w:right w:val="single" w:color="auto" w:sz="4" w:space="0"/>
            </w:tcBorders>
            <w:shd w:val="clear" w:color="auto" w:fill="auto"/>
            <w:noWrap/>
            <w:vAlign w:val="center"/>
          </w:tcPr>
          <w:p w14:paraId="7584BFB5">
            <w:pPr>
              <w:widowControl/>
              <w:jc w:val="center"/>
              <w:rPr>
                <w:highlight w:val="none"/>
              </w:rPr>
            </w:pPr>
            <w:r>
              <w:rPr>
                <w:highlight w:val="none"/>
              </w:rPr>
              <w:t>财务部</w:t>
            </w:r>
          </w:p>
        </w:tc>
        <w:tc>
          <w:tcPr>
            <w:tcW w:w="2188" w:type="pct"/>
            <w:tcBorders>
              <w:top w:val="nil"/>
              <w:left w:val="nil"/>
              <w:bottom w:val="single" w:color="auto" w:sz="4" w:space="0"/>
              <w:right w:val="single" w:color="auto" w:sz="4" w:space="0"/>
            </w:tcBorders>
            <w:shd w:val="clear" w:color="auto" w:fill="auto"/>
            <w:noWrap/>
            <w:vAlign w:val="center"/>
          </w:tcPr>
          <w:p w14:paraId="62A32904">
            <w:pPr>
              <w:widowControl/>
              <w:jc w:val="center"/>
              <w:rPr>
                <w:highlight w:val="none"/>
              </w:rPr>
            </w:pPr>
            <w:r>
              <w:rPr>
                <w:rFonts w:hint="eastAsia"/>
                <w:highlight w:val="none"/>
              </w:rPr>
              <w:t>运营管理部、设备与信息管理部及各归口管理部门</w:t>
            </w:r>
          </w:p>
        </w:tc>
      </w:tr>
      <w:tr w14:paraId="390FD742">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5CF350DC">
            <w:pPr>
              <w:widowControl/>
              <w:jc w:val="center"/>
              <w:rPr>
                <w:highlight w:val="none"/>
              </w:rPr>
            </w:pPr>
            <w:r>
              <w:rPr>
                <w:rFonts w:hint="eastAsia"/>
                <w:highlight w:val="none"/>
              </w:rPr>
              <w:t>2</w:t>
            </w:r>
          </w:p>
        </w:tc>
        <w:tc>
          <w:tcPr>
            <w:tcW w:w="874" w:type="pct"/>
            <w:tcBorders>
              <w:top w:val="nil"/>
              <w:left w:val="nil"/>
              <w:bottom w:val="single" w:color="auto" w:sz="4" w:space="0"/>
              <w:right w:val="single" w:color="auto" w:sz="4" w:space="0"/>
            </w:tcBorders>
            <w:shd w:val="clear" w:color="auto" w:fill="auto"/>
            <w:noWrap/>
            <w:vAlign w:val="center"/>
          </w:tcPr>
          <w:p w14:paraId="23918EE3">
            <w:pPr>
              <w:widowControl/>
              <w:jc w:val="center"/>
              <w:rPr>
                <w:highlight w:val="none"/>
              </w:rPr>
            </w:pPr>
            <w:r>
              <w:rPr>
                <w:rFonts w:hint="eastAsia"/>
                <w:highlight w:val="none"/>
              </w:rPr>
              <w:t>确定采购需求</w:t>
            </w:r>
          </w:p>
        </w:tc>
        <w:tc>
          <w:tcPr>
            <w:tcW w:w="1625" w:type="pct"/>
            <w:tcBorders>
              <w:top w:val="nil"/>
              <w:left w:val="nil"/>
              <w:bottom w:val="single" w:color="auto" w:sz="4" w:space="0"/>
              <w:right w:val="single" w:color="auto" w:sz="4" w:space="0"/>
            </w:tcBorders>
            <w:shd w:val="clear" w:color="auto" w:fill="auto"/>
            <w:noWrap/>
            <w:vAlign w:val="center"/>
          </w:tcPr>
          <w:p w14:paraId="47337860">
            <w:pPr>
              <w:widowControl/>
              <w:jc w:val="center"/>
              <w:rPr>
                <w:highlight w:val="none"/>
              </w:rPr>
            </w:pPr>
            <w:r>
              <w:rPr>
                <w:rFonts w:hint="eastAsia"/>
                <w:highlight w:val="none"/>
              </w:rPr>
              <w:t>设备与信息管理部</w:t>
            </w:r>
          </w:p>
          <w:p w14:paraId="240AA07A">
            <w:pPr>
              <w:widowControl/>
              <w:jc w:val="center"/>
              <w:rPr>
                <w:highlight w:val="none"/>
              </w:rPr>
            </w:pPr>
            <w:r>
              <w:rPr>
                <w:rFonts w:hint="eastAsia"/>
                <w:highlight w:val="none"/>
              </w:rPr>
              <w:t>各归口管理部门</w:t>
            </w:r>
          </w:p>
        </w:tc>
        <w:tc>
          <w:tcPr>
            <w:tcW w:w="2188" w:type="pct"/>
            <w:tcBorders>
              <w:top w:val="nil"/>
              <w:left w:val="nil"/>
              <w:bottom w:val="single" w:color="auto" w:sz="4" w:space="0"/>
              <w:right w:val="single" w:color="auto" w:sz="4" w:space="0"/>
            </w:tcBorders>
            <w:shd w:val="clear" w:color="auto" w:fill="auto"/>
            <w:noWrap/>
            <w:vAlign w:val="center"/>
          </w:tcPr>
          <w:p w14:paraId="3ABA7525">
            <w:pPr>
              <w:widowControl/>
              <w:jc w:val="center"/>
              <w:rPr>
                <w:highlight w:val="none"/>
              </w:rPr>
            </w:pPr>
            <w:r>
              <w:rPr>
                <w:rFonts w:hint="eastAsia"/>
                <w:highlight w:val="none"/>
              </w:rPr>
              <w:t>各临床医技、行政科室</w:t>
            </w:r>
          </w:p>
        </w:tc>
      </w:tr>
      <w:tr w14:paraId="1195570E">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2C942545">
            <w:pPr>
              <w:widowControl/>
              <w:jc w:val="center"/>
              <w:rPr>
                <w:highlight w:val="none"/>
              </w:rPr>
            </w:pPr>
            <w:r>
              <w:rPr>
                <w:rFonts w:hint="eastAsia"/>
                <w:highlight w:val="none"/>
              </w:rPr>
              <w:t>3</w:t>
            </w:r>
          </w:p>
        </w:tc>
        <w:tc>
          <w:tcPr>
            <w:tcW w:w="874" w:type="pct"/>
            <w:tcBorders>
              <w:top w:val="nil"/>
              <w:left w:val="nil"/>
              <w:bottom w:val="single" w:color="auto" w:sz="4" w:space="0"/>
              <w:right w:val="single" w:color="auto" w:sz="4" w:space="0"/>
            </w:tcBorders>
            <w:shd w:val="clear" w:color="auto" w:fill="auto"/>
            <w:noWrap/>
            <w:vAlign w:val="center"/>
          </w:tcPr>
          <w:p w14:paraId="1EF1E1DD">
            <w:pPr>
              <w:widowControl/>
              <w:jc w:val="center"/>
              <w:rPr>
                <w:highlight w:val="none"/>
              </w:rPr>
            </w:pPr>
            <w:r>
              <w:rPr>
                <w:rFonts w:hint="eastAsia"/>
                <w:highlight w:val="none"/>
              </w:rPr>
              <w:t>编制采购实施计划</w:t>
            </w:r>
          </w:p>
        </w:tc>
        <w:tc>
          <w:tcPr>
            <w:tcW w:w="1625" w:type="pct"/>
            <w:tcBorders>
              <w:top w:val="nil"/>
              <w:left w:val="nil"/>
              <w:bottom w:val="single" w:color="auto" w:sz="4" w:space="0"/>
              <w:right w:val="single" w:color="auto" w:sz="4" w:space="0"/>
            </w:tcBorders>
            <w:shd w:val="clear" w:color="auto" w:fill="auto"/>
            <w:noWrap/>
            <w:vAlign w:val="center"/>
          </w:tcPr>
          <w:p w14:paraId="2C7A28C6">
            <w:pPr>
              <w:widowControl/>
              <w:jc w:val="center"/>
              <w:rPr>
                <w:highlight w:val="none"/>
              </w:rPr>
            </w:pPr>
            <w:r>
              <w:rPr>
                <w:rFonts w:hint="eastAsia"/>
                <w:highlight w:val="none"/>
              </w:rPr>
              <w:t>设备与信息管理部</w:t>
            </w:r>
          </w:p>
          <w:p w14:paraId="5CCB9648">
            <w:pPr>
              <w:widowControl/>
              <w:jc w:val="center"/>
              <w:rPr>
                <w:highlight w:val="none"/>
              </w:rPr>
            </w:pPr>
            <w:r>
              <w:rPr>
                <w:rFonts w:hint="eastAsia"/>
                <w:highlight w:val="none"/>
              </w:rPr>
              <w:t>各归口管理部门</w:t>
            </w:r>
          </w:p>
        </w:tc>
        <w:tc>
          <w:tcPr>
            <w:tcW w:w="2188" w:type="pct"/>
            <w:tcBorders>
              <w:top w:val="nil"/>
              <w:left w:val="nil"/>
              <w:bottom w:val="single" w:color="auto" w:sz="4" w:space="0"/>
              <w:right w:val="single" w:color="auto" w:sz="4" w:space="0"/>
            </w:tcBorders>
            <w:shd w:val="clear" w:color="auto" w:fill="auto"/>
            <w:noWrap/>
            <w:vAlign w:val="center"/>
          </w:tcPr>
          <w:p w14:paraId="7C3F0D31">
            <w:pPr>
              <w:widowControl/>
              <w:jc w:val="center"/>
              <w:rPr>
                <w:highlight w:val="none"/>
              </w:rPr>
            </w:pPr>
            <w:r>
              <w:rPr>
                <w:rFonts w:hint="eastAsia"/>
                <w:highlight w:val="none"/>
              </w:rPr>
              <w:t>各临床医技、行政科室</w:t>
            </w:r>
          </w:p>
        </w:tc>
      </w:tr>
      <w:tr w14:paraId="34934F10">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4E635EDC">
            <w:pPr>
              <w:widowControl/>
              <w:jc w:val="center"/>
              <w:rPr>
                <w:highlight w:val="none"/>
              </w:rPr>
            </w:pPr>
            <w:r>
              <w:rPr>
                <w:rFonts w:hint="eastAsia"/>
                <w:highlight w:val="none"/>
              </w:rPr>
              <w:t>4</w:t>
            </w:r>
          </w:p>
        </w:tc>
        <w:tc>
          <w:tcPr>
            <w:tcW w:w="874" w:type="pct"/>
            <w:tcBorders>
              <w:top w:val="nil"/>
              <w:left w:val="nil"/>
              <w:bottom w:val="single" w:color="auto" w:sz="4" w:space="0"/>
              <w:right w:val="single" w:color="auto" w:sz="4" w:space="0"/>
            </w:tcBorders>
            <w:shd w:val="clear" w:color="auto" w:fill="auto"/>
            <w:noWrap/>
            <w:vAlign w:val="center"/>
          </w:tcPr>
          <w:p w14:paraId="070E5E66">
            <w:pPr>
              <w:widowControl/>
              <w:jc w:val="center"/>
              <w:rPr>
                <w:highlight w:val="none"/>
              </w:rPr>
            </w:pPr>
            <w:r>
              <w:rPr>
                <w:rFonts w:hint="eastAsia"/>
                <w:highlight w:val="none"/>
              </w:rPr>
              <w:t>风险控制</w:t>
            </w:r>
          </w:p>
        </w:tc>
        <w:tc>
          <w:tcPr>
            <w:tcW w:w="1625" w:type="pct"/>
            <w:tcBorders>
              <w:top w:val="nil"/>
              <w:left w:val="nil"/>
              <w:bottom w:val="single" w:color="auto" w:sz="4" w:space="0"/>
              <w:right w:val="single" w:color="auto" w:sz="4" w:space="0"/>
            </w:tcBorders>
            <w:shd w:val="clear" w:color="auto" w:fill="auto"/>
            <w:noWrap/>
            <w:vAlign w:val="center"/>
          </w:tcPr>
          <w:p w14:paraId="395364A4">
            <w:pPr>
              <w:widowControl/>
              <w:jc w:val="center"/>
              <w:rPr>
                <w:highlight w:val="none"/>
              </w:rPr>
            </w:pPr>
            <w:r>
              <w:rPr>
                <w:rFonts w:hint="eastAsia"/>
                <w:highlight w:val="none"/>
              </w:rPr>
              <w:t>设备与信息管理部</w:t>
            </w:r>
          </w:p>
          <w:p w14:paraId="7804BE94">
            <w:pPr>
              <w:widowControl/>
              <w:jc w:val="center"/>
              <w:rPr>
                <w:highlight w:val="none"/>
              </w:rPr>
            </w:pPr>
            <w:r>
              <w:rPr>
                <w:rFonts w:hint="eastAsia"/>
                <w:highlight w:val="none"/>
              </w:rPr>
              <w:t>各归口管理部门</w:t>
            </w:r>
          </w:p>
        </w:tc>
        <w:tc>
          <w:tcPr>
            <w:tcW w:w="2188" w:type="pct"/>
            <w:tcBorders>
              <w:top w:val="nil"/>
              <w:left w:val="nil"/>
              <w:bottom w:val="single" w:color="auto" w:sz="4" w:space="0"/>
              <w:right w:val="single" w:color="auto" w:sz="4" w:space="0"/>
            </w:tcBorders>
            <w:shd w:val="clear" w:color="auto" w:fill="auto"/>
            <w:noWrap/>
            <w:vAlign w:val="center"/>
          </w:tcPr>
          <w:p w14:paraId="60FECDAC">
            <w:pPr>
              <w:widowControl/>
              <w:jc w:val="center"/>
              <w:rPr>
                <w:highlight w:val="none"/>
              </w:rPr>
            </w:pPr>
            <w:r>
              <w:rPr>
                <w:rFonts w:hint="eastAsia"/>
                <w:highlight w:val="none"/>
              </w:rPr>
              <w:t>纪检监察审计部</w:t>
            </w:r>
          </w:p>
        </w:tc>
      </w:tr>
      <w:tr w14:paraId="40A39CED">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44526786">
            <w:pPr>
              <w:widowControl/>
              <w:jc w:val="center"/>
              <w:rPr>
                <w:highlight w:val="none"/>
              </w:rPr>
            </w:pPr>
            <w:r>
              <w:rPr>
                <w:rFonts w:hint="eastAsia"/>
                <w:highlight w:val="none"/>
              </w:rPr>
              <w:t>5</w:t>
            </w:r>
          </w:p>
        </w:tc>
        <w:tc>
          <w:tcPr>
            <w:tcW w:w="874" w:type="pct"/>
            <w:tcBorders>
              <w:top w:val="nil"/>
              <w:left w:val="nil"/>
              <w:bottom w:val="single" w:color="auto" w:sz="4" w:space="0"/>
              <w:right w:val="single" w:color="auto" w:sz="4" w:space="0"/>
            </w:tcBorders>
            <w:shd w:val="clear" w:color="auto" w:fill="auto"/>
            <w:noWrap/>
            <w:vAlign w:val="center"/>
          </w:tcPr>
          <w:p w14:paraId="1B2627CA">
            <w:pPr>
              <w:widowControl/>
              <w:jc w:val="center"/>
              <w:rPr>
                <w:highlight w:val="none"/>
              </w:rPr>
            </w:pPr>
            <w:r>
              <w:rPr>
                <w:rFonts w:hint="eastAsia"/>
                <w:highlight w:val="none"/>
              </w:rPr>
              <w:t>采购意向公开</w:t>
            </w:r>
          </w:p>
        </w:tc>
        <w:tc>
          <w:tcPr>
            <w:tcW w:w="1625" w:type="pct"/>
            <w:tcBorders>
              <w:top w:val="nil"/>
              <w:left w:val="nil"/>
              <w:bottom w:val="single" w:color="auto" w:sz="4" w:space="0"/>
              <w:right w:val="single" w:color="auto" w:sz="4" w:space="0"/>
            </w:tcBorders>
            <w:shd w:val="clear" w:color="auto" w:fill="auto"/>
            <w:noWrap/>
            <w:vAlign w:val="center"/>
          </w:tcPr>
          <w:p w14:paraId="603E9BFA">
            <w:pPr>
              <w:widowControl/>
              <w:jc w:val="center"/>
              <w:rPr>
                <w:highlight w:val="none"/>
              </w:rPr>
            </w:pPr>
            <w:r>
              <w:rPr>
                <w:rFonts w:hint="eastAsia"/>
                <w:highlight w:val="none"/>
              </w:rPr>
              <w:t>运营管理部</w:t>
            </w:r>
          </w:p>
        </w:tc>
        <w:tc>
          <w:tcPr>
            <w:tcW w:w="2188" w:type="pct"/>
            <w:tcBorders>
              <w:top w:val="nil"/>
              <w:left w:val="nil"/>
              <w:bottom w:val="single" w:color="auto" w:sz="4" w:space="0"/>
              <w:right w:val="single" w:color="auto" w:sz="4" w:space="0"/>
            </w:tcBorders>
            <w:shd w:val="clear" w:color="auto" w:fill="auto"/>
            <w:noWrap/>
            <w:vAlign w:val="center"/>
          </w:tcPr>
          <w:p w14:paraId="089B12F7">
            <w:pPr>
              <w:widowControl/>
              <w:jc w:val="center"/>
              <w:rPr>
                <w:highlight w:val="none"/>
              </w:rPr>
            </w:pPr>
            <w:r>
              <w:rPr>
                <w:rFonts w:hint="eastAsia"/>
                <w:highlight w:val="none"/>
              </w:rPr>
              <w:t>设备与信息管理部及各归口管理部门</w:t>
            </w:r>
          </w:p>
        </w:tc>
      </w:tr>
      <w:tr w14:paraId="771EC17D">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31BF1AB7">
            <w:pPr>
              <w:widowControl/>
              <w:jc w:val="center"/>
              <w:rPr>
                <w:highlight w:val="none"/>
              </w:rPr>
            </w:pPr>
            <w:r>
              <w:rPr>
                <w:rFonts w:hint="eastAsia"/>
                <w:highlight w:val="none"/>
              </w:rPr>
              <w:t>6</w:t>
            </w:r>
          </w:p>
        </w:tc>
        <w:tc>
          <w:tcPr>
            <w:tcW w:w="874" w:type="pct"/>
            <w:tcBorders>
              <w:top w:val="nil"/>
              <w:left w:val="nil"/>
              <w:bottom w:val="single" w:color="auto" w:sz="4" w:space="0"/>
              <w:right w:val="single" w:color="auto" w:sz="4" w:space="0"/>
            </w:tcBorders>
            <w:shd w:val="clear" w:color="auto" w:fill="auto"/>
            <w:noWrap/>
            <w:vAlign w:val="center"/>
          </w:tcPr>
          <w:p w14:paraId="4BD2E6B6">
            <w:pPr>
              <w:widowControl/>
              <w:jc w:val="center"/>
              <w:rPr>
                <w:highlight w:val="none"/>
              </w:rPr>
            </w:pPr>
            <w:r>
              <w:rPr>
                <w:rFonts w:hint="eastAsia"/>
                <w:highlight w:val="none"/>
              </w:rPr>
              <w:t>委托代理机构</w:t>
            </w:r>
          </w:p>
        </w:tc>
        <w:tc>
          <w:tcPr>
            <w:tcW w:w="1625" w:type="pct"/>
            <w:tcBorders>
              <w:top w:val="nil"/>
              <w:left w:val="nil"/>
              <w:bottom w:val="single" w:color="auto" w:sz="4" w:space="0"/>
              <w:right w:val="single" w:color="auto" w:sz="4" w:space="0"/>
            </w:tcBorders>
            <w:shd w:val="clear" w:color="auto" w:fill="auto"/>
            <w:noWrap/>
            <w:vAlign w:val="center"/>
          </w:tcPr>
          <w:p w14:paraId="56A790AF">
            <w:pPr>
              <w:widowControl/>
              <w:jc w:val="center"/>
              <w:rPr>
                <w:highlight w:val="none"/>
              </w:rPr>
            </w:pPr>
            <w:r>
              <w:rPr>
                <w:rFonts w:hint="eastAsia"/>
                <w:highlight w:val="none"/>
              </w:rPr>
              <w:t>运营管理部</w:t>
            </w:r>
          </w:p>
        </w:tc>
        <w:tc>
          <w:tcPr>
            <w:tcW w:w="2188" w:type="pct"/>
            <w:tcBorders>
              <w:top w:val="nil"/>
              <w:left w:val="nil"/>
              <w:bottom w:val="single" w:color="auto" w:sz="4" w:space="0"/>
              <w:right w:val="single" w:color="auto" w:sz="4" w:space="0"/>
            </w:tcBorders>
            <w:shd w:val="clear" w:color="auto" w:fill="auto"/>
            <w:noWrap/>
            <w:vAlign w:val="center"/>
          </w:tcPr>
          <w:p w14:paraId="6CABF99F">
            <w:pPr>
              <w:widowControl/>
              <w:jc w:val="center"/>
              <w:rPr>
                <w:highlight w:val="none"/>
              </w:rPr>
            </w:pPr>
            <w:r>
              <w:rPr>
                <w:rFonts w:hint="eastAsia"/>
                <w:highlight w:val="none"/>
              </w:rPr>
              <w:t>招标代理机构</w:t>
            </w:r>
          </w:p>
        </w:tc>
      </w:tr>
      <w:tr w14:paraId="6BC4B218">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7D0A02F2">
            <w:pPr>
              <w:widowControl/>
              <w:jc w:val="center"/>
              <w:rPr>
                <w:highlight w:val="none"/>
              </w:rPr>
            </w:pPr>
            <w:r>
              <w:rPr>
                <w:rFonts w:hint="eastAsia"/>
                <w:highlight w:val="none"/>
              </w:rPr>
              <w:t>7</w:t>
            </w:r>
          </w:p>
        </w:tc>
        <w:tc>
          <w:tcPr>
            <w:tcW w:w="874" w:type="pct"/>
            <w:tcBorders>
              <w:top w:val="nil"/>
              <w:left w:val="nil"/>
              <w:bottom w:val="single" w:color="auto" w:sz="4" w:space="0"/>
              <w:right w:val="single" w:color="auto" w:sz="4" w:space="0"/>
            </w:tcBorders>
            <w:shd w:val="clear" w:color="auto" w:fill="auto"/>
            <w:noWrap/>
            <w:vAlign w:val="center"/>
          </w:tcPr>
          <w:p w14:paraId="4C51E109">
            <w:pPr>
              <w:widowControl/>
              <w:jc w:val="center"/>
              <w:rPr>
                <w:highlight w:val="none"/>
              </w:rPr>
            </w:pPr>
            <w:r>
              <w:rPr>
                <w:rFonts w:hint="eastAsia"/>
                <w:highlight w:val="none"/>
              </w:rPr>
              <w:t>编制采购文件</w:t>
            </w:r>
          </w:p>
        </w:tc>
        <w:tc>
          <w:tcPr>
            <w:tcW w:w="1625" w:type="pct"/>
            <w:tcBorders>
              <w:top w:val="nil"/>
              <w:left w:val="nil"/>
              <w:bottom w:val="single" w:color="auto" w:sz="4" w:space="0"/>
              <w:right w:val="single" w:color="auto" w:sz="4" w:space="0"/>
            </w:tcBorders>
            <w:shd w:val="clear" w:color="auto" w:fill="auto"/>
            <w:noWrap/>
            <w:vAlign w:val="center"/>
          </w:tcPr>
          <w:p w14:paraId="170F622A">
            <w:pPr>
              <w:widowControl/>
              <w:jc w:val="center"/>
              <w:rPr>
                <w:highlight w:val="none"/>
              </w:rPr>
            </w:pPr>
            <w:r>
              <w:rPr>
                <w:rFonts w:hint="eastAsia"/>
                <w:highlight w:val="none"/>
              </w:rPr>
              <w:t>运营管理部</w:t>
            </w:r>
          </w:p>
        </w:tc>
        <w:tc>
          <w:tcPr>
            <w:tcW w:w="2188" w:type="pct"/>
            <w:tcBorders>
              <w:top w:val="nil"/>
              <w:left w:val="nil"/>
              <w:bottom w:val="single" w:color="auto" w:sz="4" w:space="0"/>
              <w:right w:val="single" w:color="auto" w:sz="4" w:space="0"/>
            </w:tcBorders>
            <w:shd w:val="clear" w:color="auto" w:fill="auto"/>
            <w:noWrap/>
            <w:vAlign w:val="center"/>
          </w:tcPr>
          <w:p w14:paraId="7078503D">
            <w:pPr>
              <w:widowControl/>
              <w:jc w:val="center"/>
              <w:rPr>
                <w:highlight w:val="none"/>
              </w:rPr>
            </w:pPr>
            <w:r>
              <w:rPr>
                <w:rFonts w:hint="eastAsia"/>
                <w:highlight w:val="none"/>
              </w:rPr>
              <w:t>设备与信息管理部及各归口管理部门</w:t>
            </w:r>
          </w:p>
        </w:tc>
      </w:tr>
      <w:tr w14:paraId="68CD65E8">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7CFA9F28">
            <w:pPr>
              <w:widowControl/>
              <w:jc w:val="center"/>
              <w:rPr>
                <w:highlight w:val="none"/>
              </w:rPr>
            </w:pPr>
            <w:r>
              <w:rPr>
                <w:rFonts w:hint="eastAsia"/>
                <w:highlight w:val="none"/>
              </w:rPr>
              <w:t>8</w:t>
            </w:r>
          </w:p>
        </w:tc>
        <w:tc>
          <w:tcPr>
            <w:tcW w:w="874" w:type="pct"/>
            <w:tcBorders>
              <w:top w:val="nil"/>
              <w:left w:val="nil"/>
              <w:bottom w:val="single" w:color="auto" w:sz="4" w:space="0"/>
              <w:right w:val="single" w:color="auto" w:sz="4" w:space="0"/>
            </w:tcBorders>
            <w:shd w:val="clear" w:color="auto" w:fill="auto"/>
            <w:noWrap/>
            <w:vAlign w:val="center"/>
          </w:tcPr>
          <w:p w14:paraId="0BF9A844">
            <w:pPr>
              <w:widowControl/>
              <w:jc w:val="center"/>
              <w:rPr>
                <w:highlight w:val="none"/>
              </w:rPr>
            </w:pPr>
            <w:r>
              <w:rPr>
                <w:rFonts w:hint="eastAsia"/>
                <w:highlight w:val="none"/>
              </w:rPr>
              <w:t>发布采购公告</w:t>
            </w:r>
          </w:p>
        </w:tc>
        <w:tc>
          <w:tcPr>
            <w:tcW w:w="1625" w:type="pct"/>
            <w:tcBorders>
              <w:top w:val="nil"/>
              <w:left w:val="nil"/>
              <w:bottom w:val="single" w:color="auto" w:sz="4" w:space="0"/>
              <w:right w:val="single" w:color="auto" w:sz="4" w:space="0"/>
            </w:tcBorders>
            <w:shd w:val="clear" w:color="auto" w:fill="auto"/>
            <w:noWrap/>
            <w:vAlign w:val="center"/>
          </w:tcPr>
          <w:p w14:paraId="7728FB20">
            <w:pPr>
              <w:widowControl/>
              <w:jc w:val="center"/>
              <w:rPr>
                <w:highlight w:val="none"/>
              </w:rPr>
            </w:pPr>
            <w:r>
              <w:rPr>
                <w:rFonts w:hint="eastAsia"/>
                <w:highlight w:val="none"/>
              </w:rPr>
              <w:t>运营管理部</w:t>
            </w:r>
          </w:p>
        </w:tc>
        <w:tc>
          <w:tcPr>
            <w:tcW w:w="2188" w:type="pct"/>
            <w:tcBorders>
              <w:top w:val="nil"/>
              <w:left w:val="nil"/>
              <w:bottom w:val="single" w:color="auto" w:sz="4" w:space="0"/>
              <w:right w:val="single" w:color="auto" w:sz="4" w:space="0"/>
            </w:tcBorders>
            <w:shd w:val="clear" w:color="auto" w:fill="auto"/>
            <w:noWrap/>
            <w:vAlign w:val="center"/>
          </w:tcPr>
          <w:p w14:paraId="4214ABDD">
            <w:pPr>
              <w:widowControl/>
              <w:jc w:val="center"/>
              <w:rPr>
                <w:highlight w:val="none"/>
              </w:rPr>
            </w:pPr>
            <w:r>
              <w:rPr>
                <w:rFonts w:hint="eastAsia"/>
                <w:highlight w:val="none"/>
              </w:rPr>
              <w:t>　招标代理机构</w:t>
            </w:r>
          </w:p>
        </w:tc>
      </w:tr>
      <w:tr w14:paraId="67D7658D">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6C1C5E28">
            <w:pPr>
              <w:widowControl/>
              <w:jc w:val="center"/>
              <w:rPr>
                <w:highlight w:val="none"/>
              </w:rPr>
            </w:pPr>
            <w:r>
              <w:rPr>
                <w:rFonts w:hint="eastAsia"/>
                <w:highlight w:val="none"/>
              </w:rPr>
              <w:t>9</w:t>
            </w:r>
          </w:p>
        </w:tc>
        <w:tc>
          <w:tcPr>
            <w:tcW w:w="874" w:type="pct"/>
            <w:tcBorders>
              <w:top w:val="nil"/>
              <w:left w:val="nil"/>
              <w:bottom w:val="single" w:color="auto" w:sz="4" w:space="0"/>
              <w:right w:val="single" w:color="auto" w:sz="4" w:space="0"/>
            </w:tcBorders>
            <w:shd w:val="clear" w:color="auto" w:fill="auto"/>
            <w:noWrap/>
            <w:vAlign w:val="center"/>
          </w:tcPr>
          <w:p w14:paraId="1078CDBF">
            <w:pPr>
              <w:widowControl/>
              <w:jc w:val="center"/>
              <w:rPr>
                <w:highlight w:val="none"/>
              </w:rPr>
            </w:pPr>
            <w:r>
              <w:rPr>
                <w:rFonts w:hint="eastAsia"/>
                <w:highlight w:val="none"/>
              </w:rPr>
              <w:t>组织评审</w:t>
            </w:r>
          </w:p>
        </w:tc>
        <w:tc>
          <w:tcPr>
            <w:tcW w:w="1625" w:type="pct"/>
            <w:tcBorders>
              <w:top w:val="nil"/>
              <w:left w:val="nil"/>
              <w:bottom w:val="single" w:color="auto" w:sz="4" w:space="0"/>
              <w:right w:val="single" w:color="auto" w:sz="4" w:space="0"/>
            </w:tcBorders>
            <w:shd w:val="clear" w:color="auto" w:fill="auto"/>
            <w:noWrap/>
            <w:vAlign w:val="center"/>
          </w:tcPr>
          <w:p w14:paraId="403FEA28">
            <w:pPr>
              <w:widowControl/>
              <w:jc w:val="center"/>
              <w:rPr>
                <w:highlight w:val="none"/>
              </w:rPr>
            </w:pPr>
            <w:r>
              <w:rPr>
                <w:rFonts w:hint="eastAsia"/>
                <w:highlight w:val="none"/>
              </w:rPr>
              <w:t>运营管理部</w:t>
            </w:r>
          </w:p>
        </w:tc>
        <w:tc>
          <w:tcPr>
            <w:tcW w:w="2188" w:type="pct"/>
            <w:tcBorders>
              <w:top w:val="nil"/>
              <w:left w:val="nil"/>
              <w:bottom w:val="single" w:color="auto" w:sz="4" w:space="0"/>
              <w:right w:val="single" w:color="auto" w:sz="4" w:space="0"/>
            </w:tcBorders>
            <w:shd w:val="clear" w:color="auto" w:fill="auto"/>
            <w:noWrap/>
            <w:vAlign w:val="center"/>
          </w:tcPr>
          <w:p w14:paraId="4E8D67D5">
            <w:pPr>
              <w:widowControl/>
              <w:jc w:val="center"/>
              <w:rPr>
                <w:highlight w:val="none"/>
              </w:rPr>
            </w:pPr>
            <w:r>
              <w:rPr>
                <w:rFonts w:hint="eastAsia"/>
                <w:highlight w:val="none"/>
              </w:rPr>
              <w:t>设备与信息管理部及各归口管理部门</w:t>
            </w:r>
          </w:p>
        </w:tc>
      </w:tr>
      <w:tr w14:paraId="18B15EB0">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140AB954">
            <w:pPr>
              <w:widowControl/>
              <w:jc w:val="center"/>
              <w:rPr>
                <w:highlight w:val="none"/>
              </w:rPr>
            </w:pPr>
            <w:r>
              <w:rPr>
                <w:rFonts w:hint="eastAsia"/>
                <w:highlight w:val="none"/>
              </w:rPr>
              <w:t>10</w:t>
            </w:r>
          </w:p>
        </w:tc>
        <w:tc>
          <w:tcPr>
            <w:tcW w:w="874" w:type="pct"/>
            <w:tcBorders>
              <w:top w:val="nil"/>
              <w:left w:val="nil"/>
              <w:bottom w:val="single" w:color="auto" w:sz="4" w:space="0"/>
              <w:right w:val="single" w:color="auto" w:sz="4" w:space="0"/>
            </w:tcBorders>
            <w:shd w:val="clear" w:color="auto" w:fill="auto"/>
            <w:noWrap/>
            <w:vAlign w:val="center"/>
          </w:tcPr>
          <w:p w14:paraId="5D48E96D">
            <w:pPr>
              <w:widowControl/>
              <w:jc w:val="center"/>
              <w:rPr>
                <w:highlight w:val="none"/>
              </w:rPr>
            </w:pPr>
            <w:r>
              <w:rPr>
                <w:rFonts w:hint="eastAsia"/>
                <w:highlight w:val="none"/>
              </w:rPr>
              <w:t>确认采购结果</w:t>
            </w:r>
          </w:p>
        </w:tc>
        <w:tc>
          <w:tcPr>
            <w:tcW w:w="1625" w:type="pct"/>
            <w:tcBorders>
              <w:top w:val="nil"/>
              <w:left w:val="nil"/>
              <w:bottom w:val="single" w:color="auto" w:sz="4" w:space="0"/>
              <w:right w:val="single" w:color="auto" w:sz="4" w:space="0"/>
            </w:tcBorders>
            <w:shd w:val="clear" w:color="auto" w:fill="auto"/>
            <w:noWrap/>
            <w:vAlign w:val="center"/>
          </w:tcPr>
          <w:p w14:paraId="55770DA1">
            <w:pPr>
              <w:widowControl/>
              <w:jc w:val="center"/>
              <w:rPr>
                <w:highlight w:val="none"/>
              </w:rPr>
            </w:pPr>
            <w:r>
              <w:rPr>
                <w:rFonts w:hint="eastAsia"/>
                <w:highlight w:val="none"/>
              </w:rPr>
              <w:t>运营管理部</w:t>
            </w:r>
          </w:p>
        </w:tc>
        <w:tc>
          <w:tcPr>
            <w:tcW w:w="2188" w:type="pct"/>
            <w:tcBorders>
              <w:top w:val="nil"/>
              <w:left w:val="nil"/>
              <w:bottom w:val="single" w:color="auto" w:sz="4" w:space="0"/>
              <w:right w:val="single" w:color="auto" w:sz="4" w:space="0"/>
            </w:tcBorders>
            <w:shd w:val="clear" w:color="auto" w:fill="auto"/>
            <w:noWrap/>
            <w:vAlign w:val="center"/>
          </w:tcPr>
          <w:p w14:paraId="6F2DCB76">
            <w:pPr>
              <w:widowControl/>
              <w:jc w:val="center"/>
              <w:rPr>
                <w:highlight w:val="none"/>
              </w:rPr>
            </w:pPr>
            <w:r>
              <w:rPr>
                <w:rFonts w:hint="eastAsia"/>
                <w:highlight w:val="none"/>
              </w:rPr>
              <w:t>设备与信息管理部及各归口管理部门</w:t>
            </w:r>
          </w:p>
        </w:tc>
      </w:tr>
      <w:tr w14:paraId="53E07AA3">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369775A7">
            <w:pPr>
              <w:widowControl/>
              <w:jc w:val="center"/>
              <w:rPr>
                <w:highlight w:val="none"/>
              </w:rPr>
            </w:pPr>
            <w:r>
              <w:rPr>
                <w:rFonts w:hint="eastAsia"/>
                <w:highlight w:val="none"/>
              </w:rPr>
              <w:t>11</w:t>
            </w:r>
          </w:p>
        </w:tc>
        <w:tc>
          <w:tcPr>
            <w:tcW w:w="874" w:type="pct"/>
            <w:tcBorders>
              <w:top w:val="nil"/>
              <w:left w:val="nil"/>
              <w:bottom w:val="single" w:color="auto" w:sz="4" w:space="0"/>
              <w:right w:val="single" w:color="auto" w:sz="4" w:space="0"/>
            </w:tcBorders>
            <w:shd w:val="clear" w:color="auto" w:fill="auto"/>
            <w:noWrap/>
            <w:vAlign w:val="center"/>
          </w:tcPr>
          <w:p w14:paraId="5D3FDB9F">
            <w:pPr>
              <w:widowControl/>
              <w:jc w:val="center"/>
              <w:rPr>
                <w:highlight w:val="none"/>
              </w:rPr>
            </w:pPr>
            <w:r>
              <w:rPr>
                <w:rFonts w:hint="eastAsia"/>
                <w:highlight w:val="none"/>
              </w:rPr>
              <w:t>发布结果公告</w:t>
            </w:r>
          </w:p>
        </w:tc>
        <w:tc>
          <w:tcPr>
            <w:tcW w:w="1625" w:type="pct"/>
            <w:tcBorders>
              <w:top w:val="nil"/>
              <w:left w:val="nil"/>
              <w:bottom w:val="single" w:color="auto" w:sz="4" w:space="0"/>
              <w:right w:val="single" w:color="auto" w:sz="4" w:space="0"/>
            </w:tcBorders>
            <w:shd w:val="clear" w:color="auto" w:fill="auto"/>
            <w:noWrap/>
            <w:vAlign w:val="center"/>
          </w:tcPr>
          <w:p w14:paraId="3079B4DF">
            <w:pPr>
              <w:widowControl/>
              <w:jc w:val="center"/>
              <w:rPr>
                <w:highlight w:val="none"/>
              </w:rPr>
            </w:pPr>
            <w:r>
              <w:rPr>
                <w:rFonts w:hint="eastAsia"/>
                <w:highlight w:val="none"/>
              </w:rPr>
              <w:t>运营管理部</w:t>
            </w:r>
          </w:p>
        </w:tc>
        <w:tc>
          <w:tcPr>
            <w:tcW w:w="2188" w:type="pct"/>
            <w:tcBorders>
              <w:top w:val="nil"/>
              <w:left w:val="nil"/>
              <w:bottom w:val="single" w:color="auto" w:sz="4" w:space="0"/>
              <w:right w:val="single" w:color="auto" w:sz="4" w:space="0"/>
            </w:tcBorders>
            <w:shd w:val="clear" w:color="auto" w:fill="auto"/>
            <w:noWrap/>
            <w:vAlign w:val="center"/>
          </w:tcPr>
          <w:p w14:paraId="77C4D616">
            <w:pPr>
              <w:widowControl/>
              <w:jc w:val="center"/>
              <w:rPr>
                <w:highlight w:val="none"/>
              </w:rPr>
            </w:pPr>
            <w:r>
              <w:rPr>
                <w:rFonts w:hint="eastAsia"/>
                <w:highlight w:val="none"/>
              </w:rPr>
              <w:t>　招标代理机构</w:t>
            </w:r>
          </w:p>
        </w:tc>
      </w:tr>
      <w:tr w14:paraId="73E45A0A">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01D025FA">
            <w:pPr>
              <w:widowControl/>
              <w:jc w:val="center"/>
              <w:rPr>
                <w:highlight w:val="none"/>
              </w:rPr>
            </w:pPr>
            <w:r>
              <w:rPr>
                <w:rFonts w:hint="eastAsia"/>
                <w:highlight w:val="none"/>
              </w:rPr>
              <w:t>12</w:t>
            </w:r>
          </w:p>
        </w:tc>
        <w:tc>
          <w:tcPr>
            <w:tcW w:w="874" w:type="pct"/>
            <w:tcBorders>
              <w:top w:val="nil"/>
              <w:left w:val="nil"/>
              <w:bottom w:val="single" w:color="auto" w:sz="4" w:space="0"/>
              <w:right w:val="single" w:color="auto" w:sz="4" w:space="0"/>
            </w:tcBorders>
            <w:shd w:val="clear" w:color="auto" w:fill="auto"/>
            <w:noWrap/>
            <w:vAlign w:val="center"/>
          </w:tcPr>
          <w:p w14:paraId="3DFBF43B">
            <w:pPr>
              <w:widowControl/>
              <w:jc w:val="center"/>
              <w:rPr>
                <w:highlight w:val="none"/>
              </w:rPr>
            </w:pPr>
            <w:r>
              <w:rPr>
                <w:rFonts w:hint="eastAsia"/>
                <w:highlight w:val="none"/>
              </w:rPr>
              <w:t>签订采购合同</w:t>
            </w:r>
          </w:p>
        </w:tc>
        <w:tc>
          <w:tcPr>
            <w:tcW w:w="1625" w:type="pct"/>
            <w:tcBorders>
              <w:top w:val="nil"/>
              <w:left w:val="nil"/>
              <w:bottom w:val="single" w:color="auto" w:sz="4" w:space="0"/>
              <w:right w:val="single" w:color="auto" w:sz="4" w:space="0"/>
            </w:tcBorders>
            <w:shd w:val="clear" w:color="auto" w:fill="auto"/>
            <w:noWrap/>
            <w:vAlign w:val="center"/>
          </w:tcPr>
          <w:p w14:paraId="00AA949A">
            <w:pPr>
              <w:widowControl/>
              <w:jc w:val="center"/>
              <w:rPr>
                <w:highlight w:val="none"/>
              </w:rPr>
            </w:pPr>
            <w:r>
              <w:rPr>
                <w:rFonts w:hint="eastAsia"/>
                <w:highlight w:val="none"/>
              </w:rPr>
              <w:t>各归口管理部门</w:t>
            </w:r>
          </w:p>
        </w:tc>
        <w:tc>
          <w:tcPr>
            <w:tcW w:w="2188" w:type="pct"/>
            <w:tcBorders>
              <w:top w:val="nil"/>
              <w:left w:val="nil"/>
              <w:bottom w:val="single" w:color="auto" w:sz="4" w:space="0"/>
              <w:right w:val="single" w:color="auto" w:sz="4" w:space="0"/>
            </w:tcBorders>
            <w:shd w:val="clear" w:color="auto" w:fill="auto"/>
            <w:noWrap/>
            <w:vAlign w:val="center"/>
          </w:tcPr>
          <w:p w14:paraId="5FDBEE03">
            <w:pPr>
              <w:widowControl/>
              <w:jc w:val="center"/>
              <w:rPr>
                <w:highlight w:val="none"/>
              </w:rPr>
            </w:pPr>
            <w:r>
              <w:rPr>
                <w:rFonts w:hint="eastAsia"/>
                <w:highlight w:val="none"/>
              </w:rPr>
              <w:t>纪检监察审计部、财务部</w:t>
            </w:r>
          </w:p>
        </w:tc>
      </w:tr>
      <w:tr w14:paraId="21BFF4ED">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32B7C136">
            <w:pPr>
              <w:widowControl/>
              <w:jc w:val="center"/>
              <w:rPr>
                <w:highlight w:val="none"/>
              </w:rPr>
            </w:pPr>
            <w:r>
              <w:rPr>
                <w:rFonts w:hint="eastAsia"/>
                <w:highlight w:val="none"/>
              </w:rPr>
              <w:t>13</w:t>
            </w:r>
          </w:p>
        </w:tc>
        <w:tc>
          <w:tcPr>
            <w:tcW w:w="874" w:type="pct"/>
            <w:tcBorders>
              <w:top w:val="nil"/>
              <w:left w:val="nil"/>
              <w:bottom w:val="single" w:color="auto" w:sz="4" w:space="0"/>
              <w:right w:val="single" w:color="auto" w:sz="4" w:space="0"/>
            </w:tcBorders>
            <w:shd w:val="clear" w:color="auto" w:fill="auto"/>
            <w:noWrap/>
            <w:vAlign w:val="center"/>
          </w:tcPr>
          <w:p w14:paraId="59AB52F4">
            <w:pPr>
              <w:widowControl/>
              <w:jc w:val="center"/>
              <w:rPr>
                <w:highlight w:val="none"/>
              </w:rPr>
            </w:pPr>
            <w:r>
              <w:rPr>
                <w:rFonts w:hint="eastAsia"/>
                <w:highlight w:val="none"/>
              </w:rPr>
              <w:t>合同公告与备案</w:t>
            </w:r>
          </w:p>
        </w:tc>
        <w:tc>
          <w:tcPr>
            <w:tcW w:w="1625" w:type="pct"/>
            <w:tcBorders>
              <w:top w:val="nil"/>
              <w:left w:val="nil"/>
              <w:bottom w:val="single" w:color="auto" w:sz="4" w:space="0"/>
              <w:right w:val="single" w:color="auto" w:sz="4" w:space="0"/>
            </w:tcBorders>
            <w:shd w:val="clear" w:color="auto" w:fill="auto"/>
            <w:noWrap/>
            <w:vAlign w:val="center"/>
          </w:tcPr>
          <w:p w14:paraId="2FDC3EE8">
            <w:pPr>
              <w:widowControl/>
              <w:jc w:val="center"/>
              <w:rPr>
                <w:highlight w:val="none"/>
              </w:rPr>
            </w:pPr>
            <w:r>
              <w:rPr>
                <w:rFonts w:hint="eastAsia"/>
                <w:highlight w:val="none"/>
              </w:rPr>
              <w:t>运营管理部</w:t>
            </w:r>
          </w:p>
        </w:tc>
        <w:tc>
          <w:tcPr>
            <w:tcW w:w="2188" w:type="pct"/>
            <w:tcBorders>
              <w:top w:val="nil"/>
              <w:left w:val="nil"/>
              <w:bottom w:val="single" w:color="auto" w:sz="4" w:space="0"/>
              <w:right w:val="single" w:color="auto" w:sz="4" w:space="0"/>
            </w:tcBorders>
            <w:shd w:val="clear" w:color="auto" w:fill="auto"/>
            <w:noWrap/>
            <w:vAlign w:val="center"/>
          </w:tcPr>
          <w:p w14:paraId="470DED6E">
            <w:pPr>
              <w:widowControl/>
              <w:jc w:val="center"/>
              <w:rPr>
                <w:highlight w:val="none"/>
              </w:rPr>
            </w:pPr>
            <w:r>
              <w:rPr>
                <w:rFonts w:hint="eastAsia"/>
                <w:highlight w:val="none"/>
              </w:rPr>
              <w:t>设备与信息管理部及各归口管理部门</w:t>
            </w:r>
          </w:p>
        </w:tc>
      </w:tr>
      <w:tr w14:paraId="047CCE67">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5BE61CDC">
            <w:pPr>
              <w:widowControl/>
              <w:jc w:val="center"/>
              <w:rPr>
                <w:highlight w:val="none"/>
              </w:rPr>
            </w:pPr>
            <w:r>
              <w:rPr>
                <w:rFonts w:hint="eastAsia"/>
                <w:highlight w:val="none"/>
              </w:rPr>
              <w:t>14</w:t>
            </w:r>
          </w:p>
        </w:tc>
        <w:tc>
          <w:tcPr>
            <w:tcW w:w="874" w:type="pct"/>
            <w:tcBorders>
              <w:top w:val="nil"/>
              <w:left w:val="nil"/>
              <w:bottom w:val="single" w:color="auto" w:sz="4" w:space="0"/>
              <w:right w:val="single" w:color="auto" w:sz="4" w:space="0"/>
            </w:tcBorders>
            <w:shd w:val="clear" w:color="auto" w:fill="auto"/>
            <w:noWrap/>
            <w:vAlign w:val="center"/>
          </w:tcPr>
          <w:p w14:paraId="30CDA914">
            <w:pPr>
              <w:widowControl/>
              <w:jc w:val="center"/>
              <w:rPr>
                <w:highlight w:val="none"/>
              </w:rPr>
            </w:pPr>
            <w:r>
              <w:rPr>
                <w:rFonts w:hint="eastAsia"/>
                <w:highlight w:val="none"/>
              </w:rPr>
              <w:t>履约验收</w:t>
            </w:r>
          </w:p>
        </w:tc>
        <w:tc>
          <w:tcPr>
            <w:tcW w:w="1625" w:type="pct"/>
            <w:tcBorders>
              <w:top w:val="nil"/>
              <w:left w:val="nil"/>
              <w:bottom w:val="single" w:color="auto" w:sz="4" w:space="0"/>
              <w:right w:val="single" w:color="auto" w:sz="4" w:space="0"/>
            </w:tcBorders>
            <w:shd w:val="clear" w:color="auto" w:fill="auto"/>
            <w:noWrap/>
            <w:vAlign w:val="center"/>
          </w:tcPr>
          <w:p w14:paraId="7007AA86">
            <w:pPr>
              <w:widowControl/>
              <w:jc w:val="center"/>
              <w:rPr>
                <w:highlight w:val="none"/>
              </w:rPr>
            </w:pPr>
            <w:r>
              <w:rPr>
                <w:rFonts w:hint="eastAsia"/>
                <w:highlight w:val="none"/>
              </w:rPr>
              <w:t>设备与信息管理部及各归口管理部门</w:t>
            </w:r>
          </w:p>
        </w:tc>
        <w:tc>
          <w:tcPr>
            <w:tcW w:w="2188" w:type="pct"/>
            <w:tcBorders>
              <w:top w:val="nil"/>
              <w:left w:val="nil"/>
              <w:bottom w:val="single" w:color="auto" w:sz="4" w:space="0"/>
              <w:right w:val="single" w:color="auto" w:sz="4" w:space="0"/>
            </w:tcBorders>
            <w:shd w:val="clear" w:color="auto" w:fill="auto"/>
            <w:noWrap/>
            <w:vAlign w:val="center"/>
          </w:tcPr>
          <w:p w14:paraId="69CBAFD2">
            <w:pPr>
              <w:widowControl/>
              <w:jc w:val="center"/>
              <w:rPr>
                <w:highlight w:val="none"/>
              </w:rPr>
            </w:pPr>
            <w:r>
              <w:rPr>
                <w:rFonts w:hint="eastAsia"/>
                <w:highlight w:val="none"/>
              </w:rPr>
              <w:t>纪检监察审计部</w:t>
            </w:r>
          </w:p>
        </w:tc>
      </w:tr>
      <w:tr w14:paraId="3BA9A850">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2AFF05C7">
            <w:pPr>
              <w:widowControl/>
              <w:jc w:val="center"/>
              <w:rPr>
                <w:highlight w:val="none"/>
              </w:rPr>
            </w:pPr>
            <w:r>
              <w:rPr>
                <w:rFonts w:hint="eastAsia"/>
                <w:highlight w:val="none"/>
              </w:rPr>
              <w:t>15</w:t>
            </w:r>
          </w:p>
        </w:tc>
        <w:tc>
          <w:tcPr>
            <w:tcW w:w="874" w:type="pct"/>
            <w:tcBorders>
              <w:top w:val="nil"/>
              <w:left w:val="nil"/>
              <w:bottom w:val="single" w:color="auto" w:sz="4" w:space="0"/>
              <w:right w:val="single" w:color="auto" w:sz="4" w:space="0"/>
            </w:tcBorders>
            <w:shd w:val="clear" w:color="auto" w:fill="auto"/>
            <w:noWrap/>
            <w:vAlign w:val="center"/>
          </w:tcPr>
          <w:p w14:paraId="345113D4">
            <w:pPr>
              <w:widowControl/>
              <w:jc w:val="center"/>
              <w:rPr>
                <w:highlight w:val="none"/>
              </w:rPr>
            </w:pPr>
            <w:r>
              <w:rPr>
                <w:rFonts w:hint="eastAsia"/>
                <w:highlight w:val="none"/>
              </w:rPr>
              <w:t>支付资金</w:t>
            </w:r>
          </w:p>
        </w:tc>
        <w:tc>
          <w:tcPr>
            <w:tcW w:w="1625" w:type="pct"/>
            <w:tcBorders>
              <w:top w:val="nil"/>
              <w:left w:val="nil"/>
              <w:bottom w:val="single" w:color="auto" w:sz="4" w:space="0"/>
              <w:right w:val="single" w:color="auto" w:sz="4" w:space="0"/>
            </w:tcBorders>
            <w:shd w:val="clear" w:color="auto" w:fill="auto"/>
            <w:noWrap/>
            <w:vAlign w:val="center"/>
          </w:tcPr>
          <w:p w14:paraId="1879507A">
            <w:pPr>
              <w:widowControl/>
              <w:jc w:val="center"/>
              <w:rPr>
                <w:highlight w:val="none"/>
              </w:rPr>
            </w:pPr>
            <w:r>
              <w:rPr>
                <w:rFonts w:hint="eastAsia"/>
                <w:highlight w:val="none"/>
              </w:rPr>
              <w:t>财务部</w:t>
            </w:r>
          </w:p>
        </w:tc>
        <w:tc>
          <w:tcPr>
            <w:tcW w:w="2188" w:type="pct"/>
            <w:tcBorders>
              <w:top w:val="nil"/>
              <w:left w:val="nil"/>
              <w:bottom w:val="single" w:color="auto" w:sz="4" w:space="0"/>
              <w:right w:val="single" w:color="auto" w:sz="4" w:space="0"/>
            </w:tcBorders>
            <w:shd w:val="clear" w:color="auto" w:fill="auto"/>
            <w:noWrap/>
            <w:vAlign w:val="center"/>
          </w:tcPr>
          <w:p w14:paraId="3C31C75F">
            <w:pPr>
              <w:widowControl/>
              <w:jc w:val="center"/>
              <w:rPr>
                <w:highlight w:val="none"/>
              </w:rPr>
            </w:pPr>
            <w:r>
              <w:rPr>
                <w:rFonts w:hint="eastAsia"/>
                <w:highlight w:val="none"/>
              </w:rPr>
              <w:t>　</w:t>
            </w:r>
          </w:p>
        </w:tc>
      </w:tr>
      <w:tr w14:paraId="1AB35430">
        <w:tblPrEx>
          <w:tblCellMar>
            <w:top w:w="0" w:type="dxa"/>
            <w:left w:w="108" w:type="dxa"/>
            <w:bottom w:w="0" w:type="dxa"/>
            <w:right w:w="108" w:type="dxa"/>
          </w:tblCellMar>
        </w:tblPrEx>
        <w:trPr>
          <w:trHeight w:val="270" w:hRule="atLeast"/>
        </w:trPr>
        <w:tc>
          <w:tcPr>
            <w:tcW w:w="312" w:type="pct"/>
            <w:tcBorders>
              <w:top w:val="nil"/>
              <w:left w:val="single" w:color="auto" w:sz="4" w:space="0"/>
              <w:bottom w:val="single" w:color="auto" w:sz="4" w:space="0"/>
              <w:right w:val="single" w:color="auto" w:sz="4" w:space="0"/>
            </w:tcBorders>
            <w:shd w:val="clear" w:color="auto" w:fill="auto"/>
            <w:noWrap/>
            <w:vAlign w:val="center"/>
          </w:tcPr>
          <w:p w14:paraId="314FD37E">
            <w:pPr>
              <w:widowControl/>
              <w:jc w:val="center"/>
              <w:rPr>
                <w:highlight w:val="none"/>
              </w:rPr>
            </w:pPr>
            <w:r>
              <w:rPr>
                <w:rFonts w:hint="eastAsia"/>
                <w:highlight w:val="none"/>
              </w:rPr>
              <w:t>16</w:t>
            </w:r>
          </w:p>
        </w:tc>
        <w:tc>
          <w:tcPr>
            <w:tcW w:w="874" w:type="pct"/>
            <w:tcBorders>
              <w:top w:val="nil"/>
              <w:left w:val="nil"/>
              <w:bottom w:val="single" w:color="auto" w:sz="4" w:space="0"/>
              <w:right w:val="single" w:color="auto" w:sz="4" w:space="0"/>
            </w:tcBorders>
            <w:shd w:val="clear" w:color="auto" w:fill="auto"/>
            <w:noWrap/>
            <w:vAlign w:val="center"/>
          </w:tcPr>
          <w:p w14:paraId="6E937E9F">
            <w:pPr>
              <w:widowControl/>
              <w:jc w:val="center"/>
              <w:rPr>
                <w:highlight w:val="none"/>
              </w:rPr>
            </w:pPr>
            <w:r>
              <w:rPr>
                <w:rFonts w:hint="eastAsia"/>
                <w:highlight w:val="none"/>
              </w:rPr>
              <w:t>采购文件保存</w:t>
            </w:r>
          </w:p>
        </w:tc>
        <w:tc>
          <w:tcPr>
            <w:tcW w:w="1625" w:type="pct"/>
            <w:tcBorders>
              <w:top w:val="nil"/>
              <w:left w:val="nil"/>
              <w:bottom w:val="single" w:color="auto" w:sz="4" w:space="0"/>
              <w:right w:val="single" w:color="auto" w:sz="4" w:space="0"/>
            </w:tcBorders>
            <w:shd w:val="clear" w:color="auto" w:fill="auto"/>
            <w:noWrap/>
            <w:vAlign w:val="center"/>
          </w:tcPr>
          <w:p w14:paraId="5F8EF292">
            <w:pPr>
              <w:widowControl/>
              <w:jc w:val="center"/>
              <w:rPr>
                <w:highlight w:val="none"/>
              </w:rPr>
            </w:pPr>
            <w:r>
              <w:rPr>
                <w:rFonts w:hint="eastAsia"/>
                <w:highlight w:val="none"/>
              </w:rPr>
              <w:t>运营管理部</w:t>
            </w:r>
          </w:p>
        </w:tc>
        <w:tc>
          <w:tcPr>
            <w:tcW w:w="2188" w:type="pct"/>
            <w:tcBorders>
              <w:top w:val="nil"/>
              <w:left w:val="nil"/>
              <w:bottom w:val="single" w:color="auto" w:sz="4" w:space="0"/>
              <w:right w:val="single" w:color="auto" w:sz="4" w:space="0"/>
            </w:tcBorders>
            <w:shd w:val="clear" w:color="auto" w:fill="auto"/>
            <w:noWrap/>
            <w:vAlign w:val="center"/>
          </w:tcPr>
          <w:p w14:paraId="742D4AA3">
            <w:pPr>
              <w:widowControl/>
              <w:jc w:val="center"/>
              <w:rPr>
                <w:highlight w:val="none"/>
              </w:rPr>
            </w:pPr>
            <w:r>
              <w:rPr>
                <w:rFonts w:hint="eastAsia"/>
                <w:highlight w:val="none"/>
              </w:rPr>
              <w:t>　</w:t>
            </w:r>
          </w:p>
        </w:tc>
      </w:tr>
    </w:tbl>
    <w:p w14:paraId="775D4A1C">
      <w:pPr>
        <w:pStyle w:val="20"/>
        <w:ind w:firstLine="643"/>
        <w:rPr>
          <w:highlight w:val="none"/>
        </w:rPr>
      </w:pPr>
      <w:r>
        <w:rPr>
          <w:rFonts w:hint="eastAsia"/>
          <w:highlight w:val="none"/>
        </w:rPr>
        <w:t>2、</w:t>
      </w:r>
      <w:r>
        <w:rPr>
          <w:highlight w:val="none"/>
        </w:rPr>
        <w:t>项目主要内容：</w:t>
      </w:r>
    </w:p>
    <w:p w14:paraId="069D03DF">
      <w:pPr>
        <w:pStyle w:val="17"/>
        <w:ind w:firstLine="640"/>
        <w:rPr>
          <w:rFonts w:hint="default"/>
          <w:highlight w:val="none"/>
        </w:rPr>
      </w:pPr>
      <w:r>
        <w:rPr>
          <w:highlight w:val="none"/>
        </w:rPr>
        <w:t>项目主要内容：（1）建立健全工作机制，确保招采工作合法合规；（2）加强内控节约资金，提升招标采购工作质量；（3）关口前移有序推进，提高招标采购工作效率；（4）强化廉洁意识，推进招标采购廉政风险防控。</w:t>
      </w:r>
    </w:p>
    <w:p w14:paraId="58732584">
      <w:pPr>
        <w:pStyle w:val="17"/>
        <w:ind w:firstLine="640"/>
        <w:rPr>
          <w:rFonts w:hint="default"/>
          <w:highlight w:val="none"/>
        </w:rPr>
      </w:pPr>
      <w:r>
        <w:rPr>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1632FC42">
      <w:pPr>
        <w:pStyle w:val="20"/>
        <w:ind w:firstLine="643"/>
        <w:rPr>
          <w:highlight w:val="none"/>
        </w:rPr>
      </w:pPr>
      <w:r>
        <w:rPr>
          <w:highlight w:val="none"/>
        </w:rPr>
        <w:t>3、资金投入和使用情况</w:t>
      </w:r>
    </w:p>
    <w:p w14:paraId="7141A42F">
      <w:pPr>
        <w:pStyle w:val="17"/>
        <w:ind w:firstLine="643"/>
        <w:rPr>
          <w:rFonts w:hint="default"/>
          <w:b/>
          <w:bCs/>
          <w:highlight w:val="none"/>
        </w:rPr>
      </w:pPr>
      <w:r>
        <w:rPr>
          <w:b/>
          <w:bCs/>
          <w:highlight w:val="none"/>
        </w:rPr>
        <w:t>（1）资金投入情况</w:t>
      </w:r>
    </w:p>
    <w:p w14:paraId="5891AB41">
      <w:pPr>
        <w:pStyle w:val="17"/>
        <w:ind w:firstLine="640"/>
        <w:rPr>
          <w:rFonts w:hint="default"/>
          <w:highlight w:val="none"/>
        </w:rPr>
      </w:pPr>
      <w:r>
        <w:rPr>
          <w:highlight w:val="none"/>
        </w:rPr>
        <w:t>该项目年初预算数290218.58万元，全年预算数290218.58万元，实际总投入252999.88万元，该项目资金已全部落实到位，资金来源为财政拨款。</w:t>
      </w:r>
    </w:p>
    <w:p w14:paraId="0C1D097F">
      <w:pPr>
        <w:pStyle w:val="17"/>
        <w:ind w:firstLine="643"/>
        <w:rPr>
          <w:rFonts w:hint="default"/>
          <w:b/>
          <w:bCs/>
          <w:highlight w:val="none"/>
        </w:rPr>
      </w:pPr>
      <w:r>
        <w:rPr>
          <w:b/>
          <w:bCs/>
          <w:highlight w:val="none"/>
        </w:rPr>
        <w:t>（2）资金使用情况</w:t>
      </w:r>
    </w:p>
    <w:p w14:paraId="5F7E8268">
      <w:pPr>
        <w:pStyle w:val="17"/>
        <w:ind w:firstLine="640"/>
        <w:rPr>
          <w:rFonts w:hint="default"/>
          <w:highlight w:val="none"/>
        </w:rPr>
      </w:pPr>
      <w:r>
        <w:rPr>
          <w:highlight w:val="none"/>
        </w:rPr>
        <w:t>政府采购全年预算数290218.58万元，项目实际执行252999.88万元，执行率为87.18%。该项目年初预算数290218.58万元，全年预算数290218.58万元，全年执行数252999.88万元，预算执行率为87.18%，主要用于：医院2023年上报工程、设备、服务等政府采购全年预算数290218.58万元，剩余项目正在按照计划执行，医院在总结工作的基础上，正逐项挂网，推进招标进度。</w:t>
      </w:r>
    </w:p>
    <w:p w14:paraId="7978EA95">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7F9225F6">
      <w:pPr>
        <w:pStyle w:val="20"/>
        <w:ind w:firstLine="643"/>
        <w:rPr>
          <w:highlight w:val="none"/>
        </w:rPr>
      </w:pPr>
      <w:r>
        <w:rPr>
          <w:rFonts w:hint="eastAsia"/>
          <w:highlight w:val="none"/>
        </w:rPr>
        <w:t>1、总体目标</w:t>
      </w:r>
    </w:p>
    <w:p w14:paraId="7A519E96">
      <w:pPr>
        <w:pStyle w:val="17"/>
        <w:ind w:firstLine="640"/>
        <w:rPr>
          <w:rFonts w:hint="default"/>
          <w:highlight w:val="none"/>
        </w:rPr>
      </w:pPr>
      <w:r>
        <w:rPr>
          <w:highlight w:val="none"/>
        </w:rPr>
        <w:t>（1）保障医院医疗服务活动平稳高效进行。</w:t>
      </w:r>
    </w:p>
    <w:p w14:paraId="6332D81A">
      <w:pPr>
        <w:pStyle w:val="17"/>
        <w:ind w:firstLine="640"/>
        <w:rPr>
          <w:rFonts w:hint="default"/>
          <w:highlight w:val="none"/>
        </w:rPr>
      </w:pPr>
      <w:r>
        <w:rPr>
          <w:highlight w:val="none"/>
        </w:rPr>
        <w:t>（2）稳步发展本科教育，大力发展研究生教育，适度开展继续教育和国际教育。</w:t>
      </w:r>
    </w:p>
    <w:p w14:paraId="103DA5A8">
      <w:pPr>
        <w:pStyle w:val="17"/>
        <w:ind w:firstLine="640"/>
        <w:rPr>
          <w:rFonts w:hint="default"/>
          <w:highlight w:val="none"/>
        </w:rPr>
      </w:pPr>
      <w:r>
        <w:rPr>
          <w:highlight w:val="none"/>
        </w:rPr>
        <w:t>（3）推进分级诊疗，支持双向转诊、急慢分治、上下联动的模式。</w:t>
      </w:r>
    </w:p>
    <w:p w14:paraId="4768EE56">
      <w:pPr>
        <w:pStyle w:val="17"/>
        <w:ind w:firstLine="640"/>
        <w:rPr>
          <w:rFonts w:hint="default"/>
          <w:highlight w:val="none"/>
        </w:rPr>
      </w:pPr>
      <w:r>
        <w:rPr>
          <w:highlight w:val="none"/>
        </w:rPr>
        <w:t>（4）加强基础建设，支持专科发展建设。</w:t>
      </w:r>
    </w:p>
    <w:p w14:paraId="07E00A89">
      <w:pPr>
        <w:pStyle w:val="17"/>
        <w:ind w:firstLine="640"/>
        <w:rPr>
          <w:rFonts w:hint="default"/>
          <w:highlight w:val="none"/>
        </w:rPr>
      </w:pPr>
      <w:r>
        <w:rPr>
          <w:highlight w:val="none"/>
        </w:rPr>
        <w:t>（5）全面提升医院精细化管理水平，增强医院竞争力。</w:t>
      </w:r>
    </w:p>
    <w:p w14:paraId="3B4B133C">
      <w:pPr>
        <w:pStyle w:val="17"/>
        <w:ind w:firstLine="640"/>
        <w:rPr>
          <w:rFonts w:hint="default"/>
          <w:highlight w:val="none"/>
        </w:rPr>
      </w:pPr>
      <w:r>
        <w:rPr>
          <w:highlight w:val="none"/>
        </w:rPr>
        <w:t>（6）建立安全文化长效机制，构建平安医院。</w:t>
      </w:r>
    </w:p>
    <w:p w14:paraId="3E1B894F">
      <w:pPr>
        <w:pStyle w:val="17"/>
        <w:ind w:firstLine="640"/>
        <w:rPr>
          <w:rFonts w:hint="default"/>
          <w:highlight w:val="none"/>
        </w:rPr>
      </w:pPr>
      <w:r>
        <w:rPr>
          <w:highlight w:val="none"/>
        </w:rPr>
        <w:t>（7）发扬大爱无疆精神，勇担社会责任。</w:t>
      </w:r>
    </w:p>
    <w:p w14:paraId="30B18E65">
      <w:pPr>
        <w:pStyle w:val="17"/>
        <w:ind w:firstLine="640"/>
        <w:rPr>
          <w:rFonts w:hint="default"/>
          <w:highlight w:val="none"/>
        </w:rPr>
      </w:pPr>
      <w:r>
        <w:rPr>
          <w:highlight w:val="none"/>
        </w:rPr>
        <w:t>2、阶段性目标</w:t>
      </w:r>
    </w:p>
    <w:p w14:paraId="3736C1F3">
      <w:pPr>
        <w:pStyle w:val="17"/>
        <w:ind w:firstLine="640"/>
        <w:rPr>
          <w:rFonts w:hint="default"/>
          <w:highlight w:val="none"/>
        </w:rPr>
      </w:pPr>
      <w:r>
        <w:rPr>
          <w:highlight w:val="none"/>
        </w:rPr>
        <w:t>（1）前期准备：通过制定项目实施方案，经项目负责人审核通过后，有序开展后续工作。</w:t>
      </w:r>
    </w:p>
    <w:p w14:paraId="2999FE04">
      <w:pPr>
        <w:pStyle w:val="17"/>
        <w:ind w:firstLine="640"/>
        <w:rPr>
          <w:rFonts w:hint="default"/>
          <w:highlight w:val="none"/>
        </w:rPr>
      </w:pPr>
      <w:r>
        <w:rPr>
          <w:highlight w:val="none"/>
        </w:rPr>
        <w:t>（2）组织实施：资金一到位，立即根据项目要求实施项目。项目责任人按照项目实施方案要求逐一进行项目部署安排，提高项目质量及</w:t>
      </w:r>
      <w:r>
        <w:rPr>
          <w:rFonts w:hint="eastAsia"/>
          <w:highlight w:val="none"/>
          <w:lang w:eastAsia="zh-CN"/>
        </w:rPr>
        <w:t>效率</w:t>
      </w:r>
      <w:r>
        <w:rPr>
          <w:highlight w:val="none"/>
        </w:rPr>
        <w:t>。需要进行招标工作的科室，依据上一年度上报的政府采购预算，按照季度执行招标工作。每季度根据各归口管理部门上报的招标计划进行执行和考核。</w:t>
      </w:r>
    </w:p>
    <w:p w14:paraId="04080FE5">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67E3FB93">
      <w:pPr>
        <w:pStyle w:val="19"/>
        <w:ind w:firstLine="643"/>
        <w:rPr>
          <w:highlight w:val="none"/>
        </w:rPr>
      </w:pPr>
      <w:r>
        <w:rPr>
          <w:highlight w:val="none"/>
        </w:rPr>
        <w:t>（一）绩效评价目的、对象和范围</w:t>
      </w:r>
    </w:p>
    <w:p w14:paraId="36BC26BC">
      <w:pPr>
        <w:pStyle w:val="20"/>
        <w:ind w:firstLine="643"/>
        <w:rPr>
          <w:highlight w:val="none"/>
        </w:rPr>
      </w:pPr>
      <w:r>
        <w:rPr>
          <w:rFonts w:hint="eastAsia"/>
          <w:highlight w:val="none"/>
        </w:rPr>
        <w:t>1、绩效评价的目的</w:t>
      </w:r>
    </w:p>
    <w:p w14:paraId="307EAB86">
      <w:pPr>
        <w:pStyle w:val="17"/>
        <w:ind w:firstLine="640"/>
        <w:rPr>
          <w:rFonts w:hint="default"/>
          <w:highlight w:val="none"/>
        </w:rPr>
      </w:pPr>
      <w:r>
        <w:rPr>
          <w:highlight w:val="none"/>
        </w:rPr>
        <w:t>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73B6A7C7">
      <w:pPr>
        <w:pStyle w:val="20"/>
        <w:ind w:firstLine="643"/>
        <w:rPr>
          <w:highlight w:val="none"/>
        </w:rPr>
      </w:pPr>
      <w:r>
        <w:rPr>
          <w:rFonts w:hint="eastAsia"/>
          <w:highlight w:val="none"/>
        </w:rPr>
        <w:t>2、绩效评价的对象</w:t>
      </w:r>
    </w:p>
    <w:p w14:paraId="058E28EC">
      <w:pPr>
        <w:pStyle w:val="17"/>
        <w:ind w:firstLine="640"/>
        <w:rPr>
          <w:rFonts w:hint="default"/>
          <w:highlight w:val="none"/>
        </w:rPr>
      </w:pPr>
      <w:r>
        <w:rPr>
          <w:highlight w:val="none"/>
        </w:rPr>
        <w:t>医院政府采购预算项目所包含的全部项目内容。</w:t>
      </w:r>
    </w:p>
    <w:p w14:paraId="06DCF0C9">
      <w:pPr>
        <w:pStyle w:val="20"/>
        <w:ind w:firstLine="643"/>
        <w:rPr>
          <w:highlight w:val="none"/>
        </w:rPr>
      </w:pPr>
      <w:r>
        <w:rPr>
          <w:rFonts w:hint="eastAsia"/>
          <w:highlight w:val="none"/>
        </w:rPr>
        <w:t>3、绩效评价的范围</w:t>
      </w:r>
    </w:p>
    <w:p w14:paraId="40CD1049">
      <w:pPr>
        <w:pStyle w:val="17"/>
        <w:ind w:firstLine="640"/>
        <w:rPr>
          <w:rFonts w:hint="default"/>
          <w:highlight w:val="none"/>
        </w:rPr>
      </w:pPr>
      <w:r>
        <w:rPr>
          <w:highlight w:val="none"/>
        </w:rPr>
        <w:t>本次评价从项目决策（包括绩效目标、决策过程）、项目管理（包括项目资金、项目实施）、项目产出（包括项目产出数量、产出质量、产出时效和产出成本）、项目效益四个维度对医院政府采购项目进行评价，评价核心为政府采购预算专项资金的完成情况和效果。</w:t>
      </w:r>
    </w:p>
    <w:p w14:paraId="129A919C">
      <w:pPr>
        <w:pStyle w:val="19"/>
        <w:ind w:firstLine="643"/>
        <w:rPr>
          <w:highlight w:val="none"/>
        </w:rPr>
      </w:pPr>
      <w:r>
        <w:rPr>
          <w:highlight w:val="none"/>
        </w:rPr>
        <w:t>（二）绩效评价原则、评价指标体系（详情见表1）、评价方法、评价标准。</w:t>
      </w:r>
    </w:p>
    <w:p w14:paraId="2CF54BA2">
      <w:pPr>
        <w:pStyle w:val="20"/>
        <w:ind w:firstLine="643"/>
        <w:rPr>
          <w:highlight w:val="none"/>
        </w:rPr>
      </w:pPr>
      <w:r>
        <w:rPr>
          <w:rFonts w:hint="eastAsia"/>
          <w:highlight w:val="none"/>
        </w:rPr>
        <w:t>1、绩效评价原则</w:t>
      </w:r>
    </w:p>
    <w:p w14:paraId="044149C5">
      <w:pPr>
        <w:pStyle w:val="17"/>
        <w:ind w:firstLine="640"/>
        <w:rPr>
          <w:rFonts w:hint="default"/>
          <w:highlight w:val="none"/>
        </w:rPr>
      </w:pPr>
      <w:r>
        <w:rPr>
          <w:highlight w:val="none"/>
        </w:rPr>
        <w:t>本次项目绩效评价遵循以下基本原则：</w:t>
      </w:r>
    </w:p>
    <w:p w14:paraId="1E01E139">
      <w:pPr>
        <w:pStyle w:val="17"/>
        <w:ind w:firstLine="640"/>
        <w:rPr>
          <w:rFonts w:hint="default"/>
          <w:highlight w:val="none"/>
        </w:rPr>
      </w:pPr>
      <w:r>
        <w:rPr>
          <w:highlight w:val="none"/>
        </w:rPr>
        <w:t>（1）科学公正。绩效评价应当运用科学合理的方法，按照规范的程序，对项目绩效进行客观、公正</w:t>
      </w:r>
      <w:r>
        <w:rPr>
          <w:rFonts w:hint="eastAsia"/>
          <w:highlight w:val="none"/>
          <w:lang w:eastAsia="zh-CN"/>
        </w:rPr>
        <w:t>的</w:t>
      </w:r>
      <w:r>
        <w:rPr>
          <w:highlight w:val="none"/>
        </w:rPr>
        <w:t>反映。</w:t>
      </w:r>
    </w:p>
    <w:p w14:paraId="4E16FDDD">
      <w:pPr>
        <w:pStyle w:val="17"/>
        <w:ind w:firstLine="640"/>
        <w:rPr>
          <w:rFonts w:hint="default"/>
          <w:highlight w:val="none"/>
        </w:rPr>
      </w:pPr>
      <w:r>
        <w:rPr>
          <w:highlight w:val="none"/>
        </w:rPr>
        <w:t>（2）统筹兼顾。单位自评、部门评价和财政评价应职责明确，各有侧重，相互衔接。医院自主实施单位自评，即“谁支出、谁自评”。部门评价和财政评价应在单位自评的基础上开展。</w:t>
      </w:r>
    </w:p>
    <w:p w14:paraId="6F95F43A">
      <w:pPr>
        <w:pStyle w:val="17"/>
        <w:ind w:firstLine="640"/>
        <w:rPr>
          <w:rFonts w:hint="default"/>
          <w:highlight w:val="none"/>
        </w:rPr>
      </w:pPr>
      <w:r>
        <w:rPr>
          <w:highlight w:val="none"/>
        </w:rPr>
        <w:t>（3）激励约束。绩效评价结果应与预算安排、政策调整、改进管理实质性挂钩，体现奖优罚劣和激励相容导向，有效要安排、低效要压减、无效要问责。</w:t>
      </w:r>
    </w:p>
    <w:p w14:paraId="54B4B21D">
      <w:pPr>
        <w:pStyle w:val="17"/>
        <w:ind w:firstLine="640"/>
        <w:rPr>
          <w:rFonts w:hint="default"/>
          <w:highlight w:val="none"/>
        </w:rPr>
      </w:pPr>
      <w:r>
        <w:rPr>
          <w:highlight w:val="none"/>
        </w:rPr>
        <w:t>（4）公开透明。绩效评价结果应依法依规公开，并自觉接受社会监督。</w:t>
      </w:r>
    </w:p>
    <w:p w14:paraId="0CC12819">
      <w:pPr>
        <w:pStyle w:val="20"/>
        <w:ind w:firstLine="643"/>
        <w:rPr>
          <w:highlight w:val="none"/>
        </w:rPr>
      </w:pPr>
      <w:r>
        <w:rPr>
          <w:rFonts w:hint="eastAsia"/>
          <w:highlight w:val="none"/>
        </w:rPr>
        <w:t>2、评价指标体系</w:t>
      </w:r>
    </w:p>
    <w:p w14:paraId="0008A114">
      <w:pPr>
        <w:pStyle w:val="17"/>
        <w:ind w:firstLine="640"/>
        <w:rPr>
          <w:rFonts w:hint="default"/>
          <w:highlight w:val="none"/>
        </w:rPr>
      </w:pPr>
      <w:r>
        <w:rPr>
          <w:highlight w:val="none"/>
        </w:rPr>
        <w:t>绩效评价框架是开展绩效评价的核心。绩效评价框架包括评价准则、关键评价问题、评价指标、数据来源、数据收集方法等。指标体系建立过程如下：</w:t>
      </w:r>
    </w:p>
    <w:p w14:paraId="6963826A">
      <w:pPr>
        <w:pStyle w:val="17"/>
        <w:ind w:firstLine="643"/>
        <w:rPr>
          <w:rFonts w:hint="default"/>
          <w:b/>
          <w:bCs/>
          <w:highlight w:val="none"/>
        </w:rPr>
      </w:pPr>
      <w:r>
        <w:rPr>
          <w:b/>
          <w:bCs/>
          <w:highlight w:val="none"/>
        </w:rPr>
        <w:t>（1）确定评价指标</w:t>
      </w:r>
    </w:p>
    <w:p w14:paraId="5971B5ED">
      <w:pPr>
        <w:pStyle w:val="17"/>
        <w:ind w:firstLine="640"/>
        <w:rPr>
          <w:rFonts w:hint="default"/>
          <w:highlight w:val="none"/>
        </w:rPr>
      </w:pPr>
      <w:r>
        <w:rPr>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B53F255">
      <w:pPr>
        <w:pStyle w:val="17"/>
        <w:ind w:firstLine="643"/>
        <w:rPr>
          <w:rFonts w:hint="default"/>
          <w:b/>
          <w:bCs/>
          <w:highlight w:val="none"/>
        </w:rPr>
      </w:pPr>
      <w:r>
        <w:rPr>
          <w:b/>
          <w:bCs/>
          <w:highlight w:val="none"/>
        </w:rPr>
        <w:t>（2）确定权重</w:t>
      </w:r>
    </w:p>
    <w:p w14:paraId="3028D5E9">
      <w:pPr>
        <w:pStyle w:val="17"/>
        <w:ind w:firstLine="640"/>
        <w:rPr>
          <w:rFonts w:hint="default"/>
          <w:highlight w:val="none"/>
        </w:rPr>
      </w:pPr>
      <w:r>
        <w:rPr>
          <w:highlight w:val="none"/>
        </w:rPr>
        <w:t>确定各个指标相对于项目总体绩效的权重分值。在绩效评价指标体系中，项目决策权重为20分，项目过程权重为20分，项目产出权重为40分，项目效益权重为20分。</w:t>
      </w:r>
    </w:p>
    <w:p w14:paraId="39B518CB">
      <w:pPr>
        <w:pStyle w:val="17"/>
        <w:ind w:firstLine="643"/>
        <w:rPr>
          <w:rFonts w:hint="default"/>
          <w:b/>
          <w:bCs/>
          <w:highlight w:val="none"/>
        </w:rPr>
      </w:pPr>
      <w:r>
        <w:rPr>
          <w:b/>
          <w:bCs/>
          <w:highlight w:val="none"/>
        </w:rPr>
        <w:t>（3）确定指标标准值</w:t>
      </w:r>
    </w:p>
    <w:p w14:paraId="31F3B329">
      <w:pPr>
        <w:pStyle w:val="17"/>
        <w:ind w:firstLine="640"/>
        <w:rPr>
          <w:rFonts w:hint="default"/>
          <w:highlight w:val="none"/>
        </w:rPr>
      </w:pPr>
      <w:r>
        <w:rPr>
          <w:highlight w:val="none"/>
        </w:rPr>
        <w:t>指标标准值是绩效评价指标的尺度，既要反映同类项目的先进水平，又要符合项目的实际绩效水平。具体采用计划标准等确定此次绩效评价指标标准值。</w:t>
      </w:r>
    </w:p>
    <w:p w14:paraId="2B620CA2">
      <w:pPr>
        <w:pStyle w:val="17"/>
        <w:ind w:firstLine="640"/>
        <w:rPr>
          <w:rFonts w:hint="default"/>
          <w:highlight w:val="none"/>
        </w:rPr>
      </w:pPr>
      <w:r>
        <w:rPr>
          <w:highlight w:val="none"/>
        </w:rPr>
        <w:t>绩效评价总分值100分，根据综合评分结果，评价计分90分</w:t>
      </w:r>
      <w:r>
        <w:rPr>
          <w:rFonts w:hint="eastAsia"/>
          <w:highlight w:val="none"/>
          <w:lang w:eastAsia="zh-CN"/>
        </w:rPr>
        <w:t>—</w:t>
      </w:r>
      <w:r>
        <w:rPr>
          <w:highlight w:val="none"/>
        </w:rPr>
        <w:t>100分（含90分）对应的评分结果级别为优，80</w:t>
      </w:r>
      <w:r>
        <w:rPr>
          <w:rFonts w:hint="eastAsia"/>
          <w:highlight w:val="none"/>
          <w:lang w:eastAsia="zh-CN"/>
        </w:rPr>
        <w:t>—</w:t>
      </w:r>
      <w:r>
        <w:rPr>
          <w:highlight w:val="none"/>
        </w:rPr>
        <w:t>90分（含80分）对应的评分结果级别为良，60</w:t>
      </w:r>
      <w:r>
        <w:rPr>
          <w:rFonts w:hint="eastAsia"/>
          <w:highlight w:val="none"/>
          <w:lang w:eastAsia="zh-CN"/>
        </w:rPr>
        <w:t>—</w:t>
      </w:r>
      <w:r>
        <w:rPr>
          <w:highlight w:val="none"/>
        </w:rPr>
        <w:t>80分（含60分）对应的评分结果级别为中，60分以下对应的评分结果级别为差。</w:t>
      </w:r>
    </w:p>
    <w:p w14:paraId="648D057E">
      <w:pPr>
        <w:pStyle w:val="17"/>
        <w:ind w:firstLine="640"/>
        <w:rPr>
          <w:rFonts w:hint="default"/>
          <w:highlight w:val="none"/>
        </w:rPr>
      </w:pPr>
      <w:r>
        <w:rPr>
          <w:highlight w:val="none"/>
        </w:rPr>
        <w:t>具体评价指标体系详情见附件1</w:t>
      </w:r>
    </w:p>
    <w:p w14:paraId="40DFC043">
      <w:pPr>
        <w:pStyle w:val="20"/>
        <w:ind w:firstLine="643"/>
        <w:rPr>
          <w:highlight w:val="none"/>
        </w:rPr>
      </w:pPr>
      <w:r>
        <w:rPr>
          <w:rFonts w:hint="eastAsia"/>
          <w:highlight w:val="none"/>
        </w:rPr>
        <w:t>3、绩效评价方法</w:t>
      </w:r>
    </w:p>
    <w:p w14:paraId="192DBD26">
      <w:pPr>
        <w:pStyle w:val="17"/>
        <w:ind w:firstLine="640"/>
        <w:rPr>
          <w:rFonts w:hint="default"/>
          <w:highlight w:val="none"/>
        </w:rPr>
      </w:pPr>
      <w:r>
        <w:rPr>
          <w:highlight w:val="none"/>
        </w:rPr>
        <w:t>绩效评价从项目决策、项目过程、项目产出、项目效益四个维度进行评价。评价对象为项目目标实施情况，评价核心为资金的支出完成情况和项目的产出效益。</w:t>
      </w:r>
    </w:p>
    <w:p w14:paraId="10A91156">
      <w:pPr>
        <w:pStyle w:val="17"/>
        <w:ind w:firstLine="640"/>
        <w:rPr>
          <w:rFonts w:hint="default"/>
          <w:highlight w:val="none"/>
        </w:rPr>
      </w:pPr>
      <w:r>
        <w:rPr>
          <w:highlight w:val="none"/>
        </w:rPr>
        <w:t>本次评价指标中，既有定性指标又有定量指标，各类指标因考核内容不同和客观标准不同存在较大差异，因此核定具体指标时采用了不同方法，具体评价方法如下：</w:t>
      </w:r>
    </w:p>
    <w:p w14:paraId="515CA606">
      <w:pPr>
        <w:pStyle w:val="17"/>
        <w:ind w:firstLine="643"/>
        <w:rPr>
          <w:rFonts w:hint="default"/>
          <w:b/>
          <w:bCs/>
          <w:highlight w:val="none"/>
        </w:rPr>
      </w:pPr>
      <w:r>
        <w:rPr>
          <w:b/>
          <w:bCs/>
          <w:highlight w:val="none"/>
        </w:rPr>
        <w:t>（1）比较法</w:t>
      </w:r>
    </w:p>
    <w:p w14:paraId="1F5DC6DA">
      <w:pPr>
        <w:pStyle w:val="17"/>
        <w:ind w:firstLine="640"/>
        <w:rPr>
          <w:rFonts w:hint="default"/>
          <w:highlight w:val="none"/>
        </w:rPr>
      </w:pPr>
      <w:r>
        <w:rPr>
          <w:highlight w:val="none"/>
        </w:rPr>
        <w:t>通过对绩效目标与实施效果、历史与当期情况，综合分析绩效目标实现程度。对项目最终验收情况与年度绩效目标对比、预算资金执行情况等相关因素进行比较。</w:t>
      </w:r>
    </w:p>
    <w:p w14:paraId="5D49DB16">
      <w:pPr>
        <w:pStyle w:val="17"/>
        <w:ind w:firstLine="643"/>
        <w:rPr>
          <w:rFonts w:hint="default"/>
          <w:b/>
          <w:bCs/>
          <w:highlight w:val="none"/>
        </w:rPr>
      </w:pPr>
      <w:r>
        <w:rPr>
          <w:b/>
          <w:bCs/>
          <w:highlight w:val="none"/>
        </w:rPr>
        <w:t>（2）因素分析法</w:t>
      </w:r>
    </w:p>
    <w:p w14:paraId="07ECCE3F">
      <w:pPr>
        <w:pStyle w:val="17"/>
        <w:ind w:firstLine="640"/>
        <w:rPr>
          <w:rFonts w:hint="default"/>
          <w:highlight w:val="none"/>
        </w:rPr>
      </w:pPr>
      <w:r>
        <w:rPr>
          <w:highlight w:val="none"/>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68C1FC92">
      <w:pPr>
        <w:pStyle w:val="20"/>
        <w:ind w:firstLine="643"/>
        <w:rPr>
          <w:highlight w:val="none"/>
        </w:rPr>
      </w:pPr>
      <w:r>
        <w:rPr>
          <w:rFonts w:hint="eastAsia"/>
          <w:highlight w:val="none"/>
        </w:rPr>
        <w:t>4、评价标准</w:t>
      </w:r>
    </w:p>
    <w:p w14:paraId="023994AE">
      <w:pPr>
        <w:pStyle w:val="17"/>
        <w:ind w:firstLine="640"/>
        <w:rPr>
          <w:rFonts w:hint="default"/>
          <w:highlight w:val="none"/>
        </w:rPr>
      </w:pPr>
      <w:r>
        <w:rPr>
          <w:highlight w:val="none"/>
        </w:rPr>
        <w:t>绩效评价标准通常包括计划标准、行业标准、历史标准等，用于对绩效指标完成情况进行比较、分析、评价。本次评价主要采用了计划标准和历史标准。</w:t>
      </w:r>
    </w:p>
    <w:p w14:paraId="3618832A">
      <w:pPr>
        <w:pStyle w:val="17"/>
        <w:ind w:firstLine="643"/>
        <w:rPr>
          <w:rFonts w:hint="default"/>
          <w:highlight w:val="none"/>
        </w:rPr>
      </w:pPr>
      <w:bookmarkStart w:id="0" w:name="_Toc17882"/>
      <w:bookmarkStart w:id="1" w:name="_Toc31464"/>
      <w:r>
        <w:rPr>
          <w:b/>
          <w:bCs/>
          <w:highlight w:val="none"/>
        </w:rPr>
        <w:t>计划标准：</w:t>
      </w:r>
      <w:r>
        <w:rPr>
          <w:highlight w:val="none"/>
        </w:rPr>
        <w:t>指以预先制定的目标、计划、预算、定额等作为评价标准。</w:t>
      </w:r>
      <w:bookmarkEnd w:id="0"/>
      <w:bookmarkEnd w:id="1"/>
    </w:p>
    <w:p w14:paraId="22DDC36C">
      <w:pPr>
        <w:pStyle w:val="17"/>
        <w:ind w:firstLine="643"/>
        <w:rPr>
          <w:rFonts w:hint="default"/>
          <w:highlight w:val="none"/>
        </w:rPr>
      </w:pPr>
      <w:bookmarkStart w:id="2" w:name="_Toc16028"/>
      <w:bookmarkStart w:id="3" w:name="_Toc430"/>
      <w:r>
        <w:rPr>
          <w:b/>
          <w:bCs/>
          <w:highlight w:val="none"/>
        </w:rPr>
        <w:t>历史标准：</w:t>
      </w:r>
      <w:r>
        <w:rPr>
          <w:highlight w:val="none"/>
        </w:rPr>
        <w:t>指参照历史数据制定的评价标准，为体现绩效改进的原则，在可实现的条件下应当确定相对较高的评价标准。</w:t>
      </w:r>
      <w:bookmarkEnd w:id="2"/>
      <w:bookmarkEnd w:id="3"/>
    </w:p>
    <w:p w14:paraId="139175E3">
      <w:pPr>
        <w:pStyle w:val="19"/>
        <w:numPr>
          <w:ilvl w:val="0"/>
          <w:numId w:val="1"/>
        </w:numPr>
        <w:ind w:firstLine="643"/>
        <w:rPr>
          <w:highlight w:val="none"/>
        </w:rPr>
      </w:pPr>
      <w:r>
        <w:rPr>
          <w:rFonts w:hint="eastAsia"/>
          <w:highlight w:val="none"/>
        </w:rPr>
        <w:t>绩效评价工作过程</w:t>
      </w:r>
    </w:p>
    <w:p w14:paraId="48A71241">
      <w:pPr>
        <w:pStyle w:val="17"/>
        <w:ind w:firstLine="643"/>
        <w:rPr>
          <w:rFonts w:hint="default"/>
          <w:highlight w:val="none"/>
        </w:rPr>
      </w:pPr>
      <w:r>
        <w:rPr>
          <w:b/>
          <w:bCs/>
          <w:highlight w:val="none"/>
        </w:rPr>
        <w:t>1.前期准备。</w:t>
      </w:r>
      <w:r>
        <w:rPr>
          <w:highlight w:val="none"/>
        </w:rPr>
        <w:t>首先成立评价工作组，开展前期调研；其次明确项目绩效目标，设计绩效评价指标体系并确定绩效评价方法；接着确定现场和非现场评价范围，设计资料清单；最后制定评价实施方案并进行论证。</w:t>
      </w:r>
    </w:p>
    <w:p w14:paraId="167C3E77">
      <w:pPr>
        <w:pStyle w:val="17"/>
        <w:ind w:firstLine="643"/>
        <w:rPr>
          <w:rFonts w:hint="default"/>
          <w:highlight w:val="none"/>
        </w:rPr>
      </w:pPr>
      <w:r>
        <w:rPr>
          <w:b/>
          <w:bCs/>
          <w:highlight w:val="none"/>
        </w:rPr>
        <w:t>2.组织实施。</w:t>
      </w:r>
      <w:r>
        <w:rPr>
          <w:highlight w:val="none"/>
        </w:rPr>
        <w:t>制定绩效评价工作方案，具体包括项目概况、评价思路、方法手段、组织实施、进度安排等。收集项目立项依据、相关会议纪要、实施方案、财政资金分配方案、支付管理情况等相关评价资料并进行梳理。</w:t>
      </w:r>
    </w:p>
    <w:p w14:paraId="651166B0">
      <w:pPr>
        <w:pStyle w:val="17"/>
        <w:ind w:firstLine="643"/>
        <w:rPr>
          <w:rFonts w:hint="default"/>
          <w:highlight w:val="none"/>
        </w:rPr>
      </w:pPr>
      <w:r>
        <w:rPr>
          <w:b/>
          <w:bCs/>
          <w:highlight w:val="none"/>
        </w:rPr>
        <w:t>3.分析评价。</w:t>
      </w:r>
      <w:r>
        <w:rPr>
          <w:highlight w:val="none"/>
        </w:rPr>
        <w:t>根据收集梳理的资料围绕项目立项、资金落实、业务管理、财务管理、项目产出、项目效益等内容，对照已确定的绩效评价指标进行详细全面的分析评价，逐项打分并形成绩效评价最终结果。</w:t>
      </w:r>
    </w:p>
    <w:p w14:paraId="6BAC9A69">
      <w:pPr>
        <w:pStyle w:val="18"/>
        <w:rPr>
          <w:highlight w:val="none"/>
        </w:rPr>
      </w:pPr>
      <w:r>
        <w:rPr>
          <w:rFonts w:hint="eastAsia"/>
          <w:highlight w:val="none"/>
        </w:rPr>
        <w:t>三、综合评价情况及评价结论（附相关评分表）</w:t>
      </w:r>
    </w:p>
    <w:p w14:paraId="74130D41">
      <w:pPr>
        <w:pStyle w:val="19"/>
        <w:ind w:firstLine="643"/>
        <w:rPr>
          <w:highlight w:val="none"/>
        </w:rPr>
      </w:pPr>
      <w:r>
        <w:rPr>
          <w:rFonts w:hint="eastAsia"/>
          <w:highlight w:val="none"/>
        </w:rPr>
        <w:t>（一）评价情况</w:t>
      </w:r>
    </w:p>
    <w:p w14:paraId="0AE396ED">
      <w:pPr>
        <w:pStyle w:val="17"/>
        <w:ind w:firstLine="640"/>
        <w:rPr>
          <w:rFonts w:hint="default"/>
          <w:highlight w:val="none"/>
        </w:rPr>
      </w:pPr>
      <w:r>
        <w:rPr>
          <w:highlight w:val="none"/>
        </w:rPr>
        <w:t>项目总体组织规范，在项目实施过</w:t>
      </w:r>
      <w:r>
        <w:rPr>
          <w:rFonts w:hint="eastAsia"/>
          <w:highlight w:val="none"/>
          <w:lang w:eastAsia="zh-CN"/>
        </w:rPr>
        <w:t>程中</w:t>
      </w:r>
      <w:r>
        <w:rPr>
          <w:highlight w:val="none"/>
        </w:rPr>
        <w:t>做到认真履职，监督到位。按照相关制度的要求，项目负责人对项目绩效监控执行情况进行跟踪监督，有效完成了本项目的工作目标，确保资金使用安全和最大效益</w:t>
      </w:r>
      <w:r>
        <w:rPr>
          <w:rFonts w:hint="eastAsia"/>
          <w:highlight w:val="none"/>
          <w:lang w:eastAsia="zh-CN"/>
        </w:rPr>
        <w:t>地</w:t>
      </w:r>
      <w:r>
        <w:rPr>
          <w:highlight w:val="none"/>
        </w:rPr>
        <w:t>发挥，保障项目如期按要求完成。规范了项目档案资料的整理。项目的实施达到项目预期效果。</w:t>
      </w:r>
    </w:p>
    <w:p w14:paraId="67B2165F">
      <w:pPr>
        <w:pStyle w:val="19"/>
        <w:ind w:firstLine="643"/>
        <w:rPr>
          <w:highlight w:val="none"/>
        </w:rPr>
      </w:pPr>
      <w:r>
        <w:rPr>
          <w:rFonts w:hint="eastAsia"/>
          <w:highlight w:val="none"/>
        </w:rPr>
        <w:t>（二）评价结论</w:t>
      </w:r>
    </w:p>
    <w:p w14:paraId="4F151297">
      <w:pPr>
        <w:pStyle w:val="17"/>
        <w:ind w:firstLine="640"/>
        <w:rPr>
          <w:rFonts w:hint="default"/>
          <w:highlight w:val="none"/>
        </w:rPr>
      </w:pPr>
      <w:r>
        <w:rPr>
          <w:highlight w:val="none"/>
        </w:rPr>
        <w:t>运用绩效评价组制定的评价指标体系以及财政部《项目支出绩效评价管理办法》（财预〔2020〕10号）文件的评分标准，通过数据采集、问卷调查及访谈等方式，对2023年政府采购预算项目进行客观评价，总得分为93.6分，属于“优”。其中，项目决策类指标权重为20分，得分为20分，得分率为100%。项目过程类指标权重为20分，得分为18.72分，得分率为93.6%。项目产出类指标权重为40分，得分为34.88分，得分率为87.2%。项目效益类指标权重为20分，得分为20分，得分率为100%。具体打分情况详见：附件1综合评分表。</w:t>
      </w:r>
    </w:p>
    <w:p w14:paraId="700C3961">
      <w:pPr>
        <w:pStyle w:val="2"/>
        <w:spacing w:before="0" w:after="0"/>
        <w:rPr>
          <w:rFonts w:ascii="Times New Roman" w:hAnsi="Times New Roman" w:eastAsia="仿宋_GB2312"/>
          <w:sz w:val="30"/>
          <w:szCs w:val="30"/>
          <w:highlight w:val="none"/>
        </w:rPr>
      </w:pPr>
      <w:r>
        <w:rPr>
          <w:rFonts w:ascii="Times New Roman" w:hAnsi="Times New Roman" w:eastAsia="仿宋_GB2312"/>
          <w:sz w:val="30"/>
          <w:szCs w:val="30"/>
          <w:highlight w:val="none"/>
        </w:rPr>
        <w:t>表1综合评分表</w:t>
      </w:r>
    </w:p>
    <w:tbl>
      <w:tblPr>
        <w:tblStyle w:val="13"/>
        <w:tblW w:w="4997" w:type="pct"/>
        <w:jc w:val="center"/>
        <w:tblLayout w:type="autofit"/>
        <w:tblCellMar>
          <w:top w:w="0" w:type="dxa"/>
          <w:left w:w="108" w:type="dxa"/>
          <w:bottom w:w="0" w:type="dxa"/>
          <w:right w:w="108" w:type="dxa"/>
        </w:tblCellMar>
      </w:tblPr>
      <w:tblGrid>
        <w:gridCol w:w="3623"/>
        <w:gridCol w:w="2674"/>
        <w:gridCol w:w="2462"/>
      </w:tblGrid>
      <w:tr w14:paraId="3B5EE389">
        <w:tblPrEx>
          <w:tblCellMar>
            <w:top w:w="0" w:type="dxa"/>
            <w:left w:w="108" w:type="dxa"/>
            <w:bottom w:w="0" w:type="dxa"/>
            <w:right w:w="108" w:type="dxa"/>
          </w:tblCellMar>
        </w:tblPrEx>
        <w:trPr>
          <w:trHeight w:val="448" w:hRule="atLeast"/>
          <w:tblHeader/>
          <w:jc w:val="center"/>
        </w:trPr>
        <w:tc>
          <w:tcPr>
            <w:tcW w:w="2068" w:type="pct"/>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00C38CC">
            <w:pPr>
              <w:jc w:val="center"/>
              <w:rPr>
                <w:b/>
                <w:bCs/>
                <w:color w:val="000000"/>
                <w:sz w:val="22"/>
                <w:highlight w:val="none"/>
              </w:rPr>
            </w:pPr>
            <w:r>
              <w:rPr>
                <w:rFonts w:hint="eastAsia"/>
                <w:b/>
                <w:bCs/>
                <w:color w:val="000000"/>
                <w:sz w:val="22"/>
                <w:highlight w:val="none"/>
              </w:rPr>
              <w:t>一级指标</w:t>
            </w:r>
          </w:p>
        </w:tc>
        <w:tc>
          <w:tcPr>
            <w:tcW w:w="1526"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BA07BCE">
            <w:pPr>
              <w:jc w:val="center"/>
              <w:rPr>
                <w:b/>
                <w:bCs/>
                <w:color w:val="000000"/>
                <w:sz w:val="22"/>
                <w:highlight w:val="none"/>
              </w:rPr>
            </w:pPr>
            <w:r>
              <w:rPr>
                <w:rFonts w:hint="eastAsia"/>
                <w:b/>
                <w:bCs/>
                <w:color w:val="000000"/>
                <w:sz w:val="22"/>
                <w:highlight w:val="none"/>
              </w:rPr>
              <w:t>权重分</w:t>
            </w:r>
          </w:p>
        </w:tc>
        <w:tc>
          <w:tcPr>
            <w:tcW w:w="1405"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FD722AB">
            <w:pPr>
              <w:jc w:val="center"/>
              <w:rPr>
                <w:b/>
                <w:bCs/>
                <w:color w:val="000000"/>
                <w:sz w:val="22"/>
                <w:highlight w:val="none"/>
              </w:rPr>
            </w:pPr>
            <w:r>
              <w:rPr>
                <w:rFonts w:hint="eastAsia"/>
                <w:b/>
                <w:bCs/>
                <w:color w:val="000000"/>
                <w:sz w:val="22"/>
                <w:highlight w:val="none"/>
              </w:rPr>
              <w:t>得分</w:t>
            </w:r>
          </w:p>
        </w:tc>
      </w:tr>
      <w:tr w14:paraId="0FFEB268">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14:paraId="1A45C09D">
            <w:pPr>
              <w:jc w:val="center"/>
              <w:rPr>
                <w:color w:val="000000"/>
                <w:sz w:val="22"/>
                <w:highlight w:val="none"/>
              </w:rPr>
            </w:pPr>
            <w:r>
              <w:rPr>
                <w:rFonts w:hint="eastAsia"/>
                <w:color w:val="000000"/>
                <w:sz w:val="22"/>
                <w:highlight w:val="none"/>
              </w:rPr>
              <w:t>项目决策</w:t>
            </w:r>
          </w:p>
        </w:tc>
        <w:tc>
          <w:tcPr>
            <w:tcW w:w="1526" w:type="pct"/>
            <w:tcBorders>
              <w:top w:val="nil"/>
              <w:left w:val="nil"/>
              <w:bottom w:val="single" w:color="auto" w:sz="4" w:space="0"/>
              <w:right w:val="single" w:color="auto" w:sz="4" w:space="0"/>
            </w:tcBorders>
            <w:shd w:val="clear" w:color="auto" w:fill="auto"/>
            <w:vAlign w:val="center"/>
          </w:tcPr>
          <w:p w14:paraId="0F150E7D">
            <w:pPr>
              <w:jc w:val="center"/>
              <w:rPr>
                <w:color w:val="000000"/>
                <w:sz w:val="22"/>
                <w:highlight w:val="none"/>
              </w:rPr>
            </w:pPr>
            <w:r>
              <w:rPr>
                <w:rFonts w:hint="eastAsia"/>
                <w:color w:val="000000"/>
                <w:sz w:val="22"/>
                <w:highlight w:val="none"/>
              </w:rPr>
              <w:t>20</w:t>
            </w:r>
          </w:p>
        </w:tc>
        <w:tc>
          <w:tcPr>
            <w:tcW w:w="1405" w:type="pct"/>
            <w:tcBorders>
              <w:top w:val="nil"/>
              <w:left w:val="nil"/>
              <w:bottom w:val="single" w:color="auto" w:sz="4" w:space="0"/>
              <w:right w:val="single" w:color="auto" w:sz="4" w:space="0"/>
            </w:tcBorders>
            <w:shd w:val="clear" w:color="auto" w:fill="auto"/>
            <w:vAlign w:val="center"/>
          </w:tcPr>
          <w:p w14:paraId="706017A9">
            <w:pPr>
              <w:jc w:val="center"/>
              <w:rPr>
                <w:color w:val="000000"/>
                <w:sz w:val="22"/>
                <w:highlight w:val="none"/>
              </w:rPr>
            </w:pPr>
            <w:r>
              <w:rPr>
                <w:rFonts w:hint="eastAsia"/>
                <w:color w:val="000000"/>
                <w:sz w:val="22"/>
                <w:highlight w:val="none"/>
              </w:rPr>
              <w:t>20</w:t>
            </w:r>
          </w:p>
        </w:tc>
      </w:tr>
      <w:tr w14:paraId="1AD597A1">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14:paraId="6082AE68">
            <w:pPr>
              <w:jc w:val="center"/>
              <w:rPr>
                <w:color w:val="000000"/>
                <w:sz w:val="22"/>
                <w:highlight w:val="none"/>
              </w:rPr>
            </w:pPr>
            <w:r>
              <w:rPr>
                <w:rFonts w:hint="eastAsia"/>
                <w:color w:val="000000"/>
                <w:sz w:val="22"/>
                <w:highlight w:val="none"/>
              </w:rPr>
              <w:t>项目过程</w:t>
            </w:r>
          </w:p>
        </w:tc>
        <w:tc>
          <w:tcPr>
            <w:tcW w:w="1526" w:type="pct"/>
            <w:tcBorders>
              <w:top w:val="nil"/>
              <w:left w:val="nil"/>
              <w:bottom w:val="single" w:color="auto" w:sz="4" w:space="0"/>
              <w:right w:val="single" w:color="auto" w:sz="4" w:space="0"/>
            </w:tcBorders>
            <w:shd w:val="clear" w:color="auto" w:fill="auto"/>
            <w:vAlign w:val="center"/>
          </w:tcPr>
          <w:p w14:paraId="40DA57FE">
            <w:pPr>
              <w:jc w:val="center"/>
              <w:rPr>
                <w:color w:val="000000"/>
                <w:sz w:val="22"/>
                <w:highlight w:val="none"/>
              </w:rPr>
            </w:pPr>
            <w:r>
              <w:rPr>
                <w:rFonts w:hint="eastAsia"/>
                <w:color w:val="000000"/>
                <w:sz w:val="22"/>
                <w:highlight w:val="none"/>
              </w:rPr>
              <w:t>20</w:t>
            </w:r>
          </w:p>
        </w:tc>
        <w:tc>
          <w:tcPr>
            <w:tcW w:w="1405" w:type="pct"/>
            <w:tcBorders>
              <w:top w:val="nil"/>
              <w:left w:val="nil"/>
              <w:bottom w:val="single" w:color="auto" w:sz="4" w:space="0"/>
              <w:right w:val="single" w:color="auto" w:sz="4" w:space="0"/>
            </w:tcBorders>
            <w:shd w:val="clear" w:color="auto" w:fill="auto"/>
            <w:vAlign w:val="center"/>
          </w:tcPr>
          <w:p w14:paraId="53B61A23">
            <w:pPr>
              <w:jc w:val="center"/>
              <w:rPr>
                <w:color w:val="000000"/>
                <w:sz w:val="22"/>
                <w:highlight w:val="none"/>
              </w:rPr>
            </w:pPr>
            <w:r>
              <w:rPr>
                <w:rFonts w:hint="eastAsia"/>
                <w:color w:val="000000"/>
                <w:sz w:val="22"/>
                <w:highlight w:val="none"/>
              </w:rPr>
              <w:t>18.72</w:t>
            </w:r>
          </w:p>
        </w:tc>
      </w:tr>
      <w:tr w14:paraId="1C2875C8">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14:paraId="2FF602FB">
            <w:pPr>
              <w:jc w:val="center"/>
              <w:rPr>
                <w:color w:val="000000"/>
                <w:sz w:val="22"/>
                <w:highlight w:val="none"/>
              </w:rPr>
            </w:pPr>
            <w:r>
              <w:rPr>
                <w:rFonts w:hint="eastAsia"/>
                <w:color w:val="000000"/>
                <w:sz w:val="22"/>
                <w:highlight w:val="none"/>
              </w:rPr>
              <w:t>项目产出</w:t>
            </w:r>
          </w:p>
        </w:tc>
        <w:tc>
          <w:tcPr>
            <w:tcW w:w="1526" w:type="pct"/>
            <w:tcBorders>
              <w:top w:val="nil"/>
              <w:left w:val="nil"/>
              <w:bottom w:val="single" w:color="auto" w:sz="4" w:space="0"/>
              <w:right w:val="single" w:color="auto" w:sz="4" w:space="0"/>
            </w:tcBorders>
            <w:shd w:val="clear" w:color="auto" w:fill="auto"/>
            <w:vAlign w:val="center"/>
          </w:tcPr>
          <w:p w14:paraId="62767D32">
            <w:pPr>
              <w:jc w:val="center"/>
              <w:rPr>
                <w:color w:val="000000"/>
                <w:sz w:val="22"/>
                <w:highlight w:val="none"/>
              </w:rPr>
            </w:pPr>
            <w:r>
              <w:rPr>
                <w:rFonts w:hint="eastAsia"/>
                <w:color w:val="000000"/>
                <w:sz w:val="22"/>
                <w:highlight w:val="none"/>
              </w:rPr>
              <w:t>40</w:t>
            </w:r>
          </w:p>
        </w:tc>
        <w:tc>
          <w:tcPr>
            <w:tcW w:w="1405" w:type="pct"/>
            <w:tcBorders>
              <w:top w:val="nil"/>
              <w:left w:val="nil"/>
              <w:bottom w:val="single" w:color="auto" w:sz="4" w:space="0"/>
              <w:right w:val="single" w:color="auto" w:sz="4" w:space="0"/>
            </w:tcBorders>
            <w:shd w:val="clear" w:color="auto" w:fill="auto"/>
            <w:vAlign w:val="center"/>
          </w:tcPr>
          <w:p w14:paraId="698B40EF">
            <w:pPr>
              <w:jc w:val="center"/>
              <w:rPr>
                <w:color w:val="000000"/>
                <w:sz w:val="22"/>
                <w:highlight w:val="none"/>
              </w:rPr>
            </w:pPr>
            <w:r>
              <w:rPr>
                <w:rFonts w:hint="eastAsia"/>
                <w:color w:val="000000"/>
                <w:sz w:val="22"/>
                <w:highlight w:val="none"/>
              </w:rPr>
              <w:t>34.88</w:t>
            </w:r>
          </w:p>
        </w:tc>
      </w:tr>
      <w:tr w14:paraId="263B79B7">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14:paraId="6AFF349F">
            <w:pPr>
              <w:jc w:val="center"/>
              <w:rPr>
                <w:color w:val="000000"/>
                <w:sz w:val="22"/>
                <w:highlight w:val="none"/>
              </w:rPr>
            </w:pPr>
            <w:r>
              <w:rPr>
                <w:rFonts w:hint="eastAsia"/>
                <w:color w:val="000000"/>
                <w:sz w:val="22"/>
                <w:highlight w:val="none"/>
              </w:rPr>
              <w:t>项目效益</w:t>
            </w:r>
          </w:p>
        </w:tc>
        <w:tc>
          <w:tcPr>
            <w:tcW w:w="1526" w:type="pct"/>
            <w:tcBorders>
              <w:top w:val="nil"/>
              <w:left w:val="nil"/>
              <w:bottom w:val="single" w:color="auto" w:sz="4" w:space="0"/>
              <w:right w:val="single" w:color="auto" w:sz="4" w:space="0"/>
            </w:tcBorders>
            <w:shd w:val="clear" w:color="auto" w:fill="auto"/>
            <w:vAlign w:val="center"/>
          </w:tcPr>
          <w:p w14:paraId="7DDBB070">
            <w:pPr>
              <w:jc w:val="center"/>
              <w:rPr>
                <w:color w:val="000000"/>
                <w:sz w:val="22"/>
                <w:highlight w:val="none"/>
              </w:rPr>
            </w:pPr>
            <w:r>
              <w:rPr>
                <w:rFonts w:hint="eastAsia"/>
                <w:color w:val="000000"/>
                <w:sz w:val="22"/>
                <w:highlight w:val="none"/>
              </w:rPr>
              <w:t>20</w:t>
            </w:r>
          </w:p>
        </w:tc>
        <w:tc>
          <w:tcPr>
            <w:tcW w:w="1405" w:type="pct"/>
            <w:tcBorders>
              <w:top w:val="nil"/>
              <w:left w:val="nil"/>
              <w:bottom w:val="single" w:color="auto" w:sz="4" w:space="0"/>
              <w:right w:val="single" w:color="auto" w:sz="4" w:space="0"/>
            </w:tcBorders>
            <w:shd w:val="clear" w:color="auto" w:fill="auto"/>
            <w:vAlign w:val="center"/>
          </w:tcPr>
          <w:p w14:paraId="48D813A5">
            <w:pPr>
              <w:jc w:val="center"/>
              <w:rPr>
                <w:color w:val="000000"/>
                <w:sz w:val="22"/>
                <w:highlight w:val="none"/>
              </w:rPr>
            </w:pPr>
            <w:r>
              <w:rPr>
                <w:rFonts w:hint="eastAsia"/>
                <w:color w:val="000000"/>
                <w:sz w:val="22"/>
                <w:highlight w:val="none"/>
              </w:rPr>
              <w:t>20</w:t>
            </w:r>
          </w:p>
        </w:tc>
      </w:tr>
      <w:tr w14:paraId="2FBC92EC">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14:paraId="52B5BC0E">
            <w:pPr>
              <w:jc w:val="center"/>
              <w:rPr>
                <w:rFonts w:cs="宋体"/>
                <w:b/>
                <w:bCs/>
                <w:color w:val="000000"/>
                <w:sz w:val="22"/>
                <w:highlight w:val="none"/>
              </w:rPr>
            </w:pPr>
            <w:r>
              <w:rPr>
                <w:rFonts w:hint="eastAsia" w:cs="宋体"/>
                <w:b/>
                <w:bCs/>
                <w:color w:val="000000"/>
                <w:sz w:val="22"/>
                <w:highlight w:val="none"/>
              </w:rPr>
              <w:t>合计</w:t>
            </w:r>
          </w:p>
        </w:tc>
        <w:tc>
          <w:tcPr>
            <w:tcW w:w="1526" w:type="pct"/>
            <w:tcBorders>
              <w:top w:val="nil"/>
              <w:left w:val="nil"/>
              <w:bottom w:val="single" w:color="auto" w:sz="4" w:space="0"/>
              <w:right w:val="single" w:color="auto" w:sz="4" w:space="0"/>
            </w:tcBorders>
            <w:shd w:val="clear" w:color="auto" w:fill="auto"/>
            <w:vAlign w:val="center"/>
          </w:tcPr>
          <w:p w14:paraId="6E1BDBA1">
            <w:pPr>
              <w:jc w:val="center"/>
              <w:rPr>
                <w:b/>
                <w:bCs/>
                <w:color w:val="000000"/>
                <w:sz w:val="22"/>
                <w:highlight w:val="none"/>
              </w:rPr>
            </w:pPr>
            <w:r>
              <w:rPr>
                <w:rFonts w:hint="eastAsia"/>
                <w:b/>
                <w:bCs/>
                <w:color w:val="000000"/>
                <w:sz w:val="22"/>
                <w:highlight w:val="none"/>
              </w:rPr>
              <w:t>100</w:t>
            </w:r>
          </w:p>
        </w:tc>
        <w:tc>
          <w:tcPr>
            <w:tcW w:w="1405" w:type="pct"/>
            <w:tcBorders>
              <w:top w:val="nil"/>
              <w:left w:val="nil"/>
              <w:bottom w:val="single" w:color="auto" w:sz="4" w:space="0"/>
              <w:right w:val="single" w:color="auto" w:sz="4" w:space="0"/>
            </w:tcBorders>
            <w:shd w:val="clear" w:color="auto" w:fill="auto"/>
            <w:vAlign w:val="center"/>
          </w:tcPr>
          <w:p w14:paraId="4E4C2B84">
            <w:pPr>
              <w:jc w:val="center"/>
              <w:rPr>
                <w:b/>
                <w:bCs/>
                <w:color w:val="000000"/>
                <w:sz w:val="22"/>
                <w:highlight w:val="none"/>
              </w:rPr>
            </w:pPr>
            <w:r>
              <w:rPr>
                <w:rFonts w:hint="eastAsia"/>
                <w:b/>
                <w:bCs/>
                <w:color w:val="000000"/>
                <w:sz w:val="22"/>
                <w:highlight w:val="none"/>
              </w:rPr>
              <w:t>93.6</w:t>
            </w:r>
          </w:p>
        </w:tc>
      </w:tr>
    </w:tbl>
    <w:p w14:paraId="1E2BE992">
      <w:pPr>
        <w:pStyle w:val="18"/>
        <w:rPr>
          <w:highlight w:val="none"/>
        </w:rPr>
      </w:pPr>
      <w:r>
        <w:rPr>
          <w:highlight w:val="none"/>
        </w:rPr>
        <w:t>四、绩效评价指标分析</w:t>
      </w:r>
    </w:p>
    <w:p w14:paraId="7BCB3490">
      <w:pPr>
        <w:pStyle w:val="19"/>
        <w:ind w:firstLine="643"/>
        <w:rPr>
          <w:highlight w:val="none"/>
        </w:rPr>
      </w:pPr>
      <w:r>
        <w:rPr>
          <w:highlight w:val="none"/>
        </w:rPr>
        <w:t>（一）项目决策情况</w:t>
      </w:r>
    </w:p>
    <w:p w14:paraId="07FC5E76">
      <w:pPr>
        <w:pStyle w:val="17"/>
        <w:ind w:firstLine="640"/>
        <w:rPr>
          <w:rFonts w:hint="default"/>
          <w:highlight w:val="none"/>
        </w:rPr>
      </w:pPr>
      <w:r>
        <w:rPr>
          <w:highlight w:val="none"/>
        </w:rPr>
        <w:t>项目决策类指标包括项目立项、绩效目标和资金投入三方面的内容，由6个三级指标构成，权重分值为20分，实际得分20分，得分率为100%。</w:t>
      </w:r>
    </w:p>
    <w:p w14:paraId="689D33BB">
      <w:pPr>
        <w:pStyle w:val="20"/>
        <w:ind w:firstLine="643"/>
        <w:rPr>
          <w:highlight w:val="none"/>
        </w:rPr>
      </w:pPr>
      <w:r>
        <w:rPr>
          <w:rFonts w:hint="eastAsia"/>
          <w:highlight w:val="none"/>
        </w:rPr>
        <w:t>1.项目立项</w:t>
      </w:r>
    </w:p>
    <w:p w14:paraId="3AE25D68">
      <w:pPr>
        <w:pStyle w:val="17"/>
        <w:ind w:firstLine="643"/>
        <w:rPr>
          <w:rFonts w:hint="default"/>
          <w:b/>
          <w:bCs/>
          <w:highlight w:val="none"/>
        </w:rPr>
      </w:pPr>
      <w:r>
        <w:rPr>
          <w:b/>
          <w:bCs/>
          <w:highlight w:val="none"/>
        </w:rPr>
        <w:t>（1）立项依据充分性</w:t>
      </w:r>
    </w:p>
    <w:p w14:paraId="469BB26B">
      <w:pPr>
        <w:pStyle w:val="17"/>
        <w:ind w:firstLine="640"/>
        <w:rPr>
          <w:rFonts w:hint="default"/>
          <w:highlight w:val="none"/>
        </w:rPr>
      </w:pPr>
      <w:r>
        <w:rPr>
          <w:highlight w:val="none"/>
        </w:rPr>
        <w:t>该项目立项符合国家相关法律法规及发展政策，国民经济发展规划和相关政策；符合行业规划要求和政策要求，与部门职责范围相符，属于部门履职所需；围绕本年度工作重点和工作计划制定经费预算，属于公共财政支持范围。本项目与部门内部其他相关项目不重复。部门发展规划及职能文件等归档完整。</w:t>
      </w:r>
    </w:p>
    <w:p w14:paraId="5AA122A3">
      <w:pPr>
        <w:pStyle w:val="17"/>
        <w:ind w:firstLine="643"/>
        <w:rPr>
          <w:rFonts w:hint="default"/>
          <w:b/>
          <w:bCs/>
          <w:highlight w:val="none"/>
        </w:rPr>
      </w:pPr>
      <w:r>
        <w:rPr>
          <w:b/>
          <w:bCs/>
          <w:highlight w:val="none"/>
        </w:rPr>
        <w:t>（2）立项程序规范性</w:t>
      </w:r>
    </w:p>
    <w:p w14:paraId="4766C357">
      <w:pPr>
        <w:pStyle w:val="17"/>
        <w:ind w:firstLine="640"/>
        <w:rPr>
          <w:rFonts w:hint="default"/>
          <w:highlight w:val="none"/>
        </w:rPr>
      </w:pPr>
      <w:r>
        <w:rPr>
          <w:highlight w:val="none"/>
        </w:rPr>
        <w:t>项目申请、设立过程符合相关要求，</w:t>
      </w:r>
      <w:r>
        <w:rPr>
          <w:highlight w:val="none"/>
          <w:lang w:eastAsia="zh-Hans"/>
        </w:rPr>
        <w:t>严格按照审批流程准备符合要求的文件、材料；</w:t>
      </w:r>
      <w:r>
        <w:rPr>
          <w:highlight w:val="none"/>
        </w:rPr>
        <w:t>根据决算依据编制工作计划和经费预算，经过与部门项目分管领导沟通、筛选确定经费预算计划，确定最终预算方案。项目的审批文件、材料符合相关要求，项目事前经过必要的可行性研究、集体决策，保障了程序的规范性。</w:t>
      </w:r>
    </w:p>
    <w:p w14:paraId="67A9C85D">
      <w:pPr>
        <w:pStyle w:val="20"/>
        <w:ind w:firstLine="643"/>
        <w:rPr>
          <w:highlight w:val="none"/>
        </w:rPr>
      </w:pPr>
      <w:r>
        <w:rPr>
          <w:rFonts w:hint="eastAsia"/>
          <w:highlight w:val="none"/>
        </w:rPr>
        <w:t>2.绩效目标</w:t>
      </w:r>
    </w:p>
    <w:p w14:paraId="654DD22C">
      <w:pPr>
        <w:pStyle w:val="17"/>
        <w:ind w:firstLine="643"/>
        <w:rPr>
          <w:rFonts w:hint="default"/>
          <w:b/>
          <w:bCs/>
          <w:highlight w:val="none"/>
        </w:rPr>
      </w:pPr>
      <w:r>
        <w:rPr>
          <w:b/>
          <w:bCs/>
          <w:highlight w:val="none"/>
        </w:rPr>
        <w:t>（1）绩效目标合理性</w:t>
      </w:r>
    </w:p>
    <w:p w14:paraId="18967A7F">
      <w:pPr>
        <w:pStyle w:val="17"/>
        <w:ind w:firstLine="640"/>
        <w:rPr>
          <w:rFonts w:hint="default"/>
          <w:highlight w:val="none"/>
        </w:rPr>
      </w:pPr>
      <w:r>
        <w:rPr>
          <w:highlight w:val="none"/>
          <w:lang w:eastAsia="zh-Hans"/>
        </w:rPr>
        <w:t>年初结合实际工作内容</w:t>
      </w:r>
      <w:r>
        <w:rPr>
          <w:highlight w:val="none"/>
        </w:rPr>
        <w:t>设定绩效目标</w:t>
      </w:r>
      <w:r>
        <w:rPr>
          <w:highlight w:val="none"/>
          <w:lang w:eastAsia="zh-Hans"/>
        </w:rPr>
        <w:t>，绩效目标</w:t>
      </w:r>
      <w:r>
        <w:rPr>
          <w:highlight w:val="none"/>
        </w:rPr>
        <w:t>依据充分，符合客观实际，能反映和考核项目绩效目标与项目实施的相符情况，依据绩效目标设定的绩效指标清晰、细化、可衡量，能反映和考核项目绩效目标</w:t>
      </w:r>
      <w:r>
        <w:rPr>
          <w:rFonts w:hint="eastAsia"/>
          <w:highlight w:val="none"/>
          <w:lang w:eastAsia="zh-CN"/>
        </w:rPr>
        <w:t>的</w:t>
      </w:r>
      <w:r>
        <w:rPr>
          <w:highlight w:val="none"/>
        </w:rPr>
        <w:t>细化情况。绩效目标表经过审核，绩效目标与实际工作内容具有相关性，预算与确定的项目投资额相匹配，对项目任务进行了详细分解。项目预期产出效益及效果符合正常的业绩水平。</w:t>
      </w:r>
    </w:p>
    <w:p w14:paraId="74CF7DE6">
      <w:pPr>
        <w:pStyle w:val="17"/>
        <w:ind w:firstLine="643"/>
        <w:rPr>
          <w:rFonts w:hint="default"/>
          <w:b/>
          <w:bCs/>
          <w:highlight w:val="none"/>
        </w:rPr>
      </w:pPr>
      <w:r>
        <w:rPr>
          <w:b/>
          <w:bCs/>
          <w:highlight w:val="none"/>
        </w:rPr>
        <w:t>（2）绩效指标明确性</w:t>
      </w:r>
    </w:p>
    <w:p w14:paraId="5B2BB1C7">
      <w:pPr>
        <w:pStyle w:val="17"/>
        <w:ind w:firstLine="640"/>
        <w:rPr>
          <w:rFonts w:hint="default"/>
          <w:highlight w:val="none"/>
        </w:rPr>
      </w:pPr>
      <w:r>
        <w:rPr>
          <w:highlight w:val="none"/>
        </w:rPr>
        <w:t>项目设置了明确的预期产出效益和效果，将绩效目标细化分解为具体的绩效指标，绩效目标与项目目标任务数相对应，绩效目标设定的绩效指标清晰、细化、可衡量。</w:t>
      </w:r>
    </w:p>
    <w:p w14:paraId="6358C1C7">
      <w:pPr>
        <w:pStyle w:val="20"/>
        <w:ind w:firstLine="643"/>
        <w:rPr>
          <w:highlight w:val="none"/>
        </w:rPr>
      </w:pPr>
      <w:r>
        <w:rPr>
          <w:rFonts w:hint="eastAsia"/>
          <w:highlight w:val="none"/>
        </w:rPr>
        <w:t>3.资金投入</w:t>
      </w:r>
    </w:p>
    <w:p w14:paraId="64FC7903">
      <w:pPr>
        <w:pStyle w:val="17"/>
        <w:ind w:firstLine="643"/>
        <w:rPr>
          <w:rFonts w:hint="default"/>
          <w:b/>
          <w:bCs/>
          <w:highlight w:val="none"/>
        </w:rPr>
      </w:pPr>
      <w:r>
        <w:rPr>
          <w:b/>
          <w:bCs/>
          <w:highlight w:val="none"/>
        </w:rPr>
        <w:t>（1）预算编制科学性</w:t>
      </w:r>
    </w:p>
    <w:p w14:paraId="169880CB">
      <w:pPr>
        <w:pStyle w:val="17"/>
        <w:ind w:firstLine="640"/>
        <w:rPr>
          <w:rFonts w:hint="default"/>
          <w:highlight w:val="none"/>
        </w:rPr>
      </w:pPr>
      <w:r>
        <w:rPr>
          <w:highlight w:val="none"/>
        </w:rPr>
        <w:t>预算编制经过科学论证，提供充分的测算依据佐证资料，预算内容与项目内容相匹配。项目投资额与工作任务相匹配。</w:t>
      </w:r>
    </w:p>
    <w:p w14:paraId="4EEA6E1A">
      <w:pPr>
        <w:pStyle w:val="17"/>
        <w:ind w:firstLine="643"/>
        <w:rPr>
          <w:rFonts w:hint="default"/>
          <w:b/>
          <w:bCs/>
          <w:highlight w:val="none"/>
        </w:rPr>
      </w:pPr>
      <w:r>
        <w:rPr>
          <w:b/>
          <w:bCs/>
          <w:highlight w:val="none"/>
        </w:rPr>
        <w:t>（2）资金分配合理性</w:t>
      </w:r>
    </w:p>
    <w:p w14:paraId="6AD1379B">
      <w:pPr>
        <w:pStyle w:val="17"/>
        <w:ind w:firstLine="640"/>
        <w:rPr>
          <w:rFonts w:hint="default"/>
          <w:highlight w:val="none"/>
        </w:rPr>
      </w:pPr>
      <w:r>
        <w:rPr>
          <w:highlight w:val="none"/>
        </w:rPr>
        <w:t>资金分配额度与项目单位实际工作内容相适应，资金分配额度合理，资金分配依据充分。</w:t>
      </w:r>
    </w:p>
    <w:p w14:paraId="03E15C94">
      <w:pPr>
        <w:pStyle w:val="19"/>
        <w:ind w:firstLine="643"/>
        <w:rPr>
          <w:highlight w:val="none"/>
        </w:rPr>
      </w:pPr>
      <w:r>
        <w:rPr>
          <w:rFonts w:hint="eastAsia"/>
          <w:highlight w:val="none"/>
        </w:rPr>
        <w:t>（二）项目过程情况</w:t>
      </w:r>
    </w:p>
    <w:p w14:paraId="2BE5E529">
      <w:pPr>
        <w:pStyle w:val="17"/>
        <w:ind w:firstLine="640"/>
        <w:rPr>
          <w:rFonts w:hint="default"/>
          <w:highlight w:val="none"/>
        </w:rPr>
      </w:pPr>
      <w:r>
        <w:rPr>
          <w:highlight w:val="none"/>
        </w:rPr>
        <w:t>项目过程类指标包括资金管理和组织实施两方面的内容，由5个三级指标构成，权重分值为20分，实际得分18.72分，得分率为93.6%。</w:t>
      </w:r>
    </w:p>
    <w:p w14:paraId="74EB3949">
      <w:pPr>
        <w:pStyle w:val="17"/>
        <w:ind w:firstLine="640"/>
        <w:rPr>
          <w:rFonts w:hint="default"/>
          <w:highlight w:val="none"/>
        </w:rPr>
      </w:pPr>
      <w:r>
        <w:rPr>
          <w:highlight w:val="none"/>
        </w:rPr>
        <w:t>项目资金使用符合相关的财务管理制度规定，能够反映和考核项目资金的规范运行情况；项目实施单位的财务和业务管理制度健全，能够反映和考核财务和业务管理制度对项目顺利实施的保障情况。</w:t>
      </w:r>
    </w:p>
    <w:p w14:paraId="398FC994">
      <w:pPr>
        <w:pStyle w:val="20"/>
        <w:ind w:firstLine="643"/>
        <w:rPr>
          <w:highlight w:val="none"/>
        </w:rPr>
      </w:pPr>
      <w:r>
        <w:rPr>
          <w:rFonts w:hint="eastAsia"/>
          <w:highlight w:val="none"/>
        </w:rPr>
        <w:t>1.资金管理</w:t>
      </w:r>
    </w:p>
    <w:p w14:paraId="2B491BBA">
      <w:pPr>
        <w:pStyle w:val="17"/>
        <w:ind w:firstLine="643"/>
        <w:rPr>
          <w:rFonts w:hint="default"/>
          <w:b/>
          <w:bCs/>
          <w:highlight w:val="none"/>
        </w:rPr>
      </w:pPr>
      <w:r>
        <w:rPr>
          <w:b/>
          <w:bCs/>
          <w:highlight w:val="none"/>
        </w:rPr>
        <w:t>（1）资金到位率</w:t>
      </w:r>
    </w:p>
    <w:p w14:paraId="79CDF95B">
      <w:pPr>
        <w:pStyle w:val="17"/>
        <w:ind w:firstLine="640"/>
        <w:rPr>
          <w:rFonts w:hint="default"/>
          <w:highlight w:val="none"/>
        </w:rPr>
      </w:pPr>
      <w:r>
        <w:rPr>
          <w:highlight w:val="none"/>
        </w:rPr>
        <w:t>本项目总投资290218.58万元，财政资金及时足额到位，到位率100%，预算资金按计划进度执行。</w:t>
      </w:r>
    </w:p>
    <w:p w14:paraId="5B1BC80C">
      <w:pPr>
        <w:pStyle w:val="17"/>
        <w:ind w:firstLine="643"/>
        <w:rPr>
          <w:rFonts w:hint="default"/>
          <w:b/>
          <w:bCs/>
          <w:highlight w:val="none"/>
        </w:rPr>
      </w:pPr>
      <w:r>
        <w:rPr>
          <w:b/>
          <w:bCs/>
          <w:highlight w:val="none"/>
        </w:rPr>
        <w:t>（2）预算执行率</w:t>
      </w:r>
    </w:p>
    <w:p w14:paraId="2ECE0C53">
      <w:pPr>
        <w:pStyle w:val="17"/>
        <w:ind w:firstLine="640"/>
        <w:rPr>
          <w:rFonts w:hint="default"/>
          <w:highlight w:val="none"/>
        </w:rPr>
      </w:pPr>
      <w:r>
        <w:rPr>
          <w:highlight w:val="none"/>
        </w:rPr>
        <w:t>预算编制较为详细，项目资金支出总体能够按照预算执行，2023年预算资金全年执行数252999.88万元，预算执行率为87.18%。</w:t>
      </w:r>
    </w:p>
    <w:p w14:paraId="63539D91">
      <w:pPr>
        <w:pStyle w:val="17"/>
        <w:ind w:firstLine="643"/>
        <w:rPr>
          <w:rFonts w:hint="default"/>
          <w:b/>
          <w:bCs/>
          <w:highlight w:val="none"/>
        </w:rPr>
      </w:pPr>
      <w:r>
        <w:rPr>
          <w:b/>
          <w:bCs/>
          <w:highlight w:val="none"/>
        </w:rPr>
        <w:t>（3）资金使用合规性</w:t>
      </w:r>
    </w:p>
    <w:p w14:paraId="17DB95EA">
      <w:pPr>
        <w:pStyle w:val="17"/>
        <w:ind w:firstLine="640"/>
        <w:rPr>
          <w:rFonts w:hint="default"/>
          <w:highlight w:val="none"/>
        </w:rPr>
      </w:pPr>
      <w:r>
        <w:rPr>
          <w:highlight w:val="none"/>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5593B554">
      <w:pPr>
        <w:pStyle w:val="20"/>
        <w:ind w:firstLine="643"/>
        <w:rPr>
          <w:highlight w:val="none"/>
        </w:rPr>
      </w:pPr>
      <w:r>
        <w:rPr>
          <w:rFonts w:hint="eastAsia"/>
          <w:highlight w:val="none"/>
        </w:rPr>
        <w:t>2.组织实施</w:t>
      </w:r>
    </w:p>
    <w:p w14:paraId="417540C7">
      <w:pPr>
        <w:pStyle w:val="17"/>
        <w:ind w:firstLine="643"/>
        <w:rPr>
          <w:rFonts w:hint="default"/>
          <w:b/>
          <w:bCs/>
          <w:highlight w:val="none"/>
        </w:rPr>
      </w:pPr>
      <w:r>
        <w:rPr>
          <w:b/>
          <w:bCs/>
          <w:highlight w:val="none"/>
        </w:rPr>
        <w:t>（1）管理制度健全性</w:t>
      </w:r>
    </w:p>
    <w:p w14:paraId="468F0E32">
      <w:pPr>
        <w:pStyle w:val="17"/>
        <w:ind w:firstLine="640"/>
        <w:rPr>
          <w:rFonts w:hint="default"/>
          <w:highlight w:val="none"/>
        </w:rPr>
      </w:pPr>
      <w:r>
        <w:rPr>
          <w:highlight w:val="none"/>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2A87E1A">
      <w:pPr>
        <w:pStyle w:val="17"/>
        <w:ind w:firstLine="643"/>
        <w:rPr>
          <w:rFonts w:hint="default"/>
          <w:b/>
          <w:bCs/>
          <w:highlight w:val="none"/>
        </w:rPr>
      </w:pPr>
      <w:r>
        <w:rPr>
          <w:b/>
          <w:bCs/>
          <w:highlight w:val="none"/>
        </w:rPr>
        <w:t>（2）制度执行有效性</w:t>
      </w:r>
    </w:p>
    <w:p w14:paraId="3E7DD84F">
      <w:pPr>
        <w:pStyle w:val="17"/>
        <w:ind w:firstLine="640"/>
        <w:rPr>
          <w:rFonts w:hint="default"/>
          <w:highlight w:val="none"/>
        </w:rPr>
      </w:pPr>
      <w:r>
        <w:rPr>
          <w:highlight w:val="none"/>
        </w:rPr>
        <w:t>对资金使用的合法合规性进行监督，年末对资金使用效果进行评价。项目管理、实施人员落实到位，有效按照计划执行。项目执行情况等资料齐全，项目相关手续完备，及时进行归档。</w:t>
      </w:r>
    </w:p>
    <w:p w14:paraId="0446E810">
      <w:pPr>
        <w:pStyle w:val="19"/>
        <w:ind w:firstLine="643"/>
        <w:rPr>
          <w:highlight w:val="none"/>
        </w:rPr>
      </w:pPr>
      <w:r>
        <w:rPr>
          <w:rFonts w:hint="eastAsia"/>
          <w:highlight w:val="none"/>
        </w:rPr>
        <w:t>（三）</w:t>
      </w:r>
      <w:r>
        <w:rPr>
          <w:highlight w:val="none"/>
        </w:rPr>
        <w:t>项目产出</w:t>
      </w:r>
      <w:r>
        <w:rPr>
          <w:rFonts w:hint="eastAsia"/>
          <w:highlight w:val="none"/>
        </w:rPr>
        <w:t>情况</w:t>
      </w:r>
    </w:p>
    <w:p w14:paraId="4FDEE6C3">
      <w:pPr>
        <w:pStyle w:val="17"/>
        <w:ind w:firstLine="640"/>
        <w:rPr>
          <w:rFonts w:hint="default"/>
          <w:highlight w:val="none"/>
        </w:rPr>
      </w:pPr>
      <w:r>
        <w:rPr>
          <w:highlight w:val="none"/>
        </w:rPr>
        <w:t>项目产出类指标包括产出数量、产出质量、产出时效、产出成本四方面的内容，由7个三级指标构成，权重分为</w:t>
      </w:r>
      <w:r>
        <w:rPr>
          <w:rFonts w:hint="eastAsia"/>
          <w:highlight w:val="none"/>
          <w:lang w:val="en-US" w:eastAsia="zh-CN"/>
        </w:rPr>
        <w:t>60</w:t>
      </w:r>
      <w:r>
        <w:rPr>
          <w:highlight w:val="none"/>
        </w:rPr>
        <w:t>分，实际得分</w:t>
      </w:r>
      <w:r>
        <w:rPr>
          <w:rFonts w:hint="eastAsia"/>
          <w:highlight w:val="none"/>
          <w:lang w:val="en-US" w:eastAsia="zh-CN"/>
        </w:rPr>
        <w:t>53.15</w:t>
      </w:r>
      <w:r>
        <w:rPr>
          <w:highlight w:val="none"/>
        </w:rPr>
        <w:t>分，得分率为</w:t>
      </w:r>
      <w:r>
        <w:rPr>
          <w:rFonts w:hint="eastAsia"/>
          <w:highlight w:val="none"/>
          <w:lang w:val="en-US" w:eastAsia="zh-CN"/>
        </w:rPr>
        <w:t>88.58</w:t>
      </w:r>
      <w:r>
        <w:rPr>
          <w:highlight w:val="none"/>
        </w:rPr>
        <w:t>%。具体产出指标完成情况如下：</w:t>
      </w:r>
    </w:p>
    <w:p w14:paraId="1149E208">
      <w:pPr>
        <w:pStyle w:val="17"/>
        <w:ind w:firstLine="640"/>
        <w:rPr>
          <w:rFonts w:hint="default"/>
          <w:highlight w:val="none"/>
        </w:rPr>
      </w:pPr>
      <w:r>
        <w:rPr>
          <w:highlight w:val="none"/>
        </w:rPr>
        <w:fldChar w:fldCharType="begin"/>
      </w:r>
      <w:r>
        <w:rPr>
          <w:highlight w:val="none"/>
        </w:rPr>
        <w:instrText xml:space="preserve"> = 1 \* GB3 </w:instrText>
      </w:r>
      <w:r>
        <w:rPr>
          <w:highlight w:val="none"/>
        </w:rPr>
        <w:fldChar w:fldCharType="separate"/>
      </w:r>
      <w:r>
        <w:rPr>
          <w:highlight w:val="none"/>
        </w:rPr>
        <w:t>①</w:t>
      </w:r>
      <w:r>
        <w:rPr>
          <w:highlight w:val="none"/>
        </w:rPr>
        <w:fldChar w:fldCharType="end"/>
      </w:r>
      <w:r>
        <w:rPr>
          <w:highlight w:val="none"/>
        </w:rPr>
        <w:t>数量指标：</w:t>
      </w:r>
    </w:p>
    <w:p w14:paraId="10E6D33B">
      <w:pPr>
        <w:pStyle w:val="17"/>
        <w:ind w:firstLine="640"/>
        <w:rPr>
          <w:rFonts w:hint="default"/>
          <w:highlight w:val="none"/>
        </w:rPr>
      </w:pPr>
      <w:r>
        <w:rPr>
          <w:highlight w:val="none"/>
        </w:rPr>
        <w:t>指标1：购置专用设备数量。指标值：≥650台，实际完成值：983台，指标完成率151.23%，完成预期指标值。偏差原因：2023年度我院检验中心、急救中心等临床科室进行相关改造建设，为满足改造病区所需设备的需求，进行了院内调整，实际完成983台</w:t>
      </w:r>
    </w:p>
    <w:p w14:paraId="0347DA26">
      <w:pPr>
        <w:pStyle w:val="17"/>
        <w:ind w:firstLine="640"/>
        <w:rPr>
          <w:rFonts w:hint="default"/>
          <w:highlight w:val="none"/>
        </w:rPr>
      </w:pPr>
      <w:r>
        <w:rPr>
          <w:highlight w:val="none"/>
        </w:rPr>
        <w:t>指标2：门诊人次。指标值：≥280万人，实际完成值：316.42万人次，指标完成率113.01%。</w:t>
      </w:r>
    </w:p>
    <w:p w14:paraId="1B241E54">
      <w:pPr>
        <w:pStyle w:val="17"/>
        <w:ind w:firstLine="640"/>
        <w:rPr>
          <w:rFonts w:hint="default"/>
          <w:highlight w:val="none"/>
        </w:rPr>
      </w:pPr>
      <w:r>
        <w:rPr>
          <w:highlight w:val="none"/>
        </w:rPr>
        <w:t>指标3：房屋建筑面积。指标值：≥25000平方米，实际完成值：29918.94平方米，完成率119.68%，完成预期指标值。偏差原因：因医院基础设施环境进行升级改造，故2023年改造项目有所增加，改造面积也有所增加。</w:t>
      </w:r>
    </w:p>
    <w:p w14:paraId="6C3599BF">
      <w:pPr>
        <w:pStyle w:val="17"/>
        <w:ind w:firstLine="640"/>
        <w:rPr>
          <w:rFonts w:hint="default"/>
          <w:highlight w:val="none"/>
        </w:rPr>
      </w:pPr>
      <w:r>
        <w:rPr>
          <w:highlight w:val="none"/>
        </w:rPr>
        <w:fldChar w:fldCharType="begin"/>
      </w:r>
      <w:r>
        <w:rPr>
          <w:highlight w:val="none"/>
        </w:rPr>
        <w:instrText xml:space="preserve"> = 2 \* GB3 </w:instrText>
      </w:r>
      <w:r>
        <w:rPr>
          <w:highlight w:val="none"/>
        </w:rPr>
        <w:fldChar w:fldCharType="separate"/>
      </w:r>
      <w:r>
        <w:rPr>
          <w:highlight w:val="none"/>
        </w:rPr>
        <w:t>②</w:t>
      </w:r>
      <w:r>
        <w:rPr>
          <w:highlight w:val="none"/>
        </w:rPr>
        <w:fldChar w:fldCharType="end"/>
      </w:r>
      <w:r>
        <w:rPr>
          <w:highlight w:val="none"/>
        </w:rPr>
        <w:t>质量指标：</w:t>
      </w:r>
    </w:p>
    <w:p w14:paraId="0726BB7C">
      <w:pPr>
        <w:pStyle w:val="17"/>
        <w:ind w:firstLine="640"/>
        <w:rPr>
          <w:rFonts w:hint="default"/>
          <w:highlight w:val="none"/>
        </w:rPr>
      </w:pPr>
      <w:r>
        <w:rPr>
          <w:highlight w:val="none"/>
        </w:rPr>
        <w:t>指标1：工程验收合格率。指标值：=100%，实际完成值：100%。</w:t>
      </w:r>
    </w:p>
    <w:p w14:paraId="44957857">
      <w:pPr>
        <w:pStyle w:val="17"/>
        <w:ind w:firstLine="640"/>
        <w:rPr>
          <w:rFonts w:hint="default"/>
          <w:highlight w:val="none"/>
        </w:rPr>
      </w:pPr>
      <w:r>
        <w:rPr>
          <w:highlight w:val="none"/>
        </w:rPr>
        <w:t>指标2：设备验收合格率。指标值：≥98%，实际完成值：102.04%。</w:t>
      </w:r>
    </w:p>
    <w:p w14:paraId="0282734A">
      <w:pPr>
        <w:pStyle w:val="17"/>
        <w:ind w:firstLine="640"/>
        <w:rPr>
          <w:rFonts w:hint="default"/>
          <w:highlight w:val="none"/>
        </w:rPr>
      </w:pPr>
      <w:r>
        <w:rPr>
          <w:highlight w:val="none"/>
        </w:rPr>
        <w:fldChar w:fldCharType="begin"/>
      </w:r>
      <w:r>
        <w:rPr>
          <w:highlight w:val="none"/>
        </w:rPr>
        <w:instrText xml:space="preserve"> = 3 \* GB3 </w:instrText>
      </w:r>
      <w:r>
        <w:rPr>
          <w:highlight w:val="none"/>
        </w:rPr>
        <w:fldChar w:fldCharType="separate"/>
      </w:r>
      <w:r>
        <w:rPr>
          <w:highlight w:val="none"/>
        </w:rPr>
        <w:t>③</w:t>
      </w:r>
      <w:r>
        <w:rPr>
          <w:highlight w:val="none"/>
        </w:rPr>
        <w:fldChar w:fldCharType="end"/>
      </w:r>
      <w:r>
        <w:rPr>
          <w:highlight w:val="none"/>
        </w:rPr>
        <w:t>时效指标：</w:t>
      </w:r>
    </w:p>
    <w:p w14:paraId="789416B0">
      <w:pPr>
        <w:pStyle w:val="17"/>
        <w:ind w:firstLine="640"/>
        <w:rPr>
          <w:rFonts w:hint="default"/>
          <w:highlight w:val="none"/>
        </w:rPr>
      </w:pPr>
      <w:r>
        <w:rPr>
          <w:highlight w:val="none"/>
        </w:rPr>
        <w:t>指标1：依法及时评标定标率，指标值：＝100%，实际完成值：100%。</w:t>
      </w:r>
    </w:p>
    <w:p w14:paraId="6C7D3AF9">
      <w:pPr>
        <w:pStyle w:val="17"/>
        <w:ind w:firstLine="640"/>
        <w:rPr>
          <w:rFonts w:hint="default"/>
          <w:highlight w:val="none"/>
        </w:rPr>
      </w:pPr>
      <w:r>
        <w:rPr>
          <w:highlight w:val="none"/>
        </w:rPr>
        <w:fldChar w:fldCharType="begin"/>
      </w:r>
      <w:r>
        <w:rPr>
          <w:highlight w:val="none"/>
        </w:rPr>
        <w:instrText xml:space="preserve"> = 4 \* GB3 </w:instrText>
      </w:r>
      <w:r>
        <w:rPr>
          <w:highlight w:val="none"/>
        </w:rPr>
        <w:fldChar w:fldCharType="separate"/>
      </w:r>
      <w:r>
        <w:rPr>
          <w:highlight w:val="none"/>
        </w:rPr>
        <w:t>④</w:t>
      </w:r>
      <w:r>
        <w:rPr>
          <w:highlight w:val="none"/>
        </w:rPr>
        <w:fldChar w:fldCharType="end"/>
      </w:r>
      <w:r>
        <w:rPr>
          <w:highlight w:val="none"/>
        </w:rPr>
        <w:t>成本指标：</w:t>
      </w:r>
    </w:p>
    <w:p w14:paraId="16F0F2ED">
      <w:pPr>
        <w:pStyle w:val="17"/>
        <w:ind w:firstLine="640"/>
        <w:rPr>
          <w:rFonts w:hint="default"/>
          <w:highlight w:val="none"/>
        </w:rPr>
      </w:pPr>
      <w:r>
        <w:rPr>
          <w:highlight w:val="none"/>
        </w:rPr>
        <w:t>指标1：百元医疗收入药品费用。指标值：≤20元，实际完成值：14.95元，指标完成率100%。</w:t>
      </w:r>
    </w:p>
    <w:p w14:paraId="7D32D382">
      <w:pPr>
        <w:pStyle w:val="17"/>
        <w:ind w:firstLine="640"/>
        <w:rPr>
          <w:rFonts w:hint="default"/>
          <w:highlight w:val="none"/>
        </w:rPr>
      </w:pPr>
      <w:r>
        <w:rPr>
          <w:highlight w:val="none"/>
        </w:rPr>
        <w:t>指标2：门诊均次费用（不含体检）。指标值：≤350元，实际完成值：350元，指标完成率100%。</w:t>
      </w:r>
    </w:p>
    <w:p w14:paraId="3E45D895">
      <w:pPr>
        <w:pStyle w:val="19"/>
        <w:ind w:firstLine="643"/>
        <w:rPr>
          <w:highlight w:val="none"/>
        </w:rPr>
      </w:pPr>
      <w:r>
        <w:rPr>
          <w:rFonts w:hint="eastAsia"/>
          <w:highlight w:val="none"/>
        </w:rPr>
        <w:t>（四）项目效益情况</w:t>
      </w:r>
    </w:p>
    <w:p w14:paraId="3861F8D7">
      <w:pPr>
        <w:pStyle w:val="17"/>
        <w:ind w:firstLine="640"/>
        <w:rPr>
          <w:rFonts w:hint="default"/>
          <w:highlight w:val="none"/>
        </w:rPr>
      </w:pPr>
      <w:r>
        <w:rPr>
          <w:highlight w:val="none"/>
        </w:rPr>
        <w:t>项目效益类指标包括项目实施效益和满意度两方面的内容，由3个三级指标构成，权重分为20分，实际得分</w:t>
      </w:r>
      <w:r>
        <w:rPr>
          <w:rFonts w:hint="eastAsia"/>
          <w:highlight w:val="none"/>
          <w:lang w:val="en-US" w:eastAsia="zh-CN"/>
        </w:rPr>
        <w:t>19.84</w:t>
      </w:r>
      <w:r>
        <w:rPr>
          <w:highlight w:val="none"/>
        </w:rPr>
        <w:t>分，得分率为100%。具体效益指标及满意度指标完成情况如下：</w:t>
      </w:r>
    </w:p>
    <w:p w14:paraId="2E5B1791">
      <w:pPr>
        <w:pStyle w:val="20"/>
        <w:ind w:firstLine="643"/>
        <w:rPr>
          <w:highlight w:val="none"/>
        </w:rPr>
      </w:pPr>
      <w:r>
        <w:rPr>
          <w:rFonts w:hint="eastAsia"/>
          <w:highlight w:val="none"/>
        </w:rPr>
        <w:t>1.实施效益</w:t>
      </w:r>
    </w:p>
    <w:p w14:paraId="1DC50F99">
      <w:pPr>
        <w:pStyle w:val="17"/>
        <w:ind w:firstLine="640"/>
        <w:rPr>
          <w:rFonts w:hint="default"/>
          <w:highlight w:val="none"/>
        </w:rPr>
      </w:pPr>
      <w:r>
        <w:rPr>
          <w:highlight w:val="none"/>
        </w:rPr>
        <w:t>①经济效益指标：</w:t>
      </w:r>
    </w:p>
    <w:p w14:paraId="40F30899">
      <w:pPr>
        <w:pStyle w:val="17"/>
        <w:ind w:firstLine="640"/>
        <w:rPr>
          <w:rFonts w:hint="default"/>
          <w:highlight w:val="none"/>
        </w:rPr>
      </w:pPr>
      <w:r>
        <w:rPr>
          <w:highlight w:val="none"/>
        </w:rPr>
        <w:t>指标1：设备利用率，指标值：≥95%，实际完成值：98%，指标完成率103.16%。</w:t>
      </w:r>
    </w:p>
    <w:p w14:paraId="55529FC5">
      <w:pPr>
        <w:pStyle w:val="17"/>
        <w:ind w:firstLine="640"/>
        <w:rPr>
          <w:rFonts w:hint="default"/>
          <w:highlight w:val="none"/>
        </w:rPr>
      </w:pPr>
      <w:r>
        <w:rPr>
          <w:highlight w:val="none"/>
        </w:rPr>
        <w:t>②社会效益指标：</w:t>
      </w:r>
    </w:p>
    <w:p w14:paraId="2313562D">
      <w:pPr>
        <w:pStyle w:val="17"/>
        <w:ind w:firstLine="640"/>
        <w:rPr>
          <w:rFonts w:hint="default"/>
          <w:highlight w:val="none"/>
        </w:rPr>
      </w:pPr>
      <w:r>
        <w:rPr>
          <w:highlight w:val="none"/>
        </w:rPr>
        <w:t>指标1：医院医疗服务活动平稳高效进行，指标值：有效保障。实际完成值：有效保障。指标完成率100%。</w:t>
      </w:r>
    </w:p>
    <w:p w14:paraId="44BEFEF7">
      <w:pPr>
        <w:pStyle w:val="20"/>
        <w:ind w:firstLine="643"/>
        <w:rPr>
          <w:highlight w:val="none"/>
        </w:rPr>
      </w:pPr>
      <w:r>
        <w:rPr>
          <w:rFonts w:hint="eastAsia"/>
          <w:highlight w:val="none"/>
        </w:rPr>
        <w:t>2.满意度</w:t>
      </w:r>
    </w:p>
    <w:p w14:paraId="309DA67A">
      <w:pPr>
        <w:pStyle w:val="17"/>
        <w:ind w:firstLine="640"/>
        <w:rPr>
          <w:rFonts w:hint="default"/>
          <w:highlight w:val="none"/>
        </w:rPr>
      </w:pPr>
      <w:r>
        <w:rPr>
          <w:highlight w:val="none"/>
        </w:rPr>
        <w:t>指标1：职工满意度，指标值：≥90%，实际完成值：91.08%，指标完成率101.2%。</w:t>
      </w:r>
    </w:p>
    <w:p w14:paraId="651E8CB3">
      <w:pPr>
        <w:pStyle w:val="18"/>
        <w:rPr>
          <w:highlight w:val="none"/>
          <w:lang w:eastAsia="zh-Hans"/>
        </w:rPr>
      </w:pPr>
      <w:r>
        <w:rPr>
          <w:rFonts w:hint="eastAsia"/>
          <w:highlight w:val="none"/>
          <w:lang w:eastAsia="zh-Hans"/>
        </w:rPr>
        <w:t>五、预算执行进度与绩效指标总体完成率偏差</w:t>
      </w:r>
    </w:p>
    <w:p w14:paraId="6CF4C2FA">
      <w:pPr>
        <w:pStyle w:val="17"/>
        <w:ind w:firstLine="640"/>
        <w:rPr>
          <w:rFonts w:hint="default"/>
          <w:highlight w:val="none"/>
        </w:rPr>
      </w:pPr>
      <w:r>
        <w:rPr>
          <w:highlight w:val="none"/>
        </w:rPr>
        <w:t>政府采购项目年初预算290218.58万元，全年预算290218.58万元，实际支出252999.88万元，预算执行率为87.18%，项目绩效指标总体完成率为108.21%，总体偏差率为21.03%。</w:t>
      </w:r>
    </w:p>
    <w:p w14:paraId="0978F684">
      <w:pPr>
        <w:pStyle w:val="17"/>
        <w:ind w:firstLine="643"/>
        <w:rPr>
          <w:rFonts w:hint="default"/>
          <w:b/>
          <w:highlight w:val="none"/>
        </w:rPr>
      </w:pPr>
      <w:r>
        <w:rPr>
          <w:b/>
          <w:highlight w:val="none"/>
        </w:rPr>
        <w:t>偏差原因及改进措施：</w:t>
      </w:r>
    </w:p>
    <w:p w14:paraId="12EF33FD">
      <w:pPr>
        <w:ind w:firstLine="640" w:firstLineChars="200"/>
        <w:rPr>
          <w:rFonts w:eastAsia="仿宋_GB2312"/>
          <w:sz w:val="32"/>
          <w:szCs w:val="32"/>
          <w:highlight w:val="none"/>
        </w:rPr>
      </w:pPr>
      <w:r>
        <w:rPr>
          <w:rFonts w:hint="eastAsia" w:eastAsia="仿宋_GB2312"/>
          <w:sz w:val="32"/>
          <w:szCs w:val="32"/>
          <w:highlight w:val="none"/>
        </w:rPr>
        <w:t>指标1：购置专用设备数量。指标值：≥650台，实际完成值：983台，指标完成率151.23%，完成预期指标值。偏差原因：2023年度我院检验中心、急救中心等临床科室进行相关改造建设，为满足改造病区所需设备的需求，进行了院内调整，实际完成983台。改进措施：精确设置指标值。督促设备采购部门设立三年指标库，时刻检查每年实际购置的设备数量，合理设定完成指标值。分析业务增长：考虑医院的业务发展计划和预期增长，以确定是否需要增加设备数量。设备使用数据：研究现有设备的使用频率、饱和度和维修记录。了解各个科室的扩张或新项目计划。设备老化和更新：考虑现有设备的寿命和更新计划。故障频率：高频故障的设备可能需要提前准备替换。医院扩建计划：如果有扩建计划，需要相应增加设备。设备联合使用需求：某些设备需要配套或联合使用，需综合考虑。</w:t>
      </w:r>
    </w:p>
    <w:p w14:paraId="36A0F033">
      <w:pPr>
        <w:ind w:firstLine="640" w:firstLineChars="200"/>
        <w:rPr>
          <w:rFonts w:eastAsia="仿宋_GB2312"/>
          <w:sz w:val="32"/>
          <w:szCs w:val="32"/>
          <w:highlight w:val="none"/>
        </w:rPr>
      </w:pPr>
      <w:r>
        <w:rPr>
          <w:rFonts w:hint="eastAsia" w:eastAsia="仿宋_GB2312"/>
          <w:sz w:val="32"/>
          <w:szCs w:val="32"/>
          <w:highlight w:val="none"/>
        </w:rPr>
        <w:t>指标2：门诊人次。指标值：≥280万人，实际完成值：316.42万人次，指标完成率113.01%。改进措施：精确设置指标值，合理精准预测每年门诊量。历史数据分析：仔细研究过去几年的门诊数据，包括每月、每周或每天的就诊人数趋势。疾病流行情况：了解特定疾病的流行情况和季节性变化。医生数量和排班：医生的数量和排班情况会直接影响门诊接待能力。 患者满意度：高满意度可能促使患者推荐他人就诊。定期评估和调整：根据实际情况定期评估预测结果并进行调整。</w:t>
      </w:r>
    </w:p>
    <w:p w14:paraId="0AE47127">
      <w:pPr>
        <w:ind w:firstLine="640" w:firstLineChars="200"/>
        <w:rPr>
          <w:rFonts w:eastAsia="仿宋_GB2312"/>
          <w:sz w:val="32"/>
          <w:szCs w:val="32"/>
          <w:highlight w:val="none"/>
        </w:rPr>
      </w:pPr>
      <w:r>
        <w:rPr>
          <w:rFonts w:hint="eastAsia" w:eastAsia="仿宋_GB2312"/>
          <w:sz w:val="32"/>
          <w:szCs w:val="32"/>
          <w:highlight w:val="none"/>
        </w:rPr>
        <w:t>指标3：房屋建筑面积。指标值：≥25000平方米，实际完成值：29918.94平方米，完成率119.68%，完成预期指标值。偏差原因：因医院基础设施环境进行升级改造，故2023年改造项目有所增加，改造面积也有所增加。改进措施：精确设置指标值，每年做好调研，摸清家底，合理预测第二年需要改造的房屋建筑面积。房屋状况评估：定期检查房屋的状况，包括结构、墙面、地面等。使用年限分析：根据房屋的建造时间和使用年限，判断是否需要装修。功能需求分析：根据科室的功能需求，确定装修范围。安全标准核查：确保符合安全规范，确定需要修缮的区域。设施设备更新计划：与设备更新相结合，预估装修面积。空间规划需求：根据医院的发展规划，预测装修需求。科室调整计划：科室布局变化会影响装修面积。建筑结构评估：检查结构是否需要加固或修复。 磨损程度评估：观察地面、墙面等的磨损程度。</w:t>
      </w:r>
    </w:p>
    <w:p w14:paraId="5B8CB954">
      <w:pPr>
        <w:ind w:firstLine="640" w:firstLineChars="200"/>
        <w:rPr>
          <w:rFonts w:eastAsia="仿宋_GB2312"/>
          <w:sz w:val="32"/>
          <w:szCs w:val="32"/>
          <w:highlight w:val="none"/>
        </w:rPr>
      </w:pPr>
      <w:r>
        <w:rPr>
          <w:rFonts w:hint="eastAsia" w:eastAsia="仿宋_GB2312"/>
          <w:sz w:val="32"/>
          <w:szCs w:val="32"/>
          <w:highlight w:val="none"/>
        </w:rPr>
        <w:t>指标4：工程验收合格率。指标值：=100%，实际完成值：100%。</w:t>
      </w:r>
    </w:p>
    <w:p w14:paraId="334A0A4E">
      <w:pPr>
        <w:ind w:firstLine="640" w:firstLineChars="200"/>
        <w:rPr>
          <w:rFonts w:eastAsia="仿宋_GB2312"/>
          <w:sz w:val="32"/>
          <w:szCs w:val="32"/>
          <w:highlight w:val="none"/>
        </w:rPr>
      </w:pPr>
      <w:r>
        <w:rPr>
          <w:rFonts w:hint="eastAsia" w:eastAsia="仿宋_GB2312"/>
          <w:sz w:val="32"/>
          <w:szCs w:val="32"/>
          <w:highlight w:val="none"/>
        </w:rPr>
        <w:t>指标5：设备验收合格率。指标值：≥98%，实际完成值：102.04%。改进措施：精确设置指标值。</w:t>
      </w:r>
    </w:p>
    <w:p w14:paraId="17B4DB9C">
      <w:pPr>
        <w:ind w:firstLine="640" w:firstLineChars="200"/>
        <w:rPr>
          <w:rFonts w:eastAsia="仿宋_GB2312"/>
          <w:sz w:val="32"/>
          <w:szCs w:val="32"/>
          <w:highlight w:val="none"/>
        </w:rPr>
      </w:pPr>
      <w:r>
        <w:rPr>
          <w:rFonts w:hint="eastAsia" w:eastAsia="仿宋_GB2312"/>
          <w:sz w:val="32"/>
          <w:szCs w:val="32"/>
          <w:highlight w:val="none"/>
        </w:rPr>
        <w:t>指标6：依法及时评标定标率，指标值：＝100%，实际完成值：100%。</w:t>
      </w:r>
    </w:p>
    <w:p w14:paraId="4BC61475">
      <w:pPr>
        <w:ind w:firstLine="640" w:firstLineChars="200"/>
        <w:rPr>
          <w:rFonts w:eastAsia="仿宋_GB2312"/>
          <w:sz w:val="32"/>
          <w:szCs w:val="32"/>
          <w:highlight w:val="none"/>
        </w:rPr>
      </w:pPr>
      <w:r>
        <w:rPr>
          <w:rFonts w:hint="eastAsia" w:eastAsia="仿宋_GB2312"/>
          <w:sz w:val="32"/>
          <w:szCs w:val="32"/>
          <w:highlight w:val="none"/>
        </w:rPr>
        <w:t>指标7：百元医疗收入药品费用。指标值：≤20元，实际完成值：14.95元，指标完成率100%。</w:t>
      </w:r>
    </w:p>
    <w:p w14:paraId="582FBE79">
      <w:pPr>
        <w:ind w:firstLine="640" w:firstLineChars="200"/>
        <w:rPr>
          <w:rFonts w:eastAsia="仿宋_GB2312"/>
          <w:sz w:val="32"/>
          <w:szCs w:val="32"/>
          <w:highlight w:val="none"/>
        </w:rPr>
      </w:pPr>
      <w:r>
        <w:rPr>
          <w:rFonts w:hint="eastAsia" w:eastAsia="仿宋_GB2312"/>
          <w:sz w:val="32"/>
          <w:szCs w:val="32"/>
          <w:highlight w:val="none"/>
        </w:rPr>
        <w:t>指标8：门诊均次费用（不含体检）。指标值：≤350元，实际完成值：350元，指标完成率100%。</w:t>
      </w:r>
    </w:p>
    <w:p w14:paraId="7126AE6A">
      <w:pPr>
        <w:ind w:firstLine="640" w:firstLineChars="200"/>
        <w:rPr>
          <w:rFonts w:eastAsia="仿宋_GB2312"/>
          <w:sz w:val="32"/>
          <w:szCs w:val="32"/>
          <w:highlight w:val="none"/>
        </w:rPr>
      </w:pPr>
      <w:r>
        <w:rPr>
          <w:rFonts w:hint="eastAsia" w:eastAsia="仿宋_GB2312"/>
          <w:sz w:val="32"/>
          <w:szCs w:val="32"/>
          <w:highlight w:val="none"/>
        </w:rPr>
        <w:t>指标9：设备利用率，指标值：≥95%，实际完成值：98%，指标完成率103.16%。改进措施：精确设置指标值。优化排班：合理安排设备使用时间，避免闲置。 设备共享：与其他医疗机构共享部分设备，提高利用率。 定期维护：减少设备故障停机时间。 信息化管理：通过系统实时监控设备状态，提高管理效率。设备更新：及时淘汰过时或低效设备。流程优化：简化设备使用流程，提高效率。</w:t>
      </w:r>
    </w:p>
    <w:p w14:paraId="205E15C1">
      <w:pPr>
        <w:ind w:firstLine="640" w:firstLineChars="200"/>
        <w:rPr>
          <w:rFonts w:eastAsia="仿宋_GB2312"/>
          <w:sz w:val="32"/>
          <w:szCs w:val="32"/>
          <w:highlight w:val="none"/>
        </w:rPr>
      </w:pPr>
      <w:r>
        <w:rPr>
          <w:rFonts w:hint="eastAsia" w:eastAsia="仿宋_GB2312"/>
          <w:sz w:val="32"/>
          <w:szCs w:val="32"/>
          <w:highlight w:val="none"/>
        </w:rPr>
        <w:t>指标10：医院医疗服务活动平稳高效进行，指标值：医院医疗服务活动平稳高效进行。实际完成值：医院医疗服务活动平稳高效进行，有效保障稳步提高，按时保质保量为临床一线采购质量过硬产品。指标完成率100%，完成预期指标值。</w:t>
      </w:r>
    </w:p>
    <w:p w14:paraId="6EAD6E84">
      <w:pPr>
        <w:ind w:firstLine="640" w:firstLineChars="200"/>
        <w:rPr>
          <w:rFonts w:eastAsia="仿宋_GB2312"/>
          <w:sz w:val="32"/>
          <w:szCs w:val="32"/>
          <w:highlight w:val="none"/>
        </w:rPr>
      </w:pPr>
      <w:r>
        <w:rPr>
          <w:rFonts w:hint="eastAsia" w:eastAsia="仿宋_GB2312"/>
          <w:sz w:val="32"/>
          <w:szCs w:val="32"/>
          <w:highlight w:val="none"/>
        </w:rPr>
        <w:t>指标11：职工满意度，指标值：≥90%，实际完成值：91.08%，指标完成率101.2%。职工满意度有所提升。改进措施：精确设置指标值。</w:t>
      </w:r>
    </w:p>
    <w:p w14:paraId="26AD089C">
      <w:pPr>
        <w:pStyle w:val="18"/>
        <w:rPr>
          <w:highlight w:val="none"/>
        </w:rPr>
      </w:pPr>
      <w:r>
        <w:rPr>
          <w:rFonts w:hint="eastAsia"/>
          <w:highlight w:val="none"/>
          <w:lang w:eastAsia="zh-Hans"/>
        </w:rPr>
        <w:t>六</w:t>
      </w:r>
      <w:r>
        <w:rPr>
          <w:highlight w:val="none"/>
        </w:rPr>
        <w:t>、主要经验及做法、存在的问题及原因分析</w:t>
      </w:r>
    </w:p>
    <w:p w14:paraId="6F782825">
      <w:pPr>
        <w:pStyle w:val="19"/>
        <w:ind w:firstLine="643"/>
        <w:rPr>
          <w:highlight w:val="none"/>
        </w:rPr>
      </w:pPr>
      <w:r>
        <w:rPr>
          <w:highlight w:val="none"/>
        </w:rPr>
        <w:t>（一）主要经验及做法</w:t>
      </w:r>
    </w:p>
    <w:p w14:paraId="4B305D91">
      <w:pPr>
        <w:pStyle w:val="20"/>
        <w:ind w:firstLine="643"/>
        <w:rPr>
          <w:highlight w:val="none"/>
        </w:rPr>
      </w:pPr>
      <w:r>
        <w:rPr>
          <w:rFonts w:hint="eastAsia"/>
          <w:highlight w:val="none"/>
        </w:rPr>
        <w:t>1.完善医院政府采购工作体制机制。</w:t>
      </w:r>
    </w:p>
    <w:p w14:paraId="18F2D3E2">
      <w:pPr>
        <w:pStyle w:val="17"/>
        <w:ind w:firstLine="640"/>
        <w:rPr>
          <w:rFonts w:hint="default"/>
          <w:highlight w:val="none"/>
        </w:rPr>
      </w:pPr>
      <w:r>
        <w:rPr>
          <w:highlight w:val="none"/>
        </w:rPr>
        <w:t>一是制度建设。结合国家、自治区关于政府采购相关法律法规、文件要求，修订了《新疆医科大学第一附属医院招标采购管理办法（2023年度）》；为强化价格管理新增《医院招标采购控制价及中标价格专项管理要求》；进一步加强代理公司管理，修订了《招标代理公司管理办法》及配套《招标代理公司考核表》等；二是流程优化。以《新疆医科大学第一附属医院政府采购标准作业流程（SOP）》为基础，对标前会流程及各类表单进行优化。新增电子标资格审查、开评标、档案管理要求。三是MDT团队协作。以采购计划为依据，各部门加强协作沟通，及时化解问题堵点，在意向公开、进口论证、单一来源论证、标前论证等方面对采购过程进行划分，提前做好各项准备工作，有效地提升了采购效率。针对科室在招标流程方面的困惑，编写了问卷答疑小程序，答疑解惑。</w:t>
      </w:r>
    </w:p>
    <w:p w14:paraId="1470A113">
      <w:pPr>
        <w:pStyle w:val="20"/>
        <w:ind w:firstLine="643"/>
        <w:rPr>
          <w:highlight w:val="none"/>
        </w:rPr>
      </w:pPr>
      <w:r>
        <w:rPr>
          <w:rFonts w:hint="eastAsia"/>
          <w:highlight w:val="none"/>
        </w:rPr>
        <w:t>2.加强医院政府采购预算管理。</w:t>
      </w:r>
    </w:p>
    <w:p w14:paraId="6CFAEC1E">
      <w:pPr>
        <w:pStyle w:val="17"/>
        <w:ind w:firstLine="640"/>
        <w:rPr>
          <w:rFonts w:hint="default"/>
          <w:highlight w:val="none"/>
        </w:rPr>
      </w:pPr>
      <w:r>
        <w:rPr>
          <w:highlight w:val="none"/>
        </w:rPr>
        <w:t>按照“预算编制有目标、预算执行有监控、预算完成有评价、评价结果有反馈、反馈结果有应用”的全过程预算绩效管理机制。制订了《2024年政府采购预算编制工作方案》召开全院预算填报会议，按照采购预算细化至政府采购四级目录的要求，会同归口部门对政府采购预算开展“二上二下”填报，并进行专项审核报党委审批后上报。采购过程中严格执行“无预算，不采购”的要求。</w:t>
      </w:r>
    </w:p>
    <w:p w14:paraId="4EE3684A">
      <w:pPr>
        <w:pStyle w:val="20"/>
        <w:ind w:firstLine="643"/>
        <w:rPr>
          <w:highlight w:val="none"/>
        </w:rPr>
      </w:pPr>
      <w:r>
        <w:rPr>
          <w:rFonts w:hint="eastAsia"/>
          <w:highlight w:val="none"/>
        </w:rPr>
        <w:t>3.关口前移有序推进，提高招标采购工作效率。</w:t>
      </w:r>
    </w:p>
    <w:p w14:paraId="466B9A96">
      <w:pPr>
        <w:pStyle w:val="17"/>
        <w:ind w:firstLine="640"/>
        <w:rPr>
          <w:rFonts w:hint="default"/>
          <w:highlight w:val="none"/>
        </w:rPr>
      </w:pPr>
      <w:r>
        <w:rPr>
          <w:highlight w:val="none"/>
        </w:rPr>
        <w:t>一是做好意向公开前期准备，及时公开采购信息，防止因意向公开时限不够影响采购进度。二是对拟采购的国产、进口货物区别制定报审流程。三是配合科室提前做好产品的需求论证、控价评估、招标文件编制等工作，待医院批准授权后及时发布采购公告。四是完善OA招标工作流，帮助科室清晰掌握招采进展情况。五是综合利用政采电子卖场、委托政采、分散采购等方式提升工作质效。</w:t>
      </w:r>
    </w:p>
    <w:p w14:paraId="2972C6C1">
      <w:pPr>
        <w:pStyle w:val="20"/>
        <w:ind w:firstLine="643"/>
        <w:rPr>
          <w:highlight w:val="none"/>
        </w:rPr>
      </w:pPr>
      <w:r>
        <w:rPr>
          <w:rFonts w:hint="eastAsia"/>
          <w:highlight w:val="none"/>
        </w:rPr>
        <w:t>4.以节约资金为目标，对标对表开展内控管理。</w:t>
      </w:r>
    </w:p>
    <w:p w14:paraId="2F3F74C5">
      <w:pPr>
        <w:pStyle w:val="17"/>
        <w:ind w:firstLine="640"/>
        <w:rPr>
          <w:rFonts w:hint="default"/>
          <w:highlight w:val="none"/>
        </w:rPr>
      </w:pPr>
      <w:r>
        <w:rPr>
          <w:highlight w:val="none"/>
        </w:rPr>
        <w:t>结合历史成交价、互联网价查询平台等进行三方比价，形成预算价、初控价、拦标价、成交价价格库，并制订《医院招标采购控制价及中标价格专项管理要求》。结合医院实际，在报价方式、打分表量化等方面进一步细化管理，为医院有效节约资金。</w:t>
      </w:r>
    </w:p>
    <w:p w14:paraId="304EDE51">
      <w:pPr>
        <w:pStyle w:val="20"/>
        <w:ind w:firstLine="643"/>
        <w:rPr>
          <w:highlight w:val="none"/>
        </w:rPr>
      </w:pPr>
      <w:r>
        <w:rPr>
          <w:rFonts w:hint="eastAsia"/>
          <w:highlight w:val="none"/>
        </w:rPr>
        <w:t>5.强化廉洁意识，推进招标采购廉政风险防控。</w:t>
      </w:r>
    </w:p>
    <w:p w14:paraId="034DF4DD">
      <w:pPr>
        <w:pStyle w:val="17"/>
        <w:ind w:firstLine="640"/>
        <w:rPr>
          <w:rFonts w:hint="default"/>
          <w:highlight w:val="none"/>
        </w:rPr>
      </w:pPr>
      <w:r>
        <w:rPr>
          <w:highlight w:val="none"/>
        </w:rPr>
        <w:t>一方面，认真开展风险自查并接受纪检审计部门专项督导检查，建立台账并提出解决方案。另一方面，加强党风廉政教育，提升干部职工廉洁意识，筑牢预防腐败的“防火墙”，推进招投标工作廉洁健康开展。</w:t>
      </w:r>
    </w:p>
    <w:p w14:paraId="32788BCF">
      <w:pPr>
        <w:pStyle w:val="19"/>
        <w:ind w:firstLine="643"/>
        <w:rPr>
          <w:highlight w:val="none"/>
        </w:rPr>
      </w:pPr>
      <w:r>
        <w:rPr>
          <w:rFonts w:hint="eastAsia"/>
          <w:highlight w:val="none"/>
        </w:rPr>
        <w:t>（二）</w:t>
      </w:r>
      <w:r>
        <w:rPr>
          <w:highlight w:val="none"/>
        </w:rPr>
        <w:t>存在的问题及原因分析</w:t>
      </w:r>
    </w:p>
    <w:p w14:paraId="40F1AA0C">
      <w:pPr>
        <w:pStyle w:val="17"/>
        <w:ind w:firstLine="640"/>
        <w:rPr>
          <w:rFonts w:hint="default"/>
          <w:highlight w:val="none"/>
        </w:rPr>
      </w:pPr>
      <w:r>
        <w:rPr>
          <w:highlight w:val="none"/>
        </w:rPr>
        <w:t>2023年度运营管理部招标管理内部控制工作的新问题或新挑战：</w:t>
      </w:r>
    </w:p>
    <w:p w14:paraId="037761DC">
      <w:pPr>
        <w:pStyle w:val="17"/>
        <w:ind w:firstLine="640"/>
        <w:rPr>
          <w:rFonts w:hint="default"/>
          <w:highlight w:val="none"/>
        </w:rPr>
      </w:pPr>
      <w:r>
        <w:rPr>
          <w:highlight w:val="none"/>
        </w:rPr>
        <w:t>医院招标采购业务是一项涉及预算管理、流程管理、档案管理等多方面的系统性工作。在卫生医疗新经济不断发展</w:t>
      </w:r>
      <w:r>
        <w:rPr>
          <w:rFonts w:hint="eastAsia"/>
          <w:highlight w:val="none"/>
          <w:lang w:eastAsia="zh-CN"/>
        </w:rPr>
        <w:t>，</w:t>
      </w:r>
      <w:r>
        <w:rPr>
          <w:highlight w:val="none"/>
        </w:rPr>
        <w:t>医疗卫生体制改革不断深化的现实环境下，如何真正实现医院招标采购业务“公平、公正、公开”，进一步规范医院的采购行为，已成为医院加强内控管理的重点任务之一。</w:t>
      </w:r>
    </w:p>
    <w:p w14:paraId="2B573278">
      <w:pPr>
        <w:pStyle w:val="18"/>
        <w:rPr>
          <w:highlight w:val="none"/>
        </w:rPr>
      </w:pPr>
      <w:r>
        <w:rPr>
          <w:rFonts w:hint="eastAsia"/>
          <w:highlight w:val="none"/>
          <w:lang w:eastAsia="zh-Hans"/>
        </w:rPr>
        <w:t>七、</w:t>
      </w:r>
      <w:r>
        <w:rPr>
          <w:highlight w:val="none"/>
        </w:rPr>
        <w:t>有关建议</w:t>
      </w:r>
    </w:p>
    <w:p w14:paraId="663036EF">
      <w:pPr>
        <w:pStyle w:val="17"/>
        <w:ind w:firstLine="640"/>
        <w:rPr>
          <w:rFonts w:hint="default"/>
          <w:highlight w:val="none"/>
        </w:rPr>
      </w:pPr>
      <w:r>
        <w:rPr>
          <w:highlight w:val="none"/>
        </w:rPr>
        <w:t>加强内控管理，明确内控关键点，并嵌入信息管理软件中，将有助于健全内部控制体系，规范医院采购管理业务，改善医院采购管理效果，促进医院经济的可持续性发展。</w:t>
      </w:r>
    </w:p>
    <w:p w14:paraId="15F2C4A2">
      <w:pPr>
        <w:pStyle w:val="17"/>
        <w:ind w:firstLine="640"/>
        <w:rPr>
          <w:rFonts w:hint="default"/>
          <w:highlight w:val="none"/>
        </w:rPr>
      </w:pPr>
      <w:r>
        <w:rPr>
          <w:highlight w:val="none"/>
        </w:rPr>
        <w:t>2023年已经购入招标采购软件，初步设计出整体系统框架。计划2024年度通过将信息化技术</w:t>
      </w:r>
      <w:r>
        <w:rPr>
          <w:rFonts w:hint="eastAsia"/>
          <w:highlight w:val="none"/>
          <w:lang w:eastAsia="zh-CN"/>
        </w:rPr>
        <w:t>应用</w:t>
      </w:r>
      <w:r>
        <w:rPr>
          <w:highlight w:val="none"/>
        </w:rPr>
        <w:t>到医院的招标采购内部管理和控制中，实现部门、业务、岗位之间的相互监督和衔接作用，提高医院招标采购内控的工作效率，促进医院有效防范和管控招标采购活动的风险。2024年将持续跟进与之相匹配的标准化建设，逐步建立从需求论证到合同管理的医院招标采购全链条。实现各科室的政府采购预算申报、分配、需求计划提交、数据汇总分析，重要信息合成并采集等，达到信息化统一管理，打通信息渠道，保证工作流程的畅通，提高招采效率。</w:t>
      </w:r>
    </w:p>
    <w:p w14:paraId="4148E416">
      <w:pPr>
        <w:pStyle w:val="18"/>
        <w:rPr>
          <w:highlight w:val="none"/>
        </w:rPr>
      </w:pPr>
      <w:r>
        <w:rPr>
          <w:rFonts w:hint="eastAsia"/>
          <w:highlight w:val="none"/>
          <w:lang w:eastAsia="zh-Hans"/>
        </w:rPr>
        <w:t>八、</w:t>
      </w:r>
      <w:r>
        <w:rPr>
          <w:highlight w:val="none"/>
        </w:rPr>
        <w:t>其他需要说</w:t>
      </w:r>
      <w:bookmarkStart w:id="4" w:name="page8"/>
      <w:bookmarkEnd w:id="4"/>
      <w:r>
        <w:rPr>
          <w:highlight w:val="none"/>
        </w:rPr>
        <w:t>明的问题</w:t>
      </w:r>
    </w:p>
    <w:p w14:paraId="6EA2CB97">
      <w:pPr>
        <w:pStyle w:val="17"/>
        <w:ind w:firstLine="640"/>
        <w:rPr>
          <w:rFonts w:hint="default"/>
          <w:highlight w:val="none"/>
        </w:rPr>
      </w:pPr>
      <w:r>
        <w:rPr>
          <w:highlight w:val="none"/>
        </w:rPr>
        <w:t>本项目无其他需说明的问题。</w:t>
      </w:r>
    </w:p>
    <w:p w14:paraId="107851A8">
      <w:pPr>
        <w:pStyle w:val="12"/>
        <w:spacing w:after="0" w:line="560" w:lineRule="exact"/>
        <w:ind w:left="0" w:leftChars="0" w:firstLine="640"/>
        <w:rPr>
          <w:rFonts w:ascii="仿宋_GB2312" w:hAnsi="仿宋_GB2312" w:eastAsia="仿宋_GB2312" w:cs="仿宋_GB2312"/>
          <w:sz w:val="32"/>
          <w:szCs w:val="32"/>
          <w:highlight w:val="none"/>
          <w:lang w:eastAsia="zh-Hans"/>
        </w:rPr>
      </w:pPr>
    </w:p>
    <w:p w14:paraId="7C1804C4">
      <w:pPr>
        <w:rPr>
          <w:highlight w:val="none"/>
          <w:lang w:bidi="ar"/>
        </w:rPr>
      </w:pPr>
    </w:p>
    <w:p w14:paraId="28DBD01F">
      <w:pPr>
        <w:rPr>
          <w:highlight w:val="none"/>
          <w:lang w:bidi="ar"/>
        </w:rPr>
        <w:sectPr>
          <w:footerReference r:id="rId3" w:type="default"/>
          <w:pgSz w:w="11906" w:h="16838"/>
          <w:pgMar w:top="1440" w:right="1558" w:bottom="1440" w:left="1800" w:header="851" w:footer="992" w:gutter="0"/>
          <w:cols w:space="425" w:num="1"/>
          <w:docGrid w:type="lines" w:linePitch="312" w:charSpace="0"/>
        </w:sect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7"/>
        <w:gridCol w:w="567"/>
        <w:gridCol w:w="567"/>
        <w:gridCol w:w="1304"/>
        <w:gridCol w:w="1026"/>
        <w:gridCol w:w="918"/>
        <w:gridCol w:w="1026"/>
        <w:gridCol w:w="918"/>
        <w:gridCol w:w="918"/>
        <w:gridCol w:w="918"/>
        <w:gridCol w:w="1026"/>
        <w:gridCol w:w="1108"/>
        <w:gridCol w:w="983"/>
        <w:gridCol w:w="2328"/>
      </w:tblGrid>
      <w:tr w14:paraId="50FA9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34749276">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38C1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AA8B8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16767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7B25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95C07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医院政府采购项目</w:t>
            </w:r>
          </w:p>
        </w:tc>
      </w:tr>
      <w:tr w14:paraId="35535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6B3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2A453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68CB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6882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新疆医科大学第一附属医院</w:t>
            </w:r>
          </w:p>
        </w:tc>
      </w:tr>
      <w:tr w14:paraId="2E71B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1A6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EA0F91">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B02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7511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17B0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B36E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F02D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581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D176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59C82">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A4AD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63C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290218.58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7744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290218.58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2E47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252999.88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704C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5069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87.18%</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878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8.72分</w:t>
            </w:r>
          </w:p>
        </w:tc>
      </w:tr>
      <w:tr w14:paraId="540C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E01BE">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C3CB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E5A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E46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762F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D38F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3429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124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B3EF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FC126">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FF68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912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290218.58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F69C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290218.58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443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252999.88</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1A97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35A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CE2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1787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AA3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6DC89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1FCC4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1C360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38027">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0041E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保障医院医疗服务活动平稳高效进行。2、稳步发展本科教育，大力发展研究生教育，适度开展继续教育和国际教育。3、推进分级诊疗，支持双向转诊、急慢分治、上下联动的模式。4、加强基础建设，支持专科发展建设。5、全面提升医院精细化管理水平，增强医院竞争力。6、建立安全文化长效机制，构建平安医院。7、发扬大爱无疆精神，勇担社会责任。</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21AB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践行“全心全意为人民服务”的根本宗旨，牢记“敬佑生命、救死扶伤、甘于奉献、大爱无疆”的职业精神，在做好医疗服务工作的同时，不忘提升医疗质量，不断营造全院的质量安全氛围，打造质量安全文化，较好</w:t>
            </w:r>
            <w:r>
              <w:rPr>
                <w:rFonts w:hint="eastAsia" w:ascii="宋体" w:hAnsi="宋体" w:cs="宋体"/>
                <w:i w:val="0"/>
                <w:iCs w:val="0"/>
                <w:color w:val="000000"/>
                <w:kern w:val="0"/>
                <w:sz w:val="18"/>
                <w:szCs w:val="18"/>
                <w:u w:val="none"/>
                <w:lang w:val="en-US" w:eastAsia="zh-CN" w:bidi="ar"/>
              </w:rPr>
              <w:t>地</w:t>
            </w:r>
            <w:r>
              <w:rPr>
                <w:rFonts w:hint="eastAsia" w:ascii="宋体" w:hAnsi="宋体" w:eastAsia="宋体" w:cs="宋体"/>
                <w:i w:val="0"/>
                <w:iCs w:val="0"/>
                <w:color w:val="000000"/>
                <w:kern w:val="0"/>
                <w:sz w:val="18"/>
                <w:szCs w:val="18"/>
                <w:u w:val="none"/>
                <w:lang w:val="en-US" w:eastAsia="zh-CN" w:bidi="ar"/>
              </w:rPr>
              <w:t>完成了各项指标任务。</w:t>
            </w:r>
          </w:p>
        </w:tc>
      </w:tr>
      <w:tr w14:paraId="26B2E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D154EC">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DF56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818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34FD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FEB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BA75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87B9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AC70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3907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313C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2C11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BF9E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FEA6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F743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B70D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4D68E">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9825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8A9F0">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79CF8">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83F605">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D3278">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6A678">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2B6F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8DACF">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C6BC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79332">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D0C28">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FCBB1">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0765C">
            <w:pPr>
              <w:jc w:val="center"/>
              <w:rPr>
                <w:rFonts w:hint="eastAsia" w:ascii="宋体" w:hAnsi="宋体" w:eastAsia="宋体" w:cs="宋体"/>
                <w:b/>
                <w:bCs/>
                <w:i w:val="0"/>
                <w:iCs w:val="0"/>
                <w:color w:val="000000"/>
                <w:sz w:val="18"/>
                <w:szCs w:val="18"/>
                <w:u w:val="none"/>
              </w:rPr>
            </w:pPr>
          </w:p>
        </w:tc>
      </w:tr>
      <w:tr w14:paraId="2D01F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B4E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430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7F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1C6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购置专用设备数量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FA3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564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&gt;=650台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319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=983台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70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151.23%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C3F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C6D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1E4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581台</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1D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AF4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DAE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2023年度我院检验中心、急救中心等临床科室进行相关改造建设，为满足改造病区所需设备的需求，进行</w:t>
            </w:r>
            <w:r>
              <w:rPr>
                <w:rFonts w:hint="eastAsia" w:ascii="宋体" w:hAnsi="宋体" w:cs="宋体"/>
                <w:i w:val="0"/>
                <w:iCs w:val="0"/>
                <w:color w:val="000000"/>
                <w:kern w:val="0"/>
                <w:sz w:val="18"/>
                <w:szCs w:val="18"/>
                <w:u w:val="none"/>
                <w:lang w:val="en-US" w:eastAsia="zh-CN" w:bidi="ar"/>
              </w:rPr>
              <w:t>了</w:t>
            </w:r>
            <w:r>
              <w:rPr>
                <w:rFonts w:hint="eastAsia" w:ascii="宋体" w:hAnsi="宋体" w:eastAsia="宋体" w:cs="宋体"/>
                <w:i w:val="0"/>
                <w:iCs w:val="0"/>
                <w:color w:val="000000"/>
                <w:kern w:val="0"/>
                <w:sz w:val="18"/>
                <w:szCs w:val="18"/>
                <w:u w:val="none"/>
                <w:lang w:val="en-US" w:eastAsia="zh-CN" w:bidi="ar"/>
              </w:rPr>
              <w:t>院内调整，实际完成983台</w:t>
            </w:r>
          </w:p>
        </w:tc>
      </w:tr>
      <w:tr w14:paraId="2D991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99289">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365F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473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02A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门诊人次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61E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E02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&gt;=280万人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39D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=316.42万人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C19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113.01%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C2E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9C5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552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240.48万人</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300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661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DE3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疫情结束后，就医患者大幅增加</w:t>
            </w:r>
          </w:p>
        </w:tc>
      </w:tr>
      <w:tr w14:paraId="78D89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E4D0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C125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0FB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29D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房屋建筑面积</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2EE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A4A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&gt;=25000平方米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657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=29918.94平方米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23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119.68%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AEB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D2B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254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379902.73</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BA7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2C3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C17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因医院基础设施环境进行升级改造，故2023年改造项目有所增加，改造面积也有所增加</w:t>
            </w:r>
          </w:p>
        </w:tc>
      </w:tr>
      <w:tr w14:paraId="74E25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DA96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2056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CC5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B66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E92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139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9C3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690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FAC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223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90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A0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5BA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E382E">
            <w:pPr>
              <w:jc w:val="center"/>
              <w:rPr>
                <w:rFonts w:hint="eastAsia" w:ascii="宋体" w:hAnsi="宋体" w:eastAsia="宋体" w:cs="宋体"/>
                <w:i w:val="0"/>
                <w:iCs w:val="0"/>
                <w:color w:val="000000"/>
                <w:sz w:val="18"/>
                <w:szCs w:val="18"/>
                <w:u w:val="none"/>
              </w:rPr>
            </w:pPr>
          </w:p>
        </w:tc>
      </w:tr>
      <w:tr w14:paraId="61A10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3ADDC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1141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384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38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772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21C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DF9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3B9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F93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2D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E2C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BB7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739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44DB87">
            <w:pPr>
              <w:jc w:val="center"/>
              <w:rPr>
                <w:rFonts w:hint="eastAsia" w:ascii="宋体" w:hAnsi="宋体" w:eastAsia="宋体" w:cs="宋体"/>
                <w:i w:val="0"/>
                <w:iCs w:val="0"/>
                <w:color w:val="000000"/>
                <w:sz w:val="18"/>
                <w:szCs w:val="18"/>
                <w:u w:val="none"/>
              </w:rPr>
            </w:pPr>
          </w:p>
        </w:tc>
      </w:tr>
      <w:tr w14:paraId="32D59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44619">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EAA84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59B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6B0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依法及时评标定标率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52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D5B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199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7F0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B04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B6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F9F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A79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65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D53B0">
            <w:pPr>
              <w:jc w:val="center"/>
              <w:rPr>
                <w:rFonts w:hint="eastAsia" w:ascii="宋体" w:hAnsi="宋体" w:eastAsia="宋体" w:cs="宋体"/>
                <w:i w:val="0"/>
                <w:iCs w:val="0"/>
                <w:color w:val="000000"/>
                <w:sz w:val="18"/>
                <w:szCs w:val="18"/>
                <w:u w:val="none"/>
              </w:rPr>
            </w:pPr>
          </w:p>
        </w:tc>
      </w:tr>
      <w:tr w14:paraId="7648E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554A4">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E021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44A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3BC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百元医疗收入药品费用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613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2FB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2CE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=14.95元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3F1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FE3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33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E08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26F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580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F1349">
            <w:pPr>
              <w:jc w:val="center"/>
              <w:rPr>
                <w:rFonts w:hint="eastAsia" w:ascii="宋体" w:hAnsi="宋体" w:eastAsia="宋体" w:cs="宋体"/>
                <w:i w:val="0"/>
                <w:iCs w:val="0"/>
                <w:color w:val="000000"/>
                <w:sz w:val="18"/>
                <w:szCs w:val="18"/>
                <w:u w:val="none"/>
              </w:rPr>
            </w:pPr>
          </w:p>
        </w:tc>
      </w:tr>
      <w:tr w14:paraId="50A7E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C48B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AEBD8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AAC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CBA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门诊均次（不含体检）</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715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B51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&lt;=350元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52E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630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EAE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485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889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308.91元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8F1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82A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F4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目标值参照2022年数据设置，2022年中新冠病毒相关检测拉低门诊均次费用</w:t>
            </w:r>
          </w:p>
        </w:tc>
      </w:tr>
      <w:tr w14:paraId="2EDCA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10028">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5FF4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28B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B65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设备利用率（%）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A8F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52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934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862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103.16%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9D9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624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1DB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61F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6A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04AF8">
            <w:pPr>
              <w:jc w:val="center"/>
              <w:rPr>
                <w:rFonts w:hint="eastAsia" w:ascii="宋体" w:hAnsi="宋体" w:eastAsia="宋体" w:cs="宋体"/>
                <w:i w:val="0"/>
                <w:iCs w:val="0"/>
                <w:color w:val="000000"/>
                <w:sz w:val="18"/>
                <w:szCs w:val="18"/>
                <w:u w:val="none"/>
              </w:rPr>
            </w:pPr>
          </w:p>
        </w:tc>
      </w:tr>
      <w:tr w14:paraId="08A4B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E9747">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21D8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5BD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08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医院医疗服务活动平稳高效进行</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E6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362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9A7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C9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204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E82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63B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有效保障</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85C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496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49F26">
            <w:pPr>
              <w:jc w:val="center"/>
              <w:rPr>
                <w:rFonts w:hint="eastAsia" w:ascii="宋体" w:hAnsi="宋体" w:eastAsia="宋体" w:cs="宋体"/>
                <w:i w:val="0"/>
                <w:iCs w:val="0"/>
                <w:color w:val="000000"/>
                <w:sz w:val="18"/>
                <w:szCs w:val="18"/>
                <w:u w:val="none"/>
              </w:rPr>
            </w:pPr>
          </w:p>
        </w:tc>
      </w:tr>
      <w:tr w14:paraId="7A753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7ECB3">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141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3C8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549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7F0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77D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E5E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=91.08%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620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03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773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540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91.08%</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5E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CF9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C8F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职工满意度有所提升</w:t>
            </w:r>
          </w:p>
        </w:tc>
      </w:tr>
      <w:tr w14:paraId="26E78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4CFEED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1FB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6A1B876A">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50DB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9404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3EA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91.71分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AD0FC">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0272">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39D64">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7607C">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66568">
            <w:pPr>
              <w:rPr>
                <w:rFonts w:hint="eastAsia" w:ascii="宋体" w:hAnsi="宋体" w:eastAsia="宋体" w:cs="宋体"/>
                <w:i w:val="0"/>
                <w:iCs w:val="0"/>
                <w:color w:val="000000"/>
                <w:sz w:val="18"/>
                <w:szCs w:val="18"/>
                <w:u w:val="none"/>
              </w:rPr>
            </w:pPr>
          </w:p>
        </w:tc>
      </w:tr>
    </w:tbl>
    <w:p w14:paraId="313A50FB">
      <w:pPr>
        <w:pStyle w:val="18"/>
        <w:ind w:firstLine="0" w:firstLineChars="0"/>
        <w:rPr>
          <w:highlight w:val="none"/>
        </w:rPr>
      </w:pPr>
    </w:p>
    <w:p w14:paraId="38F9D521">
      <w:pPr>
        <w:pStyle w:val="18"/>
        <w:ind w:firstLine="0" w:firstLineChars="0"/>
        <w:rPr>
          <w:highlight w:val="none"/>
        </w:rPr>
      </w:pPr>
    </w:p>
    <w:p w14:paraId="712D0BEF">
      <w:pPr>
        <w:pStyle w:val="18"/>
        <w:ind w:firstLine="0" w:firstLineChars="0"/>
        <w:rPr>
          <w:highlight w:val="none"/>
        </w:rPr>
      </w:pPr>
    </w:p>
    <w:p w14:paraId="78CAC04C">
      <w:pPr>
        <w:pStyle w:val="18"/>
        <w:ind w:firstLine="0" w:firstLineChars="0"/>
        <w:rPr>
          <w:highlight w:val="none"/>
        </w:rPr>
      </w:pPr>
    </w:p>
    <w:p w14:paraId="03DA89BA">
      <w:pPr>
        <w:pStyle w:val="18"/>
        <w:ind w:firstLine="0" w:firstLineChars="0"/>
        <w:rPr>
          <w:highlight w:val="none"/>
        </w:rPr>
      </w:pPr>
    </w:p>
    <w:p w14:paraId="15F8B593">
      <w:pPr>
        <w:pStyle w:val="18"/>
        <w:ind w:firstLine="0" w:firstLineChars="0"/>
        <w:rPr>
          <w:highlight w:val="none"/>
        </w:rPr>
      </w:pPr>
    </w:p>
    <w:p w14:paraId="3C621E0D">
      <w:pPr>
        <w:pStyle w:val="18"/>
        <w:ind w:firstLine="0" w:firstLineChars="0"/>
        <w:rPr>
          <w:highlight w:val="none"/>
        </w:rPr>
      </w:pPr>
      <w:r>
        <w:rPr>
          <w:rFonts w:hint="eastAsia"/>
          <w:highlight w:val="none"/>
        </w:rPr>
        <w:t>附件1</w:t>
      </w:r>
    </w:p>
    <w:p w14:paraId="213297F5">
      <w:pPr>
        <w:pStyle w:val="22"/>
        <w:ind w:firstLine="562"/>
        <w:jc w:val="center"/>
        <w:rPr>
          <w:sz w:val="28"/>
          <w:szCs w:val="40"/>
          <w:highlight w:val="none"/>
        </w:rPr>
      </w:pPr>
      <w:bookmarkStart w:id="5" w:name="_Toc26499_WPSOffice_Level2"/>
      <w:bookmarkStart w:id="6" w:name="_Toc30064_WPSOffice_Level1"/>
      <w:r>
        <w:rPr>
          <w:rFonts w:hint="eastAsia"/>
          <w:b/>
          <w:bCs/>
          <w:sz w:val="28"/>
          <w:szCs w:val="40"/>
          <w:highlight w:val="none"/>
        </w:rPr>
        <w:t>医院政府采购项目绩效评价指标体系及综合评分表</w:t>
      </w:r>
      <w:bookmarkEnd w:id="5"/>
      <w:bookmarkEnd w:id="6"/>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2"/>
        <w:gridCol w:w="764"/>
        <w:gridCol w:w="873"/>
        <w:gridCol w:w="2353"/>
        <w:gridCol w:w="5198"/>
        <w:gridCol w:w="1300"/>
        <w:gridCol w:w="1363"/>
      </w:tblGrid>
      <w:tr w14:paraId="736B93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8" w:type="pct"/>
            <w:shd w:val="clear" w:color="auto" w:fill="FFFFFF"/>
            <w:vAlign w:val="center"/>
          </w:tcPr>
          <w:p w14:paraId="0D3BAFCD">
            <w:pPr>
              <w:widowControl/>
              <w:spacing w:line="0" w:lineRule="atLeast"/>
              <w:jc w:val="center"/>
              <w:rPr>
                <w:b/>
                <w:bCs/>
                <w:kern w:val="0"/>
                <w:sz w:val="22"/>
                <w:szCs w:val="22"/>
                <w:highlight w:val="none"/>
              </w:rPr>
            </w:pPr>
            <w:r>
              <w:rPr>
                <w:b/>
                <w:bCs/>
                <w:kern w:val="0"/>
                <w:sz w:val="22"/>
                <w:szCs w:val="22"/>
                <w:highlight w:val="none"/>
              </w:rPr>
              <w:t>一级指标</w:t>
            </w:r>
          </w:p>
        </w:tc>
        <w:tc>
          <w:tcPr>
            <w:tcW w:w="301" w:type="pct"/>
            <w:shd w:val="clear" w:color="auto" w:fill="FFFFFF"/>
            <w:vAlign w:val="center"/>
          </w:tcPr>
          <w:p w14:paraId="28313405">
            <w:pPr>
              <w:widowControl/>
              <w:spacing w:line="0" w:lineRule="atLeast"/>
              <w:jc w:val="center"/>
              <w:rPr>
                <w:b/>
                <w:bCs/>
                <w:kern w:val="0"/>
                <w:sz w:val="22"/>
                <w:szCs w:val="22"/>
                <w:highlight w:val="none"/>
              </w:rPr>
            </w:pPr>
            <w:r>
              <w:rPr>
                <w:b/>
                <w:bCs/>
                <w:kern w:val="0"/>
                <w:sz w:val="22"/>
                <w:szCs w:val="22"/>
                <w:highlight w:val="none"/>
              </w:rPr>
              <w:t>二级指标</w:t>
            </w:r>
          </w:p>
        </w:tc>
        <w:tc>
          <w:tcPr>
            <w:tcW w:w="344" w:type="pct"/>
            <w:shd w:val="clear" w:color="auto" w:fill="FFFFFF"/>
            <w:vAlign w:val="center"/>
          </w:tcPr>
          <w:p w14:paraId="5BB70E22">
            <w:pPr>
              <w:widowControl/>
              <w:spacing w:line="0" w:lineRule="atLeast"/>
              <w:jc w:val="center"/>
              <w:rPr>
                <w:b/>
                <w:bCs/>
                <w:kern w:val="0"/>
                <w:sz w:val="22"/>
                <w:szCs w:val="22"/>
                <w:highlight w:val="none"/>
              </w:rPr>
            </w:pPr>
            <w:r>
              <w:rPr>
                <w:b/>
                <w:bCs/>
                <w:kern w:val="0"/>
                <w:sz w:val="22"/>
                <w:szCs w:val="22"/>
                <w:highlight w:val="none"/>
              </w:rPr>
              <w:t>三级指标</w:t>
            </w:r>
          </w:p>
        </w:tc>
        <w:tc>
          <w:tcPr>
            <w:tcW w:w="927" w:type="pct"/>
            <w:shd w:val="clear" w:color="auto" w:fill="FFFFFF"/>
            <w:vAlign w:val="center"/>
          </w:tcPr>
          <w:p w14:paraId="5493E957">
            <w:pPr>
              <w:widowControl/>
              <w:spacing w:line="0" w:lineRule="atLeast"/>
              <w:jc w:val="center"/>
              <w:rPr>
                <w:b/>
                <w:bCs/>
                <w:kern w:val="0"/>
                <w:sz w:val="22"/>
                <w:szCs w:val="22"/>
                <w:highlight w:val="none"/>
              </w:rPr>
            </w:pPr>
            <w:r>
              <w:rPr>
                <w:b/>
                <w:bCs/>
                <w:kern w:val="0"/>
                <w:sz w:val="22"/>
                <w:szCs w:val="22"/>
                <w:highlight w:val="none"/>
              </w:rPr>
              <w:t>指标解释</w:t>
            </w:r>
          </w:p>
        </w:tc>
        <w:tc>
          <w:tcPr>
            <w:tcW w:w="2048" w:type="pct"/>
            <w:shd w:val="clear" w:color="auto" w:fill="FFFFFF"/>
            <w:vAlign w:val="center"/>
          </w:tcPr>
          <w:p w14:paraId="5A59CCB4">
            <w:pPr>
              <w:widowControl/>
              <w:spacing w:line="0" w:lineRule="atLeast"/>
              <w:jc w:val="center"/>
              <w:rPr>
                <w:b/>
                <w:bCs/>
                <w:kern w:val="0"/>
                <w:sz w:val="22"/>
                <w:szCs w:val="22"/>
                <w:highlight w:val="none"/>
              </w:rPr>
            </w:pPr>
            <w:r>
              <w:rPr>
                <w:b/>
                <w:bCs/>
                <w:kern w:val="0"/>
                <w:sz w:val="22"/>
                <w:szCs w:val="22"/>
                <w:highlight w:val="none"/>
              </w:rPr>
              <w:t>指标说明</w:t>
            </w:r>
          </w:p>
        </w:tc>
        <w:tc>
          <w:tcPr>
            <w:tcW w:w="512" w:type="pct"/>
            <w:shd w:val="clear" w:color="auto" w:fill="FFFFFF"/>
            <w:vAlign w:val="center"/>
          </w:tcPr>
          <w:p w14:paraId="1D9C896F">
            <w:pPr>
              <w:widowControl/>
              <w:spacing w:line="0" w:lineRule="atLeast"/>
              <w:jc w:val="center"/>
              <w:rPr>
                <w:b/>
                <w:bCs/>
                <w:kern w:val="0"/>
                <w:sz w:val="22"/>
                <w:szCs w:val="22"/>
                <w:highlight w:val="none"/>
              </w:rPr>
            </w:pPr>
            <w:r>
              <w:rPr>
                <w:b/>
                <w:bCs/>
                <w:kern w:val="0"/>
                <w:sz w:val="22"/>
                <w:szCs w:val="22"/>
                <w:highlight w:val="none"/>
              </w:rPr>
              <w:t>权重</w:t>
            </w:r>
          </w:p>
        </w:tc>
        <w:tc>
          <w:tcPr>
            <w:tcW w:w="537" w:type="pct"/>
            <w:shd w:val="clear" w:color="auto" w:fill="FFFFFF"/>
            <w:vAlign w:val="center"/>
          </w:tcPr>
          <w:p w14:paraId="3717B201">
            <w:pPr>
              <w:widowControl/>
              <w:spacing w:line="0" w:lineRule="atLeast"/>
              <w:jc w:val="center"/>
              <w:rPr>
                <w:b/>
                <w:bCs/>
                <w:kern w:val="0"/>
                <w:sz w:val="22"/>
                <w:szCs w:val="22"/>
                <w:highlight w:val="none"/>
              </w:rPr>
            </w:pPr>
            <w:r>
              <w:rPr>
                <w:b/>
                <w:bCs/>
                <w:kern w:val="0"/>
                <w:sz w:val="22"/>
                <w:szCs w:val="22"/>
                <w:highlight w:val="none"/>
              </w:rPr>
              <w:t>得分</w:t>
            </w:r>
          </w:p>
        </w:tc>
      </w:tr>
      <w:tr w14:paraId="518BC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8" w:type="pct"/>
            <w:vMerge w:val="restart"/>
            <w:shd w:val="clear" w:color="auto" w:fill="FFFFFF"/>
            <w:vAlign w:val="center"/>
          </w:tcPr>
          <w:p w14:paraId="57DCC002">
            <w:pPr>
              <w:widowControl/>
              <w:spacing w:line="0" w:lineRule="atLeast"/>
              <w:jc w:val="center"/>
              <w:rPr>
                <w:kern w:val="0"/>
                <w:sz w:val="22"/>
                <w:szCs w:val="22"/>
                <w:highlight w:val="none"/>
              </w:rPr>
            </w:pPr>
          </w:p>
          <w:p w14:paraId="4CBCC597">
            <w:pPr>
              <w:widowControl/>
              <w:spacing w:line="0" w:lineRule="atLeast"/>
              <w:jc w:val="center"/>
              <w:rPr>
                <w:kern w:val="0"/>
                <w:sz w:val="22"/>
                <w:szCs w:val="22"/>
                <w:highlight w:val="none"/>
              </w:rPr>
            </w:pPr>
          </w:p>
          <w:p w14:paraId="0611639F">
            <w:pPr>
              <w:widowControl/>
              <w:spacing w:line="0" w:lineRule="atLeast"/>
              <w:jc w:val="center"/>
              <w:rPr>
                <w:kern w:val="0"/>
                <w:sz w:val="22"/>
                <w:szCs w:val="22"/>
                <w:highlight w:val="none"/>
              </w:rPr>
            </w:pPr>
          </w:p>
          <w:p w14:paraId="3D0700E7">
            <w:pPr>
              <w:widowControl/>
              <w:spacing w:line="0" w:lineRule="atLeast"/>
              <w:jc w:val="center"/>
              <w:rPr>
                <w:kern w:val="0"/>
                <w:sz w:val="22"/>
                <w:szCs w:val="22"/>
                <w:highlight w:val="none"/>
              </w:rPr>
            </w:pPr>
          </w:p>
          <w:p w14:paraId="25170617">
            <w:pPr>
              <w:widowControl/>
              <w:spacing w:line="0" w:lineRule="atLeast"/>
              <w:jc w:val="center"/>
              <w:rPr>
                <w:kern w:val="0"/>
                <w:sz w:val="22"/>
                <w:szCs w:val="22"/>
                <w:highlight w:val="none"/>
              </w:rPr>
            </w:pPr>
          </w:p>
          <w:p w14:paraId="19623686">
            <w:pPr>
              <w:widowControl/>
              <w:spacing w:line="0" w:lineRule="atLeast"/>
              <w:jc w:val="center"/>
              <w:rPr>
                <w:kern w:val="0"/>
                <w:sz w:val="22"/>
                <w:szCs w:val="22"/>
                <w:highlight w:val="none"/>
              </w:rPr>
            </w:pPr>
          </w:p>
          <w:p w14:paraId="77831F53">
            <w:pPr>
              <w:widowControl/>
              <w:spacing w:line="0" w:lineRule="atLeast"/>
              <w:jc w:val="center"/>
              <w:rPr>
                <w:kern w:val="0"/>
                <w:sz w:val="22"/>
                <w:szCs w:val="22"/>
                <w:highlight w:val="none"/>
              </w:rPr>
            </w:pPr>
            <w:r>
              <w:rPr>
                <w:kern w:val="0"/>
                <w:sz w:val="22"/>
                <w:szCs w:val="22"/>
                <w:highlight w:val="none"/>
              </w:rPr>
              <w:t>决策　</w:t>
            </w:r>
          </w:p>
        </w:tc>
        <w:tc>
          <w:tcPr>
            <w:tcW w:w="301" w:type="pct"/>
            <w:vMerge w:val="restart"/>
            <w:shd w:val="clear" w:color="auto" w:fill="FFFFFF"/>
            <w:vAlign w:val="center"/>
          </w:tcPr>
          <w:p w14:paraId="021D853C">
            <w:pPr>
              <w:widowControl/>
              <w:spacing w:line="0" w:lineRule="atLeast"/>
              <w:jc w:val="center"/>
              <w:rPr>
                <w:kern w:val="0"/>
                <w:sz w:val="22"/>
                <w:szCs w:val="22"/>
                <w:highlight w:val="none"/>
              </w:rPr>
            </w:pPr>
            <w:r>
              <w:rPr>
                <w:kern w:val="0"/>
                <w:sz w:val="22"/>
                <w:szCs w:val="22"/>
                <w:highlight w:val="none"/>
              </w:rPr>
              <w:t>项目立项　</w:t>
            </w:r>
          </w:p>
        </w:tc>
        <w:tc>
          <w:tcPr>
            <w:tcW w:w="344" w:type="pct"/>
            <w:shd w:val="clear" w:color="auto" w:fill="FFFFFF"/>
            <w:vAlign w:val="center"/>
          </w:tcPr>
          <w:p w14:paraId="64139EB1">
            <w:pPr>
              <w:widowControl/>
              <w:spacing w:line="0" w:lineRule="atLeast"/>
              <w:jc w:val="center"/>
              <w:rPr>
                <w:kern w:val="0"/>
                <w:sz w:val="22"/>
                <w:szCs w:val="22"/>
                <w:highlight w:val="none"/>
              </w:rPr>
            </w:pPr>
            <w:r>
              <w:rPr>
                <w:kern w:val="0"/>
                <w:sz w:val="22"/>
                <w:szCs w:val="22"/>
                <w:highlight w:val="none"/>
              </w:rPr>
              <w:t>立项依据</w:t>
            </w:r>
          </w:p>
          <w:p w14:paraId="17D365B2">
            <w:pPr>
              <w:widowControl/>
              <w:spacing w:line="0" w:lineRule="atLeast"/>
              <w:jc w:val="center"/>
              <w:rPr>
                <w:kern w:val="0"/>
                <w:sz w:val="22"/>
                <w:szCs w:val="22"/>
                <w:highlight w:val="none"/>
              </w:rPr>
            </w:pPr>
            <w:r>
              <w:rPr>
                <w:kern w:val="0"/>
                <w:sz w:val="22"/>
                <w:szCs w:val="22"/>
                <w:highlight w:val="none"/>
              </w:rPr>
              <w:t>充分性</w:t>
            </w:r>
          </w:p>
        </w:tc>
        <w:tc>
          <w:tcPr>
            <w:tcW w:w="927" w:type="pct"/>
            <w:shd w:val="clear" w:color="auto" w:fill="FFFFFF"/>
            <w:vAlign w:val="center"/>
          </w:tcPr>
          <w:p w14:paraId="0A75179D">
            <w:pPr>
              <w:widowControl/>
              <w:spacing w:line="0" w:lineRule="atLeast"/>
              <w:rPr>
                <w:kern w:val="0"/>
                <w:sz w:val="22"/>
                <w:szCs w:val="22"/>
                <w:highlight w:val="none"/>
              </w:rPr>
            </w:pPr>
            <w:r>
              <w:rPr>
                <w:kern w:val="0"/>
                <w:sz w:val="22"/>
                <w:szCs w:val="22"/>
                <w:highlight w:val="none"/>
              </w:rPr>
              <w:t>项目立项是否符合法律法规、相关政策、发展规划以及部门职责，用以反映和考核项目立项依据情况。</w:t>
            </w:r>
          </w:p>
        </w:tc>
        <w:tc>
          <w:tcPr>
            <w:tcW w:w="2048" w:type="pct"/>
            <w:shd w:val="clear" w:color="auto" w:fill="FFFFFF"/>
            <w:vAlign w:val="center"/>
          </w:tcPr>
          <w:p w14:paraId="2425178D">
            <w:pPr>
              <w:widowControl/>
              <w:spacing w:line="0" w:lineRule="atLeast"/>
              <w:jc w:val="left"/>
              <w:rPr>
                <w:kern w:val="0"/>
                <w:sz w:val="22"/>
                <w:szCs w:val="22"/>
                <w:highlight w:val="none"/>
              </w:rPr>
            </w:pPr>
            <w:r>
              <w:rPr>
                <w:kern w:val="0"/>
                <w:sz w:val="22"/>
                <w:szCs w:val="22"/>
                <w:highlight w:val="none"/>
              </w:rPr>
              <w:t>评价要点：</w:t>
            </w:r>
            <w:r>
              <w:rPr>
                <w:kern w:val="0"/>
                <w:sz w:val="22"/>
                <w:szCs w:val="22"/>
                <w:highlight w:val="none"/>
              </w:rPr>
              <w:br w:type="textWrapping"/>
            </w:r>
            <w:r>
              <w:rPr>
                <w:kern w:val="0"/>
                <w:sz w:val="22"/>
                <w:szCs w:val="22"/>
                <w:highlight w:val="none"/>
              </w:rPr>
              <w:t>①项目立项是否符合国家法律法规、国民经济发展规划和相关政策；</w:t>
            </w:r>
            <w:r>
              <w:rPr>
                <w:kern w:val="0"/>
                <w:sz w:val="22"/>
                <w:szCs w:val="22"/>
                <w:highlight w:val="none"/>
              </w:rPr>
              <w:br w:type="textWrapping"/>
            </w:r>
            <w:r>
              <w:rPr>
                <w:kern w:val="0"/>
                <w:sz w:val="22"/>
                <w:szCs w:val="22"/>
                <w:highlight w:val="none"/>
              </w:rPr>
              <w:t>②项目立项是否符合行业发展规划和政策要求；</w:t>
            </w:r>
            <w:r>
              <w:rPr>
                <w:kern w:val="0"/>
                <w:sz w:val="22"/>
                <w:szCs w:val="22"/>
                <w:highlight w:val="none"/>
              </w:rPr>
              <w:br w:type="textWrapping"/>
            </w:r>
            <w:r>
              <w:rPr>
                <w:kern w:val="0"/>
                <w:sz w:val="22"/>
                <w:szCs w:val="22"/>
                <w:highlight w:val="none"/>
              </w:rPr>
              <w:t>③项目立项是否与部门职责范围相符，属于部门履职所需；</w:t>
            </w:r>
            <w:r>
              <w:rPr>
                <w:kern w:val="0"/>
                <w:sz w:val="22"/>
                <w:szCs w:val="22"/>
                <w:highlight w:val="none"/>
              </w:rPr>
              <w:br w:type="textWrapping"/>
            </w:r>
            <w:r>
              <w:rPr>
                <w:kern w:val="0"/>
                <w:sz w:val="22"/>
                <w:szCs w:val="22"/>
                <w:highlight w:val="none"/>
              </w:rPr>
              <w:t>④项目是否属于公共财政支持范围，是否符合中央、地方事权支出责任划分原则；</w:t>
            </w:r>
            <w:r>
              <w:rPr>
                <w:kern w:val="0"/>
                <w:sz w:val="22"/>
                <w:szCs w:val="22"/>
                <w:highlight w:val="none"/>
              </w:rPr>
              <w:br w:type="textWrapping"/>
            </w:r>
            <w:r>
              <w:rPr>
                <w:kern w:val="0"/>
                <w:sz w:val="22"/>
                <w:szCs w:val="22"/>
                <w:highlight w:val="none"/>
              </w:rPr>
              <w:t>⑤项目是否与相关部门同类项目或部门内部相关项目重复。</w:t>
            </w:r>
          </w:p>
        </w:tc>
        <w:tc>
          <w:tcPr>
            <w:tcW w:w="512" w:type="pct"/>
            <w:shd w:val="clear" w:color="auto" w:fill="FFFFFF"/>
            <w:vAlign w:val="center"/>
          </w:tcPr>
          <w:p w14:paraId="0A111FC2">
            <w:pPr>
              <w:widowControl/>
              <w:spacing w:line="0" w:lineRule="atLeast"/>
              <w:jc w:val="center"/>
              <w:rPr>
                <w:b/>
                <w:bCs/>
                <w:kern w:val="0"/>
                <w:sz w:val="22"/>
                <w:szCs w:val="22"/>
                <w:highlight w:val="none"/>
              </w:rPr>
            </w:pPr>
            <w:r>
              <w:rPr>
                <w:b/>
                <w:bCs/>
                <w:kern w:val="0"/>
                <w:sz w:val="22"/>
                <w:szCs w:val="22"/>
                <w:highlight w:val="none"/>
              </w:rPr>
              <w:t>3</w:t>
            </w:r>
          </w:p>
        </w:tc>
        <w:tc>
          <w:tcPr>
            <w:tcW w:w="537" w:type="pct"/>
            <w:shd w:val="clear" w:color="auto" w:fill="FFFFFF"/>
            <w:vAlign w:val="center"/>
          </w:tcPr>
          <w:p w14:paraId="31B7B308">
            <w:pPr>
              <w:widowControl/>
              <w:spacing w:line="0" w:lineRule="atLeast"/>
              <w:jc w:val="center"/>
              <w:rPr>
                <w:b/>
                <w:bCs/>
                <w:kern w:val="0"/>
                <w:sz w:val="22"/>
                <w:szCs w:val="22"/>
                <w:highlight w:val="none"/>
              </w:rPr>
            </w:pPr>
            <w:r>
              <w:rPr>
                <w:rFonts w:hint="eastAsia"/>
                <w:b/>
                <w:bCs/>
                <w:kern w:val="0"/>
                <w:sz w:val="22"/>
                <w:szCs w:val="22"/>
                <w:highlight w:val="none"/>
              </w:rPr>
              <w:t>3</w:t>
            </w:r>
          </w:p>
        </w:tc>
      </w:tr>
      <w:tr w14:paraId="110FD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5332EBDF">
            <w:pPr>
              <w:spacing w:line="0" w:lineRule="atLeast"/>
              <w:jc w:val="center"/>
              <w:rPr>
                <w:kern w:val="0"/>
                <w:sz w:val="22"/>
                <w:szCs w:val="22"/>
                <w:highlight w:val="none"/>
              </w:rPr>
            </w:pPr>
          </w:p>
        </w:tc>
        <w:tc>
          <w:tcPr>
            <w:tcW w:w="301" w:type="pct"/>
            <w:vMerge w:val="continue"/>
            <w:shd w:val="clear" w:color="auto" w:fill="FFFFFF"/>
            <w:vAlign w:val="center"/>
          </w:tcPr>
          <w:p w14:paraId="534AFE0E">
            <w:pPr>
              <w:widowControl/>
              <w:spacing w:line="0" w:lineRule="atLeast"/>
              <w:jc w:val="center"/>
              <w:rPr>
                <w:kern w:val="0"/>
                <w:sz w:val="22"/>
                <w:szCs w:val="22"/>
                <w:highlight w:val="none"/>
              </w:rPr>
            </w:pPr>
          </w:p>
        </w:tc>
        <w:tc>
          <w:tcPr>
            <w:tcW w:w="344" w:type="pct"/>
            <w:shd w:val="clear" w:color="auto" w:fill="FFFFFF"/>
            <w:vAlign w:val="center"/>
          </w:tcPr>
          <w:p w14:paraId="4C1808C0">
            <w:pPr>
              <w:widowControl/>
              <w:spacing w:line="0" w:lineRule="atLeast"/>
              <w:jc w:val="center"/>
              <w:rPr>
                <w:kern w:val="0"/>
                <w:sz w:val="22"/>
                <w:szCs w:val="22"/>
                <w:highlight w:val="none"/>
              </w:rPr>
            </w:pPr>
            <w:r>
              <w:rPr>
                <w:kern w:val="0"/>
                <w:sz w:val="22"/>
                <w:szCs w:val="22"/>
                <w:highlight w:val="none"/>
              </w:rPr>
              <w:t>立项程序</w:t>
            </w:r>
          </w:p>
          <w:p w14:paraId="2009E34F">
            <w:pPr>
              <w:widowControl/>
              <w:spacing w:line="0" w:lineRule="atLeast"/>
              <w:jc w:val="center"/>
              <w:rPr>
                <w:kern w:val="0"/>
                <w:sz w:val="22"/>
                <w:szCs w:val="22"/>
                <w:highlight w:val="none"/>
              </w:rPr>
            </w:pPr>
            <w:r>
              <w:rPr>
                <w:kern w:val="0"/>
                <w:sz w:val="22"/>
                <w:szCs w:val="22"/>
                <w:highlight w:val="none"/>
              </w:rPr>
              <w:t>规范性</w:t>
            </w:r>
          </w:p>
        </w:tc>
        <w:tc>
          <w:tcPr>
            <w:tcW w:w="927" w:type="pct"/>
            <w:shd w:val="clear" w:color="auto" w:fill="FFFFFF"/>
            <w:vAlign w:val="center"/>
          </w:tcPr>
          <w:p w14:paraId="37FE1823">
            <w:pPr>
              <w:widowControl/>
              <w:spacing w:line="0" w:lineRule="atLeast"/>
              <w:rPr>
                <w:kern w:val="0"/>
                <w:sz w:val="22"/>
                <w:szCs w:val="22"/>
                <w:highlight w:val="none"/>
              </w:rPr>
            </w:pPr>
            <w:r>
              <w:rPr>
                <w:kern w:val="0"/>
                <w:sz w:val="22"/>
                <w:szCs w:val="22"/>
                <w:highlight w:val="none"/>
              </w:rPr>
              <w:t>项目申请、设立过程是否符合相关要求，用以反映和考核项目立项的规范情况。</w:t>
            </w:r>
          </w:p>
        </w:tc>
        <w:tc>
          <w:tcPr>
            <w:tcW w:w="2048" w:type="pct"/>
            <w:shd w:val="clear" w:color="auto" w:fill="FFFFFF"/>
            <w:vAlign w:val="center"/>
          </w:tcPr>
          <w:p w14:paraId="24D6A03B">
            <w:pPr>
              <w:widowControl/>
              <w:spacing w:line="0" w:lineRule="atLeast"/>
              <w:jc w:val="left"/>
              <w:rPr>
                <w:kern w:val="0"/>
                <w:sz w:val="22"/>
                <w:szCs w:val="22"/>
                <w:highlight w:val="none"/>
              </w:rPr>
            </w:pPr>
            <w:r>
              <w:rPr>
                <w:kern w:val="0"/>
                <w:sz w:val="22"/>
                <w:szCs w:val="22"/>
                <w:highlight w:val="none"/>
              </w:rPr>
              <w:t>评价要点：</w:t>
            </w:r>
            <w:r>
              <w:rPr>
                <w:kern w:val="0"/>
                <w:sz w:val="22"/>
                <w:szCs w:val="22"/>
                <w:highlight w:val="none"/>
              </w:rPr>
              <w:br w:type="textWrapping"/>
            </w:r>
            <w:r>
              <w:rPr>
                <w:kern w:val="0"/>
                <w:sz w:val="22"/>
                <w:szCs w:val="22"/>
                <w:highlight w:val="none"/>
              </w:rPr>
              <w:t>①项目是否按照规定的程序申请设立；</w:t>
            </w:r>
            <w:r>
              <w:rPr>
                <w:kern w:val="0"/>
                <w:sz w:val="22"/>
                <w:szCs w:val="22"/>
                <w:highlight w:val="none"/>
              </w:rPr>
              <w:br w:type="textWrapping"/>
            </w:r>
            <w:r>
              <w:rPr>
                <w:kern w:val="0"/>
                <w:sz w:val="22"/>
                <w:szCs w:val="22"/>
                <w:highlight w:val="none"/>
              </w:rPr>
              <w:t>②审批文件、材料是否符合相关要求；</w:t>
            </w:r>
            <w:r>
              <w:rPr>
                <w:kern w:val="0"/>
                <w:sz w:val="22"/>
                <w:szCs w:val="22"/>
                <w:highlight w:val="none"/>
              </w:rPr>
              <w:br w:type="textWrapping"/>
            </w:r>
            <w:r>
              <w:rPr>
                <w:kern w:val="0"/>
                <w:sz w:val="22"/>
                <w:szCs w:val="22"/>
                <w:highlight w:val="none"/>
              </w:rPr>
              <w:t>③事前是否已经过必要的可行性研究、专家论证、风险评估、绩效评估、集体决策。</w:t>
            </w:r>
          </w:p>
        </w:tc>
        <w:tc>
          <w:tcPr>
            <w:tcW w:w="512" w:type="pct"/>
            <w:shd w:val="clear" w:color="auto" w:fill="FFFFFF"/>
            <w:vAlign w:val="center"/>
          </w:tcPr>
          <w:p w14:paraId="1C3A1C05">
            <w:pPr>
              <w:widowControl/>
              <w:spacing w:line="0" w:lineRule="atLeast"/>
              <w:jc w:val="center"/>
              <w:rPr>
                <w:b/>
                <w:bCs/>
                <w:kern w:val="0"/>
                <w:sz w:val="22"/>
                <w:szCs w:val="22"/>
                <w:highlight w:val="none"/>
              </w:rPr>
            </w:pPr>
            <w:r>
              <w:rPr>
                <w:b/>
                <w:bCs/>
                <w:kern w:val="0"/>
                <w:sz w:val="22"/>
                <w:szCs w:val="22"/>
                <w:highlight w:val="none"/>
              </w:rPr>
              <w:t>3</w:t>
            </w:r>
          </w:p>
        </w:tc>
        <w:tc>
          <w:tcPr>
            <w:tcW w:w="537" w:type="pct"/>
            <w:shd w:val="clear" w:color="auto" w:fill="FFFFFF"/>
            <w:vAlign w:val="center"/>
          </w:tcPr>
          <w:p w14:paraId="30697B18">
            <w:pPr>
              <w:widowControl/>
              <w:spacing w:line="0" w:lineRule="atLeast"/>
              <w:jc w:val="center"/>
              <w:rPr>
                <w:b/>
                <w:bCs/>
                <w:kern w:val="0"/>
                <w:sz w:val="22"/>
                <w:szCs w:val="22"/>
                <w:highlight w:val="none"/>
              </w:rPr>
            </w:pPr>
            <w:r>
              <w:rPr>
                <w:rFonts w:hint="eastAsia"/>
                <w:b/>
                <w:bCs/>
                <w:kern w:val="0"/>
                <w:sz w:val="22"/>
                <w:szCs w:val="22"/>
                <w:highlight w:val="none"/>
              </w:rPr>
              <w:t>3</w:t>
            </w:r>
          </w:p>
        </w:tc>
      </w:tr>
      <w:tr w14:paraId="73CF32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08037783">
            <w:pPr>
              <w:spacing w:line="0" w:lineRule="atLeast"/>
              <w:jc w:val="center"/>
              <w:rPr>
                <w:kern w:val="0"/>
                <w:sz w:val="22"/>
                <w:szCs w:val="22"/>
                <w:highlight w:val="none"/>
              </w:rPr>
            </w:pPr>
          </w:p>
        </w:tc>
        <w:tc>
          <w:tcPr>
            <w:tcW w:w="301" w:type="pct"/>
            <w:vMerge w:val="restart"/>
            <w:shd w:val="clear" w:color="auto" w:fill="FFFFFF"/>
            <w:vAlign w:val="center"/>
          </w:tcPr>
          <w:p w14:paraId="64C2DCCE">
            <w:pPr>
              <w:widowControl/>
              <w:spacing w:line="0" w:lineRule="atLeast"/>
              <w:jc w:val="center"/>
              <w:rPr>
                <w:kern w:val="0"/>
                <w:sz w:val="22"/>
                <w:szCs w:val="22"/>
                <w:highlight w:val="none"/>
              </w:rPr>
            </w:pPr>
            <w:r>
              <w:rPr>
                <w:kern w:val="0"/>
                <w:sz w:val="22"/>
                <w:szCs w:val="22"/>
                <w:highlight w:val="none"/>
              </w:rPr>
              <w:t>绩效目标　</w:t>
            </w:r>
          </w:p>
        </w:tc>
        <w:tc>
          <w:tcPr>
            <w:tcW w:w="344" w:type="pct"/>
            <w:shd w:val="clear" w:color="auto" w:fill="FFFFFF"/>
            <w:vAlign w:val="center"/>
          </w:tcPr>
          <w:p w14:paraId="474EC148">
            <w:pPr>
              <w:widowControl/>
              <w:spacing w:line="0" w:lineRule="atLeast"/>
              <w:jc w:val="center"/>
              <w:rPr>
                <w:kern w:val="0"/>
                <w:sz w:val="22"/>
                <w:szCs w:val="22"/>
                <w:highlight w:val="none"/>
              </w:rPr>
            </w:pPr>
            <w:r>
              <w:rPr>
                <w:kern w:val="0"/>
                <w:sz w:val="22"/>
                <w:szCs w:val="22"/>
                <w:highlight w:val="none"/>
              </w:rPr>
              <w:t>绩效目标</w:t>
            </w:r>
          </w:p>
          <w:p w14:paraId="3BD691CC">
            <w:pPr>
              <w:widowControl/>
              <w:spacing w:line="0" w:lineRule="atLeast"/>
              <w:jc w:val="center"/>
              <w:rPr>
                <w:kern w:val="0"/>
                <w:sz w:val="22"/>
                <w:szCs w:val="22"/>
                <w:highlight w:val="none"/>
              </w:rPr>
            </w:pPr>
            <w:r>
              <w:rPr>
                <w:kern w:val="0"/>
                <w:sz w:val="22"/>
                <w:szCs w:val="22"/>
                <w:highlight w:val="none"/>
              </w:rPr>
              <w:t>合理性</w:t>
            </w:r>
          </w:p>
        </w:tc>
        <w:tc>
          <w:tcPr>
            <w:tcW w:w="927" w:type="pct"/>
            <w:shd w:val="clear" w:color="000000" w:fill="FFFFFF"/>
            <w:vAlign w:val="center"/>
          </w:tcPr>
          <w:p w14:paraId="4033AC3D">
            <w:pPr>
              <w:widowControl/>
              <w:spacing w:line="0" w:lineRule="atLeast"/>
              <w:rPr>
                <w:kern w:val="0"/>
                <w:sz w:val="22"/>
                <w:szCs w:val="22"/>
                <w:highlight w:val="none"/>
              </w:rPr>
            </w:pPr>
            <w:r>
              <w:rPr>
                <w:kern w:val="0"/>
                <w:sz w:val="22"/>
                <w:szCs w:val="22"/>
                <w:highlight w:val="none"/>
              </w:rPr>
              <w:t>项目所设定的绩效目标是否依据充分，是否符合客观实际，用以反映和考核项目绩效目标与项目实施的相符情况。</w:t>
            </w:r>
          </w:p>
        </w:tc>
        <w:tc>
          <w:tcPr>
            <w:tcW w:w="2048" w:type="pct"/>
            <w:shd w:val="clear" w:color="000000" w:fill="FFFFFF"/>
            <w:vAlign w:val="center"/>
          </w:tcPr>
          <w:p w14:paraId="214341C7">
            <w:pPr>
              <w:widowControl/>
              <w:spacing w:line="0" w:lineRule="atLeast"/>
              <w:jc w:val="left"/>
              <w:rPr>
                <w:kern w:val="0"/>
                <w:sz w:val="22"/>
                <w:szCs w:val="22"/>
                <w:highlight w:val="none"/>
              </w:rPr>
            </w:pPr>
            <w:r>
              <w:rPr>
                <w:kern w:val="0"/>
                <w:sz w:val="22"/>
                <w:szCs w:val="22"/>
                <w:highlight w:val="none"/>
              </w:rPr>
              <w:t>评价要点：</w:t>
            </w:r>
            <w:r>
              <w:rPr>
                <w:kern w:val="0"/>
                <w:sz w:val="22"/>
                <w:szCs w:val="22"/>
                <w:highlight w:val="none"/>
              </w:rPr>
              <w:br w:type="textWrapping"/>
            </w:r>
            <w:r>
              <w:rPr>
                <w:kern w:val="0"/>
                <w:sz w:val="22"/>
                <w:szCs w:val="22"/>
                <w:highlight w:val="none"/>
              </w:rPr>
              <w:t>（如未设定预算绩效目标，也可考核其他工作任务目标）</w:t>
            </w:r>
            <w:r>
              <w:rPr>
                <w:kern w:val="0"/>
                <w:sz w:val="22"/>
                <w:szCs w:val="22"/>
                <w:highlight w:val="none"/>
              </w:rPr>
              <w:br w:type="textWrapping"/>
            </w:r>
            <w:r>
              <w:rPr>
                <w:kern w:val="0"/>
                <w:sz w:val="22"/>
                <w:szCs w:val="22"/>
                <w:highlight w:val="none"/>
              </w:rPr>
              <w:t>①项目是否有绩效目标；</w:t>
            </w:r>
            <w:r>
              <w:rPr>
                <w:kern w:val="0"/>
                <w:sz w:val="22"/>
                <w:szCs w:val="22"/>
                <w:highlight w:val="none"/>
              </w:rPr>
              <w:br w:type="textWrapping"/>
            </w:r>
            <w:r>
              <w:rPr>
                <w:kern w:val="0"/>
                <w:sz w:val="22"/>
                <w:szCs w:val="22"/>
                <w:highlight w:val="none"/>
              </w:rPr>
              <w:t>②项目绩效目标与实际工作内容是否具有相关性；</w:t>
            </w:r>
            <w:r>
              <w:rPr>
                <w:kern w:val="0"/>
                <w:sz w:val="22"/>
                <w:szCs w:val="22"/>
                <w:highlight w:val="none"/>
              </w:rPr>
              <w:br w:type="textWrapping"/>
            </w:r>
            <w:r>
              <w:rPr>
                <w:kern w:val="0"/>
                <w:sz w:val="22"/>
                <w:szCs w:val="22"/>
                <w:highlight w:val="none"/>
              </w:rPr>
              <w:t>③项目预期产出效益和效果是否符合正常的业绩水平；</w:t>
            </w:r>
          </w:p>
          <w:p w14:paraId="50591FA0">
            <w:pPr>
              <w:widowControl/>
              <w:spacing w:line="0" w:lineRule="atLeast"/>
              <w:jc w:val="left"/>
              <w:rPr>
                <w:kern w:val="0"/>
                <w:sz w:val="22"/>
                <w:szCs w:val="22"/>
                <w:highlight w:val="none"/>
              </w:rPr>
            </w:pPr>
            <w:r>
              <w:rPr>
                <w:kern w:val="0"/>
                <w:sz w:val="22"/>
                <w:szCs w:val="22"/>
                <w:highlight w:val="none"/>
              </w:rPr>
              <w:t>④是否与预算确定的项目投资额或资金量相匹配。</w:t>
            </w:r>
          </w:p>
        </w:tc>
        <w:tc>
          <w:tcPr>
            <w:tcW w:w="512" w:type="pct"/>
            <w:shd w:val="clear" w:color="000000" w:fill="FFFFFF"/>
            <w:vAlign w:val="center"/>
          </w:tcPr>
          <w:p w14:paraId="15D1C522">
            <w:pPr>
              <w:widowControl/>
              <w:spacing w:line="0" w:lineRule="atLeast"/>
              <w:jc w:val="center"/>
              <w:rPr>
                <w:b/>
                <w:bCs/>
                <w:kern w:val="0"/>
                <w:sz w:val="22"/>
                <w:szCs w:val="22"/>
                <w:highlight w:val="none"/>
              </w:rPr>
            </w:pPr>
            <w:r>
              <w:rPr>
                <w:b/>
                <w:bCs/>
                <w:kern w:val="0"/>
                <w:sz w:val="22"/>
                <w:szCs w:val="22"/>
                <w:highlight w:val="none"/>
              </w:rPr>
              <w:t>3</w:t>
            </w:r>
          </w:p>
        </w:tc>
        <w:tc>
          <w:tcPr>
            <w:tcW w:w="537" w:type="pct"/>
            <w:shd w:val="clear" w:color="000000" w:fill="FFFFFF"/>
            <w:vAlign w:val="center"/>
          </w:tcPr>
          <w:p w14:paraId="3BA9608B">
            <w:pPr>
              <w:widowControl/>
              <w:spacing w:line="0" w:lineRule="atLeast"/>
              <w:jc w:val="center"/>
              <w:rPr>
                <w:b/>
                <w:bCs/>
                <w:kern w:val="0"/>
                <w:sz w:val="22"/>
                <w:szCs w:val="22"/>
                <w:highlight w:val="none"/>
              </w:rPr>
            </w:pPr>
            <w:r>
              <w:rPr>
                <w:rFonts w:hint="eastAsia"/>
                <w:b/>
                <w:bCs/>
                <w:kern w:val="0"/>
                <w:sz w:val="22"/>
                <w:szCs w:val="22"/>
                <w:highlight w:val="none"/>
              </w:rPr>
              <w:t>3</w:t>
            </w:r>
          </w:p>
        </w:tc>
      </w:tr>
      <w:tr w14:paraId="161DB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8" w:type="pct"/>
            <w:vMerge w:val="continue"/>
            <w:shd w:val="clear" w:color="auto" w:fill="FFFFFF"/>
            <w:vAlign w:val="center"/>
          </w:tcPr>
          <w:p w14:paraId="73B56527">
            <w:pPr>
              <w:widowControl/>
              <w:spacing w:line="0" w:lineRule="atLeast"/>
              <w:jc w:val="center"/>
              <w:rPr>
                <w:kern w:val="0"/>
                <w:sz w:val="22"/>
                <w:szCs w:val="22"/>
                <w:highlight w:val="none"/>
              </w:rPr>
            </w:pPr>
          </w:p>
        </w:tc>
        <w:tc>
          <w:tcPr>
            <w:tcW w:w="301" w:type="pct"/>
            <w:vMerge w:val="continue"/>
            <w:shd w:val="clear" w:color="auto" w:fill="FFFFFF"/>
            <w:vAlign w:val="center"/>
          </w:tcPr>
          <w:p w14:paraId="7DC477D1">
            <w:pPr>
              <w:widowControl/>
              <w:spacing w:line="0" w:lineRule="atLeast"/>
              <w:jc w:val="center"/>
              <w:rPr>
                <w:kern w:val="0"/>
                <w:sz w:val="22"/>
                <w:szCs w:val="22"/>
                <w:highlight w:val="none"/>
              </w:rPr>
            </w:pPr>
          </w:p>
        </w:tc>
        <w:tc>
          <w:tcPr>
            <w:tcW w:w="344" w:type="pct"/>
            <w:shd w:val="clear" w:color="auto" w:fill="FFFFFF"/>
            <w:vAlign w:val="center"/>
          </w:tcPr>
          <w:p w14:paraId="22F872EE">
            <w:pPr>
              <w:widowControl/>
              <w:spacing w:line="0" w:lineRule="atLeast"/>
              <w:jc w:val="center"/>
              <w:rPr>
                <w:kern w:val="0"/>
                <w:sz w:val="22"/>
                <w:szCs w:val="22"/>
                <w:highlight w:val="none"/>
              </w:rPr>
            </w:pPr>
            <w:r>
              <w:rPr>
                <w:kern w:val="0"/>
                <w:sz w:val="22"/>
                <w:szCs w:val="22"/>
                <w:highlight w:val="none"/>
              </w:rPr>
              <w:t>绩效指标</w:t>
            </w:r>
          </w:p>
          <w:p w14:paraId="1D264ABD">
            <w:pPr>
              <w:widowControl/>
              <w:spacing w:line="0" w:lineRule="atLeast"/>
              <w:jc w:val="center"/>
              <w:rPr>
                <w:kern w:val="0"/>
                <w:sz w:val="22"/>
                <w:szCs w:val="22"/>
                <w:highlight w:val="none"/>
              </w:rPr>
            </w:pPr>
            <w:r>
              <w:rPr>
                <w:kern w:val="0"/>
                <w:sz w:val="22"/>
                <w:szCs w:val="22"/>
                <w:highlight w:val="none"/>
              </w:rPr>
              <w:t>明确性</w:t>
            </w:r>
          </w:p>
        </w:tc>
        <w:tc>
          <w:tcPr>
            <w:tcW w:w="927" w:type="pct"/>
            <w:shd w:val="clear" w:color="000000" w:fill="FFFFFF"/>
            <w:vAlign w:val="center"/>
          </w:tcPr>
          <w:p w14:paraId="3A3F78F0">
            <w:pPr>
              <w:widowControl/>
              <w:spacing w:line="0" w:lineRule="atLeast"/>
              <w:rPr>
                <w:kern w:val="0"/>
                <w:sz w:val="22"/>
                <w:szCs w:val="22"/>
                <w:highlight w:val="none"/>
              </w:rPr>
            </w:pPr>
            <w:r>
              <w:rPr>
                <w:kern w:val="0"/>
                <w:sz w:val="22"/>
                <w:szCs w:val="22"/>
                <w:highlight w:val="none"/>
              </w:rPr>
              <w:t>依据绩效目标设定的绩效指标是否清晰、细化、可衡量等，用以反映和考核项目绩效目标的明细化情况。</w:t>
            </w:r>
          </w:p>
        </w:tc>
        <w:tc>
          <w:tcPr>
            <w:tcW w:w="2048" w:type="pct"/>
            <w:shd w:val="clear" w:color="000000" w:fill="FFFFFF"/>
            <w:vAlign w:val="center"/>
          </w:tcPr>
          <w:p w14:paraId="383139DA">
            <w:pPr>
              <w:widowControl/>
              <w:spacing w:line="0" w:lineRule="atLeast"/>
              <w:rPr>
                <w:kern w:val="0"/>
                <w:sz w:val="22"/>
                <w:szCs w:val="22"/>
                <w:highlight w:val="none"/>
              </w:rPr>
            </w:pPr>
            <w:r>
              <w:rPr>
                <w:kern w:val="0"/>
                <w:sz w:val="22"/>
                <w:szCs w:val="22"/>
                <w:highlight w:val="none"/>
              </w:rPr>
              <w:t>评价要点：</w:t>
            </w:r>
            <w:r>
              <w:rPr>
                <w:kern w:val="0"/>
                <w:sz w:val="22"/>
                <w:szCs w:val="22"/>
                <w:highlight w:val="none"/>
              </w:rPr>
              <w:br w:type="textWrapping"/>
            </w:r>
            <w:r>
              <w:rPr>
                <w:kern w:val="0"/>
                <w:sz w:val="22"/>
                <w:szCs w:val="22"/>
                <w:highlight w:val="none"/>
              </w:rPr>
              <w:t>①是否将项目绩效目标细化分解为具体的绩效指标；</w:t>
            </w:r>
            <w:r>
              <w:rPr>
                <w:kern w:val="0"/>
                <w:sz w:val="22"/>
                <w:szCs w:val="22"/>
                <w:highlight w:val="none"/>
              </w:rPr>
              <w:br w:type="textWrapping"/>
            </w:r>
            <w:r>
              <w:rPr>
                <w:kern w:val="0"/>
                <w:sz w:val="22"/>
                <w:szCs w:val="22"/>
                <w:highlight w:val="none"/>
              </w:rPr>
              <w:t>②是否通过清晰、可衡量的指标值予以体现；</w:t>
            </w:r>
            <w:r>
              <w:rPr>
                <w:kern w:val="0"/>
                <w:sz w:val="22"/>
                <w:szCs w:val="22"/>
                <w:highlight w:val="none"/>
              </w:rPr>
              <w:br w:type="textWrapping"/>
            </w:r>
            <w:r>
              <w:rPr>
                <w:kern w:val="0"/>
                <w:sz w:val="22"/>
                <w:szCs w:val="22"/>
                <w:highlight w:val="none"/>
              </w:rPr>
              <w:t>③是否与项目目标任务数或计划数相对应。</w:t>
            </w:r>
            <w:r>
              <w:rPr>
                <w:kern w:val="0"/>
                <w:sz w:val="22"/>
                <w:szCs w:val="22"/>
                <w:highlight w:val="none"/>
              </w:rPr>
              <w:br w:type="textWrapping"/>
            </w:r>
          </w:p>
        </w:tc>
        <w:tc>
          <w:tcPr>
            <w:tcW w:w="512" w:type="pct"/>
            <w:shd w:val="clear" w:color="000000" w:fill="FFFFFF"/>
            <w:vAlign w:val="center"/>
          </w:tcPr>
          <w:p w14:paraId="392F3C9C">
            <w:pPr>
              <w:widowControl/>
              <w:spacing w:line="0" w:lineRule="atLeast"/>
              <w:jc w:val="center"/>
              <w:rPr>
                <w:b/>
                <w:bCs/>
                <w:kern w:val="0"/>
                <w:sz w:val="22"/>
                <w:szCs w:val="22"/>
                <w:highlight w:val="none"/>
              </w:rPr>
            </w:pPr>
            <w:r>
              <w:rPr>
                <w:b/>
                <w:bCs/>
                <w:kern w:val="0"/>
                <w:sz w:val="22"/>
                <w:szCs w:val="22"/>
                <w:highlight w:val="none"/>
              </w:rPr>
              <w:t>3</w:t>
            </w:r>
          </w:p>
        </w:tc>
        <w:tc>
          <w:tcPr>
            <w:tcW w:w="537" w:type="pct"/>
            <w:shd w:val="clear" w:color="000000" w:fill="FFFFFF"/>
            <w:vAlign w:val="center"/>
          </w:tcPr>
          <w:p w14:paraId="54EAEBE1">
            <w:pPr>
              <w:widowControl/>
              <w:spacing w:line="0" w:lineRule="atLeast"/>
              <w:jc w:val="center"/>
              <w:rPr>
                <w:b/>
                <w:bCs/>
                <w:kern w:val="0"/>
                <w:sz w:val="22"/>
                <w:szCs w:val="22"/>
                <w:highlight w:val="none"/>
              </w:rPr>
            </w:pPr>
            <w:r>
              <w:rPr>
                <w:rFonts w:hint="eastAsia"/>
                <w:b/>
                <w:bCs/>
                <w:kern w:val="0"/>
                <w:sz w:val="22"/>
                <w:szCs w:val="22"/>
                <w:highlight w:val="none"/>
              </w:rPr>
              <w:t>3</w:t>
            </w:r>
          </w:p>
        </w:tc>
      </w:tr>
      <w:tr w14:paraId="71E073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8" w:type="pct"/>
            <w:vMerge w:val="continue"/>
            <w:shd w:val="clear" w:color="auto" w:fill="FFFFFF"/>
            <w:vAlign w:val="center"/>
          </w:tcPr>
          <w:p w14:paraId="3FD6BCCB">
            <w:pPr>
              <w:spacing w:line="0" w:lineRule="atLeast"/>
              <w:jc w:val="center"/>
              <w:rPr>
                <w:kern w:val="0"/>
                <w:sz w:val="22"/>
                <w:szCs w:val="22"/>
                <w:highlight w:val="none"/>
              </w:rPr>
            </w:pPr>
          </w:p>
        </w:tc>
        <w:tc>
          <w:tcPr>
            <w:tcW w:w="301" w:type="pct"/>
            <w:vMerge w:val="restart"/>
            <w:shd w:val="clear" w:color="auto" w:fill="FFFFFF"/>
            <w:vAlign w:val="center"/>
          </w:tcPr>
          <w:p w14:paraId="7626F7C9">
            <w:pPr>
              <w:widowControl/>
              <w:spacing w:line="0" w:lineRule="atLeast"/>
              <w:jc w:val="center"/>
              <w:rPr>
                <w:kern w:val="0"/>
                <w:sz w:val="22"/>
                <w:szCs w:val="22"/>
                <w:highlight w:val="none"/>
              </w:rPr>
            </w:pPr>
            <w:r>
              <w:rPr>
                <w:kern w:val="0"/>
                <w:sz w:val="22"/>
                <w:szCs w:val="22"/>
                <w:highlight w:val="none"/>
              </w:rPr>
              <w:t>资金投入</w:t>
            </w:r>
          </w:p>
          <w:p w14:paraId="33CF8EFF">
            <w:pPr>
              <w:spacing w:line="0" w:lineRule="atLeast"/>
              <w:jc w:val="center"/>
              <w:rPr>
                <w:kern w:val="0"/>
                <w:sz w:val="22"/>
                <w:szCs w:val="22"/>
                <w:highlight w:val="none"/>
              </w:rPr>
            </w:pPr>
            <w:r>
              <w:rPr>
                <w:kern w:val="0"/>
                <w:sz w:val="22"/>
                <w:szCs w:val="22"/>
                <w:highlight w:val="none"/>
              </w:rPr>
              <w:t>　</w:t>
            </w:r>
          </w:p>
        </w:tc>
        <w:tc>
          <w:tcPr>
            <w:tcW w:w="344" w:type="pct"/>
            <w:shd w:val="clear" w:color="auto" w:fill="FFFFFF"/>
            <w:vAlign w:val="center"/>
          </w:tcPr>
          <w:p w14:paraId="19E5C898">
            <w:pPr>
              <w:widowControl/>
              <w:spacing w:line="0" w:lineRule="atLeast"/>
              <w:jc w:val="center"/>
              <w:rPr>
                <w:kern w:val="0"/>
                <w:sz w:val="22"/>
                <w:szCs w:val="22"/>
                <w:highlight w:val="none"/>
              </w:rPr>
            </w:pPr>
            <w:r>
              <w:rPr>
                <w:kern w:val="0"/>
                <w:sz w:val="22"/>
                <w:szCs w:val="22"/>
                <w:highlight w:val="none"/>
              </w:rPr>
              <w:t>预算编制</w:t>
            </w:r>
          </w:p>
          <w:p w14:paraId="4789A5D4">
            <w:pPr>
              <w:widowControl/>
              <w:spacing w:line="0" w:lineRule="atLeast"/>
              <w:jc w:val="center"/>
              <w:rPr>
                <w:kern w:val="0"/>
                <w:sz w:val="22"/>
                <w:szCs w:val="22"/>
                <w:highlight w:val="none"/>
              </w:rPr>
            </w:pPr>
            <w:r>
              <w:rPr>
                <w:kern w:val="0"/>
                <w:sz w:val="22"/>
                <w:szCs w:val="22"/>
                <w:highlight w:val="none"/>
              </w:rPr>
              <w:t>科学性</w:t>
            </w:r>
          </w:p>
        </w:tc>
        <w:tc>
          <w:tcPr>
            <w:tcW w:w="927" w:type="pct"/>
            <w:shd w:val="clear" w:color="auto" w:fill="FFFFFF"/>
            <w:vAlign w:val="center"/>
          </w:tcPr>
          <w:p w14:paraId="31E56ACC">
            <w:pPr>
              <w:widowControl/>
              <w:spacing w:line="0" w:lineRule="atLeast"/>
              <w:rPr>
                <w:kern w:val="0"/>
                <w:sz w:val="22"/>
                <w:szCs w:val="22"/>
                <w:highlight w:val="none"/>
              </w:rPr>
            </w:pPr>
            <w:r>
              <w:rPr>
                <w:kern w:val="0"/>
                <w:sz w:val="22"/>
                <w:szCs w:val="22"/>
                <w:highlight w:val="none"/>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14:paraId="2D03EA9A">
            <w:pPr>
              <w:widowControl/>
              <w:spacing w:line="0" w:lineRule="atLeast"/>
              <w:rPr>
                <w:kern w:val="0"/>
                <w:sz w:val="22"/>
                <w:szCs w:val="22"/>
                <w:highlight w:val="none"/>
              </w:rPr>
            </w:pPr>
            <w:r>
              <w:rPr>
                <w:kern w:val="0"/>
                <w:sz w:val="22"/>
                <w:szCs w:val="22"/>
                <w:highlight w:val="none"/>
              </w:rPr>
              <w:t>评价要点：</w:t>
            </w:r>
            <w:r>
              <w:rPr>
                <w:kern w:val="0"/>
                <w:sz w:val="22"/>
                <w:szCs w:val="22"/>
                <w:highlight w:val="none"/>
              </w:rPr>
              <w:br w:type="textWrapping"/>
            </w:r>
            <w:r>
              <w:rPr>
                <w:kern w:val="0"/>
                <w:sz w:val="22"/>
                <w:szCs w:val="22"/>
                <w:highlight w:val="none"/>
              </w:rPr>
              <w:t>①预算编制是否经过科学论证；</w:t>
            </w:r>
            <w:r>
              <w:rPr>
                <w:kern w:val="0"/>
                <w:sz w:val="22"/>
                <w:szCs w:val="22"/>
                <w:highlight w:val="none"/>
              </w:rPr>
              <w:br w:type="textWrapping"/>
            </w:r>
            <w:r>
              <w:rPr>
                <w:kern w:val="0"/>
                <w:sz w:val="22"/>
                <w:szCs w:val="22"/>
                <w:highlight w:val="none"/>
              </w:rPr>
              <w:t>②预算内容与项目内容是否匹配；</w:t>
            </w:r>
            <w:r>
              <w:rPr>
                <w:kern w:val="0"/>
                <w:sz w:val="22"/>
                <w:szCs w:val="22"/>
                <w:highlight w:val="none"/>
              </w:rPr>
              <w:br w:type="textWrapping"/>
            </w:r>
            <w:r>
              <w:rPr>
                <w:kern w:val="0"/>
                <w:sz w:val="22"/>
                <w:szCs w:val="22"/>
                <w:highlight w:val="none"/>
              </w:rPr>
              <w:t>③预算额度测算依据是否充分，是否按照标准编制；</w:t>
            </w:r>
            <w:r>
              <w:rPr>
                <w:kern w:val="0"/>
                <w:sz w:val="22"/>
                <w:szCs w:val="22"/>
                <w:highlight w:val="none"/>
              </w:rPr>
              <w:br w:type="textWrapping"/>
            </w:r>
            <w:r>
              <w:rPr>
                <w:kern w:val="0"/>
                <w:sz w:val="22"/>
                <w:szCs w:val="22"/>
                <w:highlight w:val="none"/>
              </w:rPr>
              <w:t>④预算确定的项目投资额或资金量是否与工作任务相匹配。</w:t>
            </w:r>
          </w:p>
        </w:tc>
        <w:tc>
          <w:tcPr>
            <w:tcW w:w="512" w:type="pct"/>
            <w:shd w:val="clear" w:color="auto" w:fill="FFFFFF"/>
            <w:vAlign w:val="center"/>
          </w:tcPr>
          <w:p w14:paraId="64A72524">
            <w:pPr>
              <w:widowControl/>
              <w:spacing w:line="0" w:lineRule="atLeast"/>
              <w:jc w:val="center"/>
              <w:rPr>
                <w:b/>
                <w:bCs/>
                <w:kern w:val="0"/>
                <w:sz w:val="22"/>
                <w:szCs w:val="22"/>
                <w:highlight w:val="none"/>
              </w:rPr>
            </w:pPr>
            <w:r>
              <w:rPr>
                <w:b/>
                <w:bCs/>
                <w:kern w:val="0"/>
                <w:sz w:val="22"/>
                <w:szCs w:val="22"/>
                <w:highlight w:val="none"/>
              </w:rPr>
              <w:t>4</w:t>
            </w:r>
          </w:p>
        </w:tc>
        <w:tc>
          <w:tcPr>
            <w:tcW w:w="537" w:type="pct"/>
            <w:shd w:val="clear" w:color="auto" w:fill="FFFFFF"/>
            <w:vAlign w:val="center"/>
          </w:tcPr>
          <w:p w14:paraId="618259C5">
            <w:pPr>
              <w:widowControl/>
              <w:spacing w:line="0" w:lineRule="atLeast"/>
              <w:jc w:val="center"/>
              <w:rPr>
                <w:b/>
                <w:bCs/>
                <w:kern w:val="0"/>
                <w:sz w:val="22"/>
                <w:szCs w:val="22"/>
                <w:highlight w:val="none"/>
              </w:rPr>
            </w:pPr>
            <w:r>
              <w:rPr>
                <w:rFonts w:hint="eastAsia"/>
                <w:b/>
                <w:bCs/>
                <w:kern w:val="0"/>
                <w:sz w:val="22"/>
                <w:szCs w:val="22"/>
                <w:highlight w:val="none"/>
              </w:rPr>
              <w:t>4</w:t>
            </w:r>
          </w:p>
        </w:tc>
      </w:tr>
      <w:tr w14:paraId="0CB9A5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8" w:type="pct"/>
            <w:vMerge w:val="continue"/>
            <w:shd w:val="clear" w:color="auto" w:fill="FFFFFF"/>
            <w:vAlign w:val="center"/>
          </w:tcPr>
          <w:p w14:paraId="192A65E0">
            <w:pPr>
              <w:widowControl/>
              <w:spacing w:line="0" w:lineRule="atLeast"/>
              <w:jc w:val="center"/>
              <w:rPr>
                <w:kern w:val="0"/>
                <w:sz w:val="22"/>
                <w:szCs w:val="22"/>
                <w:highlight w:val="none"/>
              </w:rPr>
            </w:pPr>
          </w:p>
        </w:tc>
        <w:tc>
          <w:tcPr>
            <w:tcW w:w="301" w:type="pct"/>
            <w:vMerge w:val="continue"/>
            <w:shd w:val="clear" w:color="auto" w:fill="FFFFFF"/>
            <w:vAlign w:val="center"/>
          </w:tcPr>
          <w:p w14:paraId="4E39EF6F">
            <w:pPr>
              <w:widowControl/>
              <w:spacing w:line="0" w:lineRule="atLeast"/>
              <w:jc w:val="center"/>
              <w:rPr>
                <w:kern w:val="0"/>
                <w:sz w:val="22"/>
                <w:szCs w:val="22"/>
                <w:highlight w:val="none"/>
              </w:rPr>
            </w:pPr>
          </w:p>
        </w:tc>
        <w:tc>
          <w:tcPr>
            <w:tcW w:w="344" w:type="pct"/>
            <w:shd w:val="clear" w:color="auto" w:fill="FFFFFF"/>
            <w:vAlign w:val="center"/>
          </w:tcPr>
          <w:p w14:paraId="5FEF2693">
            <w:pPr>
              <w:widowControl/>
              <w:spacing w:line="0" w:lineRule="atLeast"/>
              <w:jc w:val="center"/>
              <w:rPr>
                <w:kern w:val="0"/>
                <w:sz w:val="22"/>
                <w:szCs w:val="22"/>
                <w:highlight w:val="none"/>
              </w:rPr>
            </w:pPr>
            <w:r>
              <w:rPr>
                <w:kern w:val="0"/>
                <w:sz w:val="22"/>
                <w:szCs w:val="22"/>
                <w:highlight w:val="none"/>
              </w:rPr>
              <w:t>资金分配</w:t>
            </w:r>
          </w:p>
          <w:p w14:paraId="4303EE79">
            <w:pPr>
              <w:widowControl/>
              <w:spacing w:line="0" w:lineRule="atLeast"/>
              <w:jc w:val="center"/>
              <w:rPr>
                <w:kern w:val="0"/>
                <w:sz w:val="22"/>
                <w:szCs w:val="22"/>
                <w:highlight w:val="none"/>
              </w:rPr>
            </w:pPr>
            <w:r>
              <w:rPr>
                <w:kern w:val="0"/>
                <w:sz w:val="22"/>
                <w:szCs w:val="22"/>
                <w:highlight w:val="none"/>
              </w:rPr>
              <w:t>合理性</w:t>
            </w:r>
          </w:p>
        </w:tc>
        <w:tc>
          <w:tcPr>
            <w:tcW w:w="927" w:type="pct"/>
            <w:shd w:val="clear" w:color="auto" w:fill="FFFFFF"/>
            <w:vAlign w:val="center"/>
          </w:tcPr>
          <w:p w14:paraId="04A9E4F7">
            <w:pPr>
              <w:widowControl/>
              <w:spacing w:line="0" w:lineRule="atLeast"/>
              <w:rPr>
                <w:kern w:val="0"/>
                <w:sz w:val="22"/>
                <w:szCs w:val="22"/>
                <w:highlight w:val="none"/>
              </w:rPr>
            </w:pPr>
            <w:r>
              <w:rPr>
                <w:kern w:val="0"/>
                <w:sz w:val="22"/>
                <w:szCs w:val="22"/>
                <w:highlight w:val="none"/>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14:paraId="40507EA0">
            <w:pPr>
              <w:widowControl/>
              <w:spacing w:line="0" w:lineRule="atLeast"/>
              <w:rPr>
                <w:kern w:val="0"/>
                <w:sz w:val="22"/>
                <w:szCs w:val="22"/>
                <w:highlight w:val="none"/>
              </w:rPr>
            </w:pPr>
            <w:r>
              <w:rPr>
                <w:kern w:val="0"/>
                <w:sz w:val="22"/>
                <w:szCs w:val="22"/>
                <w:highlight w:val="none"/>
              </w:rPr>
              <w:t>评价要点：</w:t>
            </w:r>
            <w:r>
              <w:rPr>
                <w:kern w:val="0"/>
                <w:sz w:val="22"/>
                <w:szCs w:val="22"/>
                <w:highlight w:val="none"/>
              </w:rPr>
              <w:br w:type="textWrapping"/>
            </w:r>
            <w:r>
              <w:rPr>
                <w:kern w:val="0"/>
                <w:sz w:val="22"/>
                <w:szCs w:val="22"/>
                <w:highlight w:val="none"/>
              </w:rPr>
              <w:t>①预算资金分配依据是否充分；</w:t>
            </w:r>
            <w:r>
              <w:rPr>
                <w:kern w:val="0"/>
                <w:sz w:val="22"/>
                <w:szCs w:val="22"/>
                <w:highlight w:val="none"/>
              </w:rPr>
              <w:br w:type="textWrapping"/>
            </w:r>
            <w:r>
              <w:rPr>
                <w:kern w:val="0"/>
                <w:sz w:val="22"/>
                <w:szCs w:val="22"/>
                <w:highlight w:val="none"/>
              </w:rPr>
              <w:t>②资金分配额度是否合理，与项目单位或地方实际是否相适应。</w:t>
            </w:r>
          </w:p>
        </w:tc>
        <w:tc>
          <w:tcPr>
            <w:tcW w:w="512" w:type="pct"/>
            <w:shd w:val="clear" w:color="auto" w:fill="FFFFFF"/>
            <w:vAlign w:val="center"/>
          </w:tcPr>
          <w:p w14:paraId="6178EAA9">
            <w:pPr>
              <w:widowControl/>
              <w:spacing w:line="0" w:lineRule="atLeast"/>
              <w:jc w:val="center"/>
              <w:rPr>
                <w:b/>
                <w:bCs/>
                <w:kern w:val="0"/>
                <w:sz w:val="22"/>
                <w:szCs w:val="22"/>
                <w:highlight w:val="none"/>
              </w:rPr>
            </w:pPr>
            <w:r>
              <w:rPr>
                <w:b/>
                <w:bCs/>
                <w:kern w:val="0"/>
                <w:sz w:val="22"/>
                <w:szCs w:val="22"/>
                <w:highlight w:val="none"/>
              </w:rPr>
              <w:t>4</w:t>
            </w:r>
          </w:p>
        </w:tc>
        <w:tc>
          <w:tcPr>
            <w:tcW w:w="537" w:type="pct"/>
            <w:shd w:val="clear" w:color="auto" w:fill="FFFFFF"/>
            <w:vAlign w:val="center"/>
          </w:tcPr>
          <w:p w14:paraId="1CFD6618">
            <w:pPr>
              <w:widowControl/>
              <w:spacing w:line="0" w:lineRule="atLeast"/>
              <w:jc w:val="center"/>
              <w:rPr>
                <w:b/>
                <w:bCs/>
                <w:kern w:val="0"/>
                <w:sz w:val="22"/>
                <w:szCs w:val="22"/>
                <w:highlight w:val="none"/>
              </w:rPr>
            </w:pPr>
            <w:r>
              <w:rPr>
                <w:rFonts w:hint="eastAsia"/>
                <w:b/>
                <w:bCs/>
                <w:kern w:val="0"/>
                <w:sz w:val="22"/>
                <w:szCs w:val="22"/>
                <w:highlight w:val="none"/>
              </w:rPr>
              <w:t>4</w:t>
            </w:r>
          </w:p>
        </w:tc>
      </w:tr>
      <w:tr w14:paraId="18D76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8" w:type="pct"/>
            <w:vMerge w:val="restart"/>
            <w:shd w:val="clear" w:color="auto" w:fill="FFFFFF"/>
            <w:vAlign w:val="center"/>
          </w:tcPr>
          <w:p w14:paraId="1110F1C1">
            <w:pPr>
              <w:spacing w:line="0" w:lineRule="atLeast"/>
              <w:jc w:val="center"/>
              <w:rPr>
                <w:kern w:val="0"/>
                <w:sz w:val="22"/>
                <w:szCs w:val="22"/>
                <w:highlight w:val="none"/>
              </w:rPr>
            </w:pPr>
          </w:p>
          <w:p w14:paraId="4366272B">
            <w:pPr>
              <w:spacing w:line="0" w:lineRule="atLeast"/>
              <w:jc w:val="center"/>
              <w:rPr>
                <w:kern w:val="0"/>
                <w:sz w:val="22"/>
                <w:szCs w:val="22"/>
                <w:highlight w:val="none"/>
              </w:rPr>
            </w:pPr>
          </w:p>
          <w:p w14:paraId="3A1141F7">
            <w:pPr>
              <w:spacing w:line="0" w:lineRule="atLeast"/>
              <w:jc w:val="center"/>
              <w:rPr>
                <w:kern w:val="0"/>
                <w:sz w:val="22"/>
                <w:szCs w:val="22"/>
                <w:highlight w:val="none"/>
              </w:rPr>
            </w:pPr>
          </w:p>
          <w:p w14:paraId="0A1094BA">
            <w:pPr>
              <w:spacing w:line="0" w:lineRule="atLeast"/>
              <w:jc w:val="center"/>
              <w:rPr>
                <w:kern w:val="0"/>
                <w:sz w:val="22"/>
                <w:szCs w:val="22"/>
                <w:highlight w:val="none"/>
              </w:rPr>
            </w:pPr>
          </w:p>
          <w:p w14:paraId="335BA487">
            <w:pPr>
              <w:spacing w:line="0" w:lineRule="atLeast"/>
              <w:jc w:val="center"/>
              <w:rPr>
                <w:kern w:val="0"/>
                <w:sz w:val="22"/>
                <w:szCs w:val="22"/>
                <w:highlight w:val="none"/>
              </w:rPr>
            </w:pPr>
          </w:p>
          <w:p w14:paraId="3DD77108">
            <w:pPr>
              <w:spacing w:line="0" w:lineRule="atLeast"/>
              <w:jc w:val="center"/>
              <w:rPr>
                <w:kern w:val="0"/>
                <w:sz w:val="22"/>
                <w:szCs w:val="22"/>
                <w:highlight w:val="none"/>
              </w:rPr>
            </w:pPr>
          </w:p>
          <w:p w14:paraId="65D5D831">
            <w:pPr>
              <w:spacing w:line="0" w:lineRule="atLeast"/>
              <w:jc w:val="center"/>
              <w:rPr>
                <w:kern w:val="0"/>
                <w:sz w:val="22"/>
                <w:szCs w:val="22"/>
                <w:highlight w:val="none"/>
              </w:rPr>
            </w:pPr>
          </w:p>
          <w:p w14:paraId="564434CF">
            <w:pPr>
              <w:spacing w:line="0" w:lineRule="atLeast"/>
              <w:jc w:val="center"/>
              <w:rPr>
                <w:kern w:val="0"/>
                <w:sz w:val="22"/>
                <w:szCs w:val="22"/>
                <w:highlight w:val="none"/>
              </w:rPr>
            </w:pPr>
          </w:p>
          <w:p w14:paraId="48C58CA3">
            <w:pPr>
              <w:spacing w:line="0" w:lineRule="atLeast"/>
              <w:jc w:val="center"/>
              <w:rPr>
                <w:kern w:val="0"/>
                <w:sz w:val="22"/>
                <w:szCs w:val="22"/>
                <w:highlight w:val="none"/>
              </w:rPr>
            </w:pPr>
          </w:p>
          <w:p w14:paraId="582D5D24">
            <w:pPr>
              <w:spacing w:line="0" w:lineRule="atLeast"/>
              <w:jc w:val="center"/>
              <w:rPr>
                <w:kern w:val="0"/>
                <w:sz w:val="22"/>
                <w:szCs w:val="22"/>
                <w:highlight w:val="none"/>
              </w:rPr>
            </w:pPr>
          </w:p>
          <w:p w14:paraId="000DA3A5">
            <w:pPr>
              <w:spacing w:line="0" w:lineRule="atLeast"/>
              <w:jc w:val="center"/>
              <w:rPr>
                <w:kern w:val="0"/>
                <w:sz w:val="22"/>
                <w:szCs w:val="22"/>
                <w:highlight w:val="none"/>
              </w:rPr>
            </w:pPr>
          </w:p>
          <w:p w14:paraId="0CBA99C0">
            <w:pPr>
              <w:spacing w:line="0" w:lineRule="atLeast"/>
              <w:jc w:val="center"/>
              <w:rPr>
                <w:kern w:val="0"/>
                <w:sz w:val="22"/>
                <w:szCs w:val="22"/>
                <w:highlight w:val="none"/>
              </w:rPr>
            </w:pPr>
          </w:p>
          <w:p w14:paraId="55AEEC18">
            <w:pPr>
              <w:spacing w:line="0" w:lineRule="atLeast"/>
              <w:jc w:val="center"/>
              <w:rPr>
                <w:kern w:val="0"/>
                <w:sz w:val="22"/>
                <w:szCs w:val="22"/>
                <w:highlight w:val="none"/>
              </w:rPr>
            </w:pPr>
          </w:p>
          <w:p w14:paraId="23120083">
            <w:pPr>
              <w:spacing w:line="0" w:lineRule="atLeast"/>
              <w:jc w:val="center"/>
              <w:rPr>
                <w:kern w:val="0"/>
                <w:sz w:val="22"/>
                <w:szCs w:val="22"/>
                <w:highlight w:val="none"/>
              </w:rPr>
            </w:pPr>
          </w:p>
          <w:p w14:paraId="37F41159">
            <w:pPr>
              <w:spacing w:line="0" w:lineRule="atLeast"/>
              <w:jc w:val="center"/>
              <w:rPr>
                <w:kern w:val="0"/>
                <w:sz w:val="22"/>
                <w:szCs w:val="22"/>
                <w:highlight w:val="none"/>
              </w:rPr>
            </w:pPr>
          </w:p>
          <w:p w14:paraId="59FEB39A">
            <w:pPr>
              <w:spacing w:line="0" w:lineRule="atLeast"/>
              <w:jc w:val="center"/>
              <w:rPr>
                <w:kern w:val="0"/>
                <w:sz w:val="22"/>
                <w:szCs w:val="22"/>
                <w:highlight w:val="none"/>
              </w:rPr>
            </w:pPr>
            <w:r>
              <w:rPr>
                <w:kern w:val="0"/>
                <w:sz w:val="22"/>
                <w:szCs w:val="22"/>
                <w:highlight w:val="none"/>
              </w:rPr>
              <w:t>过程</w:t>
            </w:r>
          </w:p>
          <w:p w14:paraId="043F7110">
            <w:pPr>
              <w:widowControl/>
              <w:spacing w:line="0" w:lineRule="atLeast"/>
              <w:jc w:val="center"/>
              <w:rPr>
                <w:kern w:val="0"/>
                <w:sz w:val="22"/>
                <w:szCs w:val="22"/>
                <w:highlight w:val="none"/>
              </w:rPr>
            </w:pPr>
            <w:r>
              <w:rPr>
                <w:kern w:val="0"/>
                <w:sz w:val="22"/>
                <w:szCs w:val="22"/>
                <w:highlight w:val="none"/>
              </w:rPr>
              <w:t>　　</w:t>
            </w:r>
          </w:p>
        </w:tc>
        <w:tc>
          <w:tcPr>
            <w:tcW w:w="301" w:type="pct"/>
            <w:vMerge w:val="restart"/>
            <w:shd w:val="clear" w:color="auto" w:fill="FFFFFF"/>
            <w:vAlign w:val="center"/>
          </w:tcPr>
          <w:p w14:paraId="1C478457">
            <w:pPr>
              <w:widowControl/>
              <w:spacing w:line="0" w:lineRule="atLeast"/>
              <w:jc w:val="center"/>
              <w:rPr>
                <w:kern w:val="0"/>
                <w:sz w:val="22"/>
                <w:szCs w:val="22"/>
                <w:highlight w:val="none"/>
              </w:rPr>
            </w:pPr>
            <w:r>
              <w:rPr>
                <w:kern w:val="0"/>
                <w:sz w:val="22"/>
                <w:szCs w:val="22"/>
                <w:highlight w:val="none"/>
              </w:rPr>
              <w:t>资金管理</w:t>
            </w:r>
          </w:p>
        </w:tc>
        <w:tc>
          <w:tcPr>
            <w:tcW w:w="344" w:type="pct"/>
            <w:shd w:val="clear" w:color="auto" w:fill="FFFFFF"/>
            <w:vAlign w:val="center"/>
          </w:tcPr>
          <w:p w14:paraId="14C13E1A">
            <w:pPr>
              <w:widowControl/>
              <w:spacing w:line="0" w:lineRule="atLeast"/>
              <w:jc w:val="center"/>
              <w:rPr>
                <w:kern w:val="0"/>
                <w:sz w:val="22"/>
                <w:szCs w:val="22"/>
                <w:highlight w:val="none"/>
              </w:rPr>
            </w:pPr>
            <w:r>
              <w:rPr>
                <w:kern w:val="0"/>
                <w:sz w:val="22"/>
                <w:szCs w:val="22"/>
                <w:highlight w:val="none"/>
              </w:rPr>
              <w:t>资金到位率</w:t>
            </w:r>
          </w:p>
        </w:tc>
        <w:tc>
          <w:tcPr>
            <w:tcW w:w="927" w:type="pct"/>
            <w:shd w:val="clear" w:color="000000" w:fill="FFFFFF"/>
            <w:vAlign w:val="center"/>
          </w:tcPr>
          <w:p w14:paraId="3362F5B5">
            <w:pPr>
              <w:widowControl/>
              <w:spacing w:line="0" w:lineRule="atLeast"/>
              <w:rPr>
                <w:kern w:val="0"/>
                <w:sz w:val="22"/>
                <w:szCs w:val="22"/>
                <w:highlight w:val="none"/>
              </w:rPr>
            </w:pPr>
            <w:r>
              <w:rPr>
                <w:kern w:val="0"/>
                <w:sz w:val="22"/>
                <w:szCs w:val="22"/>
                <w:highlight w:val="none"/>
              </w:rPr>
              <w:t>实际到位资金与预算资金的比率，用以反映和考核资金落实情况对项目实施的总体保障程度。</w:t>
            </w:r>
          </w:p>
        </w:tc>
        <w:tc>
          <w:tcPr>
            <w:tcW w:w="2048" w:type="pct"/>
            <w:shd w:val="clear" w:color="000000" w:fill="FFFFFF"/>
            <w:vAlign w:val="center"/>
          </w:tcPr>
          <w:p w14:paraId="0DD30270">
            <w:pPr>
              <w:widowControl/>
              <w:spacing w:line="0" w:lineRule="atLeast"/>
              <w:rPr>
                <w:kern w:val="0"/>
                <w:sz w:val="22"/>
                <w:szCs w:val="22"/>
                <w:highlight w:val="none"/>
              </w:rPr>
            </w:pPr>
            <w:r>
              <w:rPr>
                <w:kern w:val="0"/>
                <w:sz w:val="22"/>
                <w:szCs w:val="22"/>
                <w:highlight w:val="none"/>
              </w:rPr>
              <w:t>资金到位率=（实际到位资金/预算资金）×100%。</w:t>
            </w:r>
          </w:p>
          <w:p w14:paraId="1F1CEC3B">
            <w:pPr>
              <w:widowControl/>
              <w:spacing w:line="0" w:lineRule="atLeast"/>
              <w:rPr>
                <w:kern w:val="0"/>
                <w:sz w:val="22"/>
                <w:szCs w:val="22"/>
                <w:highlight w:val="none"/>
              </w:rPr>
            </w:pPr>
            <w:r>
              <w:rPr>
                <w:kern w:val="0"/>
                <w:sz w:val="22"/>
                <w:szCs w:val="22"/>
                <w:highlight w:val="none"/>
              </w:rPr>
              <w:t>实际到位资金：一定时期（本年度或项目期）内落实到具体项目的资金。</w:t>
            </w:r>
          </w:p>
          <w:p w14:paraId="2150A459">
            <w:pPr>
              <w:widowControl/>
              <w:spacing w:line="0" w:lineRule="atLeast"/>
              <w:rPr>
                <w:kern w:val="0"/>
                <w:sz w:val="22"/>
                <w:szCs w:val="22"/>
                <w:highlight w:val="none"/>
              </w:rPr>
            </w:pPr>
            <w:r>
              <w:rPr>
                <w:kern w:val="0"/>
                <w:sz w:val="22"/>
                <w:szCs w:val="22"/>
                <w:highlight w:val="none"/>
              </w:rPr>
              <w:t>预算资金：一定时期（本年度或项目期）内预算安排到具体项目的资金。</w:t>
            </w:r>
          </w:p>
        </w:tc>
        <w:tc>
          <w:tcPr>
            <w:tcW w:w="512" w:type="pct"/>
            <w:shd w:val="clear" w:color="000000" w:fill="FFFFFF"/>
            <w:vAlign w:val="center"/>
          </w:tcPr>
          <w:p w14:paraId="08D61354">
            <w:pPr>
              <w:widowControl/>
              <w:spacing w:line="0" w:lineRule="atLeast"/>
              <w:jc w:val="center"/>
              <w:rPr>
                <w:b/>
                <w:bCs/>
                <w:kern w:val="0"/>
                <w:sz w:val="22"/>
                <w:szCs w:val="22"/>
                <w:highlight w:val="none"/>
              </w:rPr>
            </w:pPr>
            <w:r>
              <w:rPr>
                <w:b/>
                <w:bCs/>
                <w:kern w:val="0"/>
                <w:sz w:val="22"/>
                <w:szCs w:val="22"/>
                <w:highlight w:val="none"/>
              </w:rPr>
              <w:t>4</w:t>
            </w:r>
          </w:p>
        </w:tc>
        <w:tc>
          <w:tcPr>
            <w:tcW w:w="537" w:type="pct"/>
            <w:shd w:val="clear" w:color="000000" w:fill="FFFFFF"/>
            <w:vAlign w:val="center"/>
          </w:tcPr>
          <w:p w14:paraId="5E9778D2">
            <w:pPr>
              <w:widowControl/>
              <w:spacing w:line="0" w:lineRule="atLeast"/>
              <w:jc w:val="center"/>
              <w:rPr>
                <w:b/>
                <w:bCs/>
                <w:kern w:val="0"/>
                <w:sz w:val="22"/>
                <w:szCs w:val="22"/>
                <w:highlight w:val="none"/>
              </w:rPr>
            </w:pPr>
            <w:r>
              <w:rPr>
                <w:rFonts w:hint="eastAsia"/>
                <w:b/>
                <w:bCs/>
                <w:kern w:val="0"/>
                <w:sz w:val="22"/>
                <w:szCs w:val="22"/>
                <w:highlight w:val="none"/>
              </w:rPr>
              <w:t>4</w:t>
            </w:r>
          </w:p>
        </w:tc>
      </w:tr>
      <w:tr w14:paraId="04128C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14:paraId="6F526B73">
            <w:pPr>
              <w:spacing w:line="0" w:lineRule="atLeast"/>
              <w:jc w:val="center"/>
              <w:rPr>
                <w:kern w:val="0"/>
                <w:sz w:val="22"/>
                <w:szCs w:val="22"/>
                <w:highlight w:val="none"/>
              </w:rPr>
            </w:pPr>
          </w:p>
        </w:tc>
        <w:tc>
          <w:tcPr>
            <w:tcW w:w="301" w:type="pct"/>
            <w:vMerge w:val="continue"/>
            <w:shd w:val="clear" w:color="auto" w:fill="FFFFFF"/>
            <w:vAlign w:val="center"/>
          </w:tcPr>
          <w:p w14:paraId="5BB77530">
            <w:pPr>
              <w:spacing w:line="0" w:lineRule="atLeast"/>
              <w:jc w:val="center"/>
              <w:rPr>
                <w:kern w:val="0"/>
                <w:sz w:val="22"/>
                <w:szCs w:val="22"/>
                <w:highlight w:val="none"/>
              </w:rPr>
            </w:pPr>
          </w:p>
        </w:tc>
        <w:tc>
          <w:tcPr>
            <w:tcW w:w="344" w:type="pct"/>
            <w:shd w:val="clear" w:color="auto" w:fill="FFFFFF"/>
            <w:vAlign w:val="center"/>
          </w:tcPr>
          <w:p w14:paraId="735ECC52">
            <w:pPr>
              <w:widowControl/>
              <w:spacing w:line="0" w:lineRule="atLeast"/>
              <w:jc w:val="center"/>
              <w:rPr>
                <w:kern w:val="0"/>
                <w:sz w:val="22"/>
                <w:szCs w:val="22"/>
                <w:highlight w:val="none"/>
              </w:rPr>
            </w:pPr>
            <w:r>
              <w:rPr>
                <w:kern w:val="0"/>
                <w:sz w:val="22"/>
                <w:szCs w:val="22"/>
                <w:highlight w:val="none"/>
              </w:rPr>
              <w:t>预算执行率</w:t>
            </w:r>
          </w:p>
        </w:tc>
        <w:tc>
          <w:tcPr>
            <w:tcW w:w="927" w:type="pct"/>
            <w:shd w:val="clear" w:color="auto" w:fill="FFFFFF"/>
            <w:vAlign w:val="center"/>
          </w:tcPr>
          <w:p w14:paraId="456676BB">
            <w:pPr>
              <w:widowControl/>
              <w:spacing w:line="0" w:lineRule="atLeast"/>
              <w:rPr>
                <w:kern w:val="0"/>
                <w:sz w:val="22"/>
                <w:szCs w:val="22"/>
                <w:highlight w:val="none"/>
              </w:rPr>
            </w:pPr>
            <w:r>
              <w:rPr>
                <w:kern w:val="0"/>
                <w:sz w:val="22"/>
                <w:szCs w:val="22"/>
                <w:highlight w:val="none"/>
              </w:rPr>
              <w:t>项目预算资金是否按照计划执行，用以反映或考核项目预算执行情况。</w:t>
            </w:r>
          </w:p>
        </w:tc>
        <w:tc>
          <w:tcPr>
            <w:tcW w:w="2048" w:type="pct"/>
            <w:shd w:val="clear" w:color="auto" w:fill="FFFFFF"/>
            <w:vAlign w:val="center"/>
          </w:tcPr>
          <w:p w14:paraId="3E1FD274">
            <w:pPr>
              <w:widowControl/>
              <w:spacing w:line="0" w:lineRule="atLeast"/>
              <w:rPr>
                <w:kern w:val="0"/>
                <w:sz w:val="22"/>
                <w:szCs w:val="22"/>
                <w:highlight w:val="none"/>
              </w:rPr>
            </w:pPr>
            <w:r>
              <w:rPr>
                <w:kern w:val="0"/>
                <w:sz w:val="22"/>
                <w:szCs w:val="22"/>
                <w:highlight w:val="none"/>
              </w:rPr>
              <w:t>预算执行率=（实际支出资金/实际到位资金）×100%。</w:t>
            </w:r>
            <w:r>
              <w:rPr>
                <w:kern w:val="0"/>
                <w:sz w:val="22"/>
                <w:szCs w:val="22"/>
                <w:highlight w:val="none"/>
              </w:rPr>
              <w:br w:type="textWrapping"/>
            </w:r>
            <w:r>
              <w:rPr>
                <w:kern w:val="0"/>
                <w:sz w:val="22"/>
                <w:szCs w:val="22"/>
                <w:highlight w:val="none"/>
              </w:rPr>
              <w:t>实际支出资金：一定时期（本年度或项目期）内项目实际拨付的资金。</w:t>
            </w:r>
          </w:p>
        </w:tc>
        <w:tc>
          <w:tcPr>
            <w:tcW w:w="512" w:type="pct"/>
            <w:shd w:val="clear" w:color="auto" w:fill="FFFFFF"/>
            <w:vAlign w:val="center"/>
          </w:tcPr>
          <w:p w14:paraId="2DB04393">
            <w:pPr>
              <w:widowControl/>
              <w:spacing w:line="0" w:lineRule="atLeast"/>
              <w:jc w:val="center"/>
              <w:rPr>
                <w:b/>
                <w:bCs/>
                <w:kern w:val="0"/>
                <w:sz w:val="22"/>
                <w:szCs w:val="22"/>
                <w:highlight w:val="none"/>
              </w:rPr>
            </w:pPr>
            <w:r>
              <w:rPr>
                <w:b/>
                <w:bCs/>
                <w:kern w:val="0"/>
                <w:sz w:val="22"/>
                <w:szCs w:val="22"/>
                <w:highlight w:val="none"/>
              </w:rPr>
              <w:t>4</w:t>
            </w:r>
          </w:p>
        </w:tc>
        <w:tc>
          <w:tcPr>
            <w:tcW w:w="537" w:type="pct"/>
            <w:shd w:val="clear" w:color="auto" w:fill="FFFFFF"/>
            <w:vAlign w:val="center"/>
          </w:tcPr>
          <w:p w14:paraId="08388396">
            <w:pPr>
              <w:widowControl/>
              <w:spacing w:line="0" w:lineRule="atLeast"/>
              <w:jc w:val="center"/>
              <w:rPr>
                <w:b/>
                <w:bCs/>
                <w:kern w:val="0"/>
                <w:sz w:val="22"/>
                <w:szCs w:val="22"/>
                <w:highlight w:val="none"/>
              </w:rPr>
            </w:pPr>
            <w:r>
              <w:rPr>
                <w:rFonts w:hint="eastAsia"/>
                <w:b/>
                <w:bCs/>
                <w:kern w:val="0"/>
                <w:sz w:val="22"/>
                <w:szCs w:val="22"/>
                <w:highlight w:val="none"/>
              </w:rPr>
              <w:t>2.72</w:t>
            </w:r>
          </w:p>
        </w:tc>
      </w:tr>
      <w:tr w14:paraId="20FD3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0DDBE7DB">
            <w:pPr>
              <w:spacing w:line="0" w:lineRule="atLeast"/>
              <w:jc w:val="center"/>
              <w:rPr>
                <w:kern w:val="0"/>
                <w:sz w:val="22"/>
                <w:szCs w:val="22"/>
                <w:highlight w:val="none"/>
              </w:rPr>
            </w:pPr>
          </w:p>
        </w:tc>
        <w:tc>
          <w:tcPr>
            <w:tcW w:w="301" w:type="pct"/>
            <w:shd w:val="clear" w:color="auto" w:fill="FFFFFF"/>
            <w:vAlign w:val="center"/>
          </w:tcPr>
          <w:p w14:paraId="795A9038">
            <w:pPr>
              <w:widowControl/>
              <w:spacing w:line="0" w:lineRule="atLeast"/>
              <w:jc w:val="center"/>
              <w:rPr>
                <w:kern w:val="0"/>
                <w:sz w:val="22"/>
                <w:szCs w:val="22"/>
                <w:highlight w:val="none"/>
              </w:rPr>
            </w:pPr>
            <w:r>
              <w:rPr>
                <w:kern w:val="0"/>
                <w:sz w:val="22"/>
                <w:szCs w:val="22"/>
                <w:highlight w:val="none"/>
              </w:rPr>
              <w:t>资金管理</w:t>
            </w:r>
          </w:p>
        </w:tc>
        <w:tc>
          <w:tcPr>
            <w:tcW w:w="344" w:type="pct"/>
            <w:shd w:val="clear" w:color="auto" w:fill="FFFFFF"/>
            <w:vAlign w:val="center"/>
          </w:tcPr>
          <w:p w14:paraId="633C6C04">
            <w:pPr>
              <w:widowControl/>
              <w:spacing w:line="0" w:lineRule="atLeast"/>
              <w:jc w:val="center"/>
              <w:rPr>
                <w:kern w:val="0"/>
                <w:sz w:val="22"/>
                <w:szCs w:val="22"/>
                <w:highlight w:val="none"/>
              </w:rPr>
            </w:pPr>
            <w:r>
              <w:rPr>
                <w:kern w:val="0"/>
                <w:sz w:val="22"/>
                <w:szCs w:val="22"/>
                <w:highlight w:val="none"/>
              </w:rPr>
              <w:t>资金使用</w:t>
            </w:r>
          </w:p>
          <w:p w14:paraId="5C7BA78D">
            <w:pPr>
              <w:widowControl/>
              <w:spacing w:line="0" w:lineRule="atLeast"/>
              <w:jc w:val="center"/>
              <w:rPr>
                <w:kern w:val="0"/>
                <w:sz w:val="22"/>
                <w:szCs w:val="22"/>
                <w:highlight w:val="none"/>
              </w:rPr>
            </w:pPr>
            <w:r>
              <w:rPr>
                <w:kern w:val="0"/>
                <w:sz w:val="22"/>
                <w:szCs w:val="22"/>
                <w:highlight w:val="none"/>
              </w:rPr>
              <w:t>合规性</w:t>
            </w:r>
          </w:p>
        </w:tc>
        <w:tc>
          <w:tcPr>
            <w:tcW w:w="927" w:type="pct"/>
            <w:shd w:val="clear" w:color="000000" w:fill="FFFFFF"/>
            <w:vAlign w:val="center"/>
          </w:tcPr>
          <w:p w14:paraId="1B7EC1E6">
            <w:pPr>
              <w:widowControl/>
              <w:spacing w:line="0" w:lineRule="atLeast"/>
              <w:rPr>
                <w:kern w:val="0"/>
                <w:sz w:val="22"/>
                <w:szCs w:val="22"/>
                <w:highlight w:val="none"/>
              </w:rPr>
            </w:pPr>
            <w:r>
              <w:rPr>
                <w:kern w:val="0"/>
                <w:sz w:val="22"/>
                <w:szCs w:val="22"/>
                <w:highlight w:val="none"/>
              </w:rPr>
              <w:t>项目资金使用是否符合相关的财务管理制度规定，用以反映和考核项目资金的规范运行情况。</w:t>
            </w:r>
          </w:p>
        </w:tc>
        <w:tc>
          <w:tcPr>
            <w:tcW w:w="2048" w:type="pct"/>
            <w:shd w:val="clear" w:color="000000" w:fill="FFFFFF"/>
            <w:vAlign w:val="center"/>
          </w:tcPr>
          <w:p w14:paraId="325E94A5">
            <w:pPr>
              <w:widowControl/>
              <w:spacing w:line="0" w:lineRule="atLeast"/>
              <w:rPr>
                <w:kern w:val="0"/>
                <w:sz w:val="22"/>
                <w:szCs w:val="22"/>
                <w:highlight w:val="none"/>
              </w:rPr>
            </w:pPr>
            <w:r>
              <w:rPr>
                <w:kern w:val="0"/>
                <w:sz w:val="22"/>
                <w:szCs w:val="22"/>
                <w:highlight w:val="none"/>
              </w:rPr>
              <w:t>评价要点：</w:t>
            </w:r>
            <w:r>
              <w:rPr>
                <w:kern w:val="0"/>
                <w:sz w:val="22"/>
                <w:szCs w:val="22"/>
                <w:highlight w:val="none"/>
              </w:rPr>
              <w:br w:type="textWrapping"/>
            </w:r>
            <w:r>
              <w:rPr>
                <w:kern w:val="0"/>
                <w:sz w:val="22"/>
                <w:szCs w:val="22"/>
                <w:highlight w:val="none"/>
              </w:rPr>
              <w:t>①是否符合国家财经法规和财务管理制度以及有关专项资金管理办法的规定；</w:t>
            </w:r>
            <w:r>
              <w:rPr>
                <w:kern w:val="0"/>
                <w:sz w:val="22"/>
                <w:szCs w:val="22"/>
                <w:highlight w:val="none"/>
              </w:rPr>
              <w:br w:type="textWrapping"/>
            </w:r>
            <w:r>
              <w:rPr>
                <w:kern w:val="0"/>
                <w:sz w:val="22"/>
                <w:szCs w:val="22"/>
                <w:highlight w:val="none"/>
              </w:rPr>
              <w:t>②资金的拨付是否有完整的审批程序和手续；</w:t>
            </w:r>
            <w:r>
              <w:rPr>
                <w:kern w:val="0"/>
                <w:sz w:val="22"/>
                <w:szCs w:val="22"/>
                <w:highlight w:val="none"/>
              </w:rPr>
              <w:br w:type="textWrapping"/>
            </w:r>
            <w:r>
              <w:rPr>
                <w:kern w:val="0"/>
                <w:sz w:val="22"/>
                <w:szCs w:val="22"/>
                <w:highlight w:val="none"/>
              </w:rPr>
              <w:t>③是否符合项目预算批复或合同规定的用途；</w:t>
            </w:r>
            <w:r>
              <w:rPr>
                <w:kern w:val="0"/>
                <w:sz w:val="22"/>
                <w:szCs w:val="22"/>
                <w:highlight w:val="none"/>
              </w:rPr>
              <w:br w:type="textWrapping"/>
            </w:r>
            <w:r>
              <w:rPr>
                <w:kern w:val="0"/>
                <w:sz w:val="22"/>
                <w:szCs w:val="22"/>
                <w:highlight w:val="none"/>
              </w:rPr>
              <w:t>④是否存在截留、挤占、挪用、虚列支出等情况。</w:t>
            </w:r>
          </w:p>
        </w:tc>
        <w:tc>
          <w:tcPr>
            <w:tcW w:w="512" w:type="pct"/>
            <w:shd w:val="clear" w:color="000000" w:fill="FFFFFF"/>
            <w:vAlign w:val="center"/>
          </w:tcPr>
          <w:p w14:paraId="6855E980">
            <w:pPr>
              <w:widowControl/>
              <w:spacing w:line="0" w:lineRule="atLeast"/>
              <w:jc w:val="center"/>
              <w:rPr>
                <w:b/>
                <w:bCs/>
                <w:kern w:val="0"/>
                <w:sz w:val="22"/>
                <w:szCs w:val="22"/>
                <w:highlight w:val="none"/>
              </w:rPr>
            </w:pPr>
            <w:r>
              <w:rPr>
                <w:b/>
                <w:bCs/>
                <w:kern w:val="0"/>
                <w:sz w:val="22"/>
                <w:szCs w:val="22"/>
                <w:highlight w:val="none"/>
              </w:rPr>
              <w:t>4</w:t>
            </w:r>
          </w:p>
        </w:tc>
        <w:tc>
          <w:tcPr>
            <w:tcW w:w="537" w:type="pct"/>
            <w:shd w:val="clear" w:color="000000" w:fill="FFFFFF"/>
            <w:vAlign w:val="center"/>
          </w:tcPr>
          <w:p w14:paraId="0C9FDDBA">
            <w:pPr>
              <w:widowControl/>
              <w:spacing w:line="0" w:lineRule="atLeast"/>
              <w:jc w:val="center"/>
              <w:rPr>
                <w:b/>
                <w:bCs/>
                <w:kern w:val="0"/>
                <w:sz w:val="22"/>
                <w:szCs w:val="22"/>
                <w:highlight w:val="none"/>
              </w:rPr>
            </w:pPr>
            <w:r>
              <w:rPr>
                <w:rFonts w:hint="eastAsia"/>
                <w:b/>
                <w:bCs/>
                <w:kern w:val="0"/>
                <w:sz w:val="22"/>
                <w:szCs w:val="22"/>
                <w:highlight w:val="none"/>
              </w:rPr>
              <w:t>4</w:t>
            </w:r>
          </w:p>
        </w:tc>
      </w:tr>
      <w:tr w14:paraId="491134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8" w:type="pct"/>
            <w:vMerge w:val="continue"/>
            <w:shd w:val="clear" w:color="auto" w:fill="FFFFFF"/>
            <w:vAlign w:val="center"/>
          </w:tcPr>
          <w:p w14:paraId="557E6676">
            <w:pPr>
              <w:spacing w:line="0" w:lineRule="atLeast"/>
              <w:jc w:val="center"/>
              <w:rPr>
                <w:kern w:val="0"/>
                <w:sz w:val="22"/>
                <w:szCs w:val="22"/>
                <w:highlight w:val="none"/>
              </w:rPr>
            </w:pPr>
          </w:p>
        </w:tc>
        <w:tc>
          <w:tcPr>
            <w:tcW w:w="301" w:type="pct"/>
            <w:vMerge w:val="restart"/>
            <w:shd w:val="clear" w:color="auto" w:fill="FFFFFF"/>
            <w:vAlign w:val="center"/>
          </w:tcPr>
          <w:p w14:paraId="4A73076A">
            <w:pPr>
              <w:widowControl/>
              <w:spacing w:line="0" w:lineRule="atLeast"/>
              <w:jc w:val="center"/>
              <w:rPr>
                <w:kern w:val="0"/>
                <w:sz w:val="22"/>
                <w:szCs w:val="22"/>
                <w:highlight w:val="none"/>
              </w:rPr>
            </w:pPr>
            <w:r>
              <w:rPr>
                <w:kern w:val="0"/>
                <w:sz w:val="22"/>
                <w:szCs w:val="22"/>
                <w:highlight w:val="none"/>
              </w:rPr>
              <w:t>组织实施</w:t>
            </w:r>
          </w:p>
          <w:p w14:paraId="0E2B1512">
            <w:pPr>
              <w:spacing w:line="0" w:lineRule="atLeast"/>
              <w:jc w:val="center"/>
              <w:rPr>
                <w:kern w:val="0"/>
                <w:sz w:val="22"/>
                <w:szCs w:val="22"/>
                <w:highlight w:val="none"/>
              </w:rPr>
            </w:pPr>
            <w:r>
              <w:rPr>
                <w:kern w:val="0"/>
                <w:sz w:val="22"/>
                <w:szCs w:val="22"/>
                <w:highlight w:val="none"/>
              </w:rPr>
              <w:t>　</w:t>
            </w:r>
          </w:p>
        </w:tc>
        <w:tc>
          <w:tcPr>
            <w:tcW w:w="344" w:type="pct"/>
            <w:shd w:val="clear" w:color="auto" w:fill="FFFFFF"/>
            <w:vAlign w:val="center"/>
          </w:tcPr>
          <w:p w14:paraId="24B09AC8">
            <w:pPr>
              <w:widowControl/>
              <w:spacing w:line="0" w:lineRule="atLeast"/>
              <w:jc w:val="center"/>
              <w:rPr>
                <w:kern w:val="0"/>
                <w:sz w:val="22"/>
                <w:szCs w:val="22"/>
                <w:highlight w:val="none"/>
              </w:rPr>
            </w:pPr>
            <w:r>
              <w:rPr>
                <w:kern w:val="0"/>
                <w:sz w:val="22"/>
                <w:szCs w:val="22"/>
                <w:highlight w:val="none"/>
              </w:rPr>
              <w:t>管理制度</w:t>
            </w:r>
          </w:p>
          <w:p w14:paraId="0C799D3E">
            <w:pPr>
              <w:widowControl/>
              <w:spacing w:line="0" w:lineRule="atLeast"/>
              <w:jc w:val="center"/>
              <w:rPr>
                <w:kern w:val="0"/>
                <w:sz w:val="22"/>
                <w:szCs w:val="22"/>
                <w:highlight w:val="none"/>
              </w:rPr>
            </w:pPr>
            <w:r>
              <w:rPr>
                <w:kern w:val="0"/>
                <w:sz w:val="22"/>
                <w:szCs w:val="22"/>
                <w:highlight w:val="none"/>
              </w:rPr>
              <w:t>健全性</w:t>
            </w:r>
          </w:p>
        </w:tc>
        <w:tc>
          <w:tcPr>
            <w:tcW w:w="927" w:type="pct"/>
            <w:shd w:val="clear" w:color="000000" w:fill="FFFFFF"/>
            <w:vAlign w:val="center"/>
          </w:tcPr>
          <w:p w14:paraId="7A74481B">
            <w:pPr>
              <w:widowControl/>
              <w:spacing w:line="0" w:lineRule="atLeast"/>
              <w:rPr>
                <w:kern w:val="0"/>
                <w:sz w:val="22"/>
                <w:szCs w:val="22"/>
                <w:highlight w:val="none"/>
              </w:rPr>
            </w:pPr>
            <w:r>
              <w:rPr>
                <w:kern w:val="0"/>
                <w:sz w:val="22"/>
                <w:szCs w:val="22"/>
                <w:highlight w:val="none"/>
              </w:rPr>
              <w:t>项目实施单位的财务和业务管理制度是否健全，用以反映和考核财务和业务管理制度对项目顺利实施的保障情况。</w:t>
            </w:r>
          </w:p>
        </w:tc>
        <w:tc>
          <w:tcPr>
            <w:tcW w:w="2048" w:type="pct"/>
            <w:shd w:val="clear" w:color="000000" w:fill="FFFFFF"/>
            <w:vAlign w:val="center"/>
          </w:tcPr>
          <w:p w14:paraId="628E07C6">
            <w:pPr>
              <w:widowControl/>
              <w:spacing w:line="0" w:lineRule="atLeast"/>
              <w:rPr>
                <w:kern w:val="0"/>
                <w:sz w:val="22"/>
                <w:szCs w:val="22"/>
                <w:highlight w:val="none"/>
              </w:rPr>
            </w:pPr>
            <w:r>
              <w:rPr>
                <w:kern w:val="0"/>
                <w:sz w:val="22"/>
                <w:szCs w:val="22"/>
                <w:highlight w:val="none"/>
              </w:rPr>
              <w:t>评价要点：</w:t>
            </w:r>
            <w:r>
              <w:rPr>
                <w:kern w:val="0"/>
                <w:sz w:val="22"/>
                <w:szCs w:val="22"/>
                <w:highlight w:val="none"/>
              </w:rPr>
              <w:br w:type="textWrapping"/>
            </w:r>
            <w:r>
              <w:rPr>
                <w:kern w:val="0"/>
                <w:sz w:val="22"/>
                <w:szCs w:val="22"/>
                <w:highlight w:val="none"/>
              </w:rPr>
              <w:t>①是否已制定或具有相应的财务和业务管理制度；</w:t>
            </w:r>
            <w:r>
              <w:rPr>
                <w:kern w:val="0"/>
                <w:sz w:val="22"/>
                <w:szCs w:val="22"/>
                <w:highlight w:val="none"/>
              </w:rPr>
              <w:br w:type="textWrapping"/>
            </w:r>
            <w:r>
              <w:rPr>
                <w:kern w:val="0"/>
                <w:sz w:val="22"/>
                <w:szCs w:val="22"/>
                <w:highlight w:val="none"/>
              </w:rPr>
              <w:t>②财务和业务管理制度是否合法、合规、完整。</w:t>
            </w:r>
          </w:p>
        </w:tc>
        <w:tc>
          <w:tcPr>
            <w:tcW w:w="512" w:type="pct"/>
            <w:shd w:val="clear" w:color="000000" w:fill="FFFFFF"/>
            <w:vAlign w:val="center"/>
          </w:tcPr>
          <w:p w14:paraId="4BBF5674">
            <w:pPr>
              <w:widowControl/>
              <w:spacing w:line="0" w:lineRule="atLeast"/>
              <w:jc w:val="center"/>
              <w:rPr>
                <w:b/>
                <w:bCs/>
                <w:kern w:val="0"/>
                <w:sz w:val="22"/>
                <w:szCs w:val="22"/>
                <w:highlight w:val="none"/>
              </w:rPr>
            </w:pPr>
            <w:r>
              <w:rPr>
                <w:b/>
                <w:bCs/>
                <w:kern w:val="0"/>
                <w:sz w:val="22"/>
                <w:szCs w:val="22"/>
                <w:highlight w:val="none"/>
              </w:rPr>
              <w:t>4</w:t>
            </w:r>
          </w:p>
        </w:tc>
        <w:tc>
          <w:tcPr>
            <w:tcW w:w="537" w:type="pct"/>
            <w:shd w:val="clear" w:color="000000" w:fill="FFFFFF"/>
            <w:vAlign w:val="center"/>
          </w:tcPr>
          <w:p w14:paraId="0C1DC280">
            <w:pPr>
              <w:widowControl/>
              <w:spacing w:line="0" w:lineRule="atLeast"/>
              <w:jc w:val="center"/>
              <w:rPr>
                <w:b/>
                <w:bCs/>
                <w:kern w:val="0"/>
                <w:sz w:val="22"/>
                <w:szCs w:val="22"/>
                <w:highlight w:val="none"/>
              </w:rPr>
            </w:pPr>
            <w:r>
              <w:rPr>
                <w:rFonts w:hint="eastAsia"/>
                <w:b/>
                <w:bCs/>
                <w:kern w:val="0"/>
                <w:sz w:val="22"/>
                <w:szCs w:val="22"/>
                <w:highlight w:val="none"/>
              </w:rPr>
              <w:t>4</w:t>
            </w:r>
          </w:p>
        </w:tc>
      </w:tr>
      <w:tr w14:paraId="042F81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14:paraId="44A85A9D">
            <w:pPr>
              <w:widowControl/>
              <w:spacing w:line="0" w:lineRule="atLeast"/>
              <w:jc w:val="center"/>
              <w:rPr>
                <w:kern w:val="0"/>
                <w:sz w:val="22"/>
                <w:szCs w:val="22"/>
                <w:highlight w:val="none"/>
              </w:rPr>
            </w:pPr>
          </w:p>
        </w:tc>
        <w:tc>
          <w:tcPr>
            <w:tcW w:w="301" w:type="pct"/>
            <w:vMerge w:val="continue"/>
            <w:shd w:val="clear" w:color="auto" w:fill="FFFFFF"/>
            <w:vAlign w:val="center"/>
          </w:tcPr>
          <w:p w14:paraId="3C180BED">
            <w:pPr>
              <w:widowControl/>
              <w:spacing w:line="0" w:lineRule="atLeast"/>
              <w:jc w:val="center"/>
              <w:rPr>
                <w:kern w:val="0"/>
                <w:sz w:val="22"/>
                <w:szCs w:val="22"/>
                <w:highlight w:val="none"/>
              </w:rPr>
            </w:pPr>
          </w:p>
        </w:tc>
        <w:tc>
          <w:tcPr>
            <w:tcW w:w="344" w:type="pct"/>
            <w:shd w:val="clear" w:color="auto" w:fill="FFFFFF"/>
            <w:vAlign w:val="center"/>
          </w:tcPr>
          <w:p w14:paraId="2676EC87">
            <w:pPr>
              <w:widowControl/>
              <w:spacing w:line="0" w:lineRule="atLeast"/>
              <w:jc w:val="center"/>
              <w:rPr>
                <w:kern w:val="0"/>
                <w:sz w:val="22"/>
                <w:szCs w:val="22"/>
                <w:highlight w:val="none"/>
              </w:rPr>
            </w:pPr>
            <w:r>
              <w:rPr>
                <w:kern w:val="0"/>
                <w:sz w:val="22"/>
                <w:szCs w:val="22"/>
                <w:highlight w:val="none"/>
              </w:rPr>
              <w:t>制度执行</w:t>
            </w:r>
          </w:p>
          <w:p w14:paraId="0804A810">
            <w:pPr>
              <w:widowControl/>
              <w:spacing w:line="0" w:lineRule="atLeast"/>
              <w:jc w:val="center"/>
              <w:rPr>
                <w:kern w:val="0"/>
                <w:sz w:val="22"/>
                <w:szCs w:val="22"/>
                <w:highlight w:val="none"/>
              </w:rPr>
            </w:pPr>
            <w:r>
              <w:rPr>
                <w:kern w:val="0"/>
                <w:sz w:val="22"/>
                <w:szCs w:val="22"/>
                <w:highlight w:val="none"/>
              </w:rPr>
              <w:t>有效性</w:t>
            </w:r>
          </w:p>
        </w:tc>
        <w:tc>
          <w:tcPr>
            <w:tcW w:w="927" w:type="pct"/>
            <w:shd w:val="clear" w:color="000000" w:fill="FFFFFF"/>
            <w:vAlign w:val="center"/>
          </w:tcPr>
          <w:p w14:paraId="794C6862">
            <w:pPr>
              <w:widowControl/>
              <w:spacing w:line="0" w:lineRule="atLeast"/>
              <w:rPr>
                <w:kern w:val="0"/>
                <w:sz w:val="22"/>
                <w:szCs w:val="22"/>
                <w:highlight w:val="none"/>
              </w:rPr>
            </w:pPr>
            <w:r>
              <w:rPr>
                <w:kern w:val="0"/>
                <w:sz w:val="22"/>
                <w:szCs w:val="22"/>
                <w:highlight w:val="none"/>
              </w:rPr>
              <w:t>项目实施是否符合相关管理规定，用以反映和考核相关管理制度的有效执行情况。</w:t>
            </w:r>
          </w:p>
        </w:tc>
        <w:tc>
          <w:tcPr>
            <w:tcW w:w="2048" w:type="pct"/>
            <w:shd w:val="clear" w:color="000000" w:fill="FFFFFF"/>
            <w:vAlign w:val="center"/>
          </w:tcPr>
          <w:p w14:paraId="674799C2">
            <w:pPr>
              <w:widowControl/>
              <w:spacing w:line="0" w:lineRule="atLeast"/>
              <w:rPr>
                <w:kern w:val="0"/>
                <w:sz w:val="22"/>
                <w:szCs w:val="22"/>
                <w:highlight w:val="none"/>
              </w:rPr>
            </w:pPr>
            <w:r>
              <w:rPr>
                <w:kern w:val="0"/>
                <w:sz w:val="22"/>
                <w:szCs w:val="22"/>
                <w:highlight w:val="none"/>
              </w:rPr>
              <w:t>评价要点：</w:t>
            </w:r>
            <w:r>
              <w:rPr>
                <w:kern w:val="0"/>
                <w:sz w:val="22"/>
                <w:szCs w:val="22"/>
                <w:highlight w:val="none"/>
              </w:rPr>
              <w:br w:type="textWrapping"/>
            </w:r>
            <w:r>
              <w:rPr>
                <w:kern w:val="0"/>
                <w:sz w:val="22"/>
                <w:szCs w:val="22"/>
                <w:highlight w:val="none"/>
              </w:rPr>
              <w:t>①是否遵守相关法律法规和相关管理规定；</w:t>
            </w:r>
            <w:r>
              <w:rPr>
                <w:kern w:val="0"/>
                <w:sz w:val="22"/>
                <w:szCs w:val="22"/>
                <w:highlight w:val="none"/>
              </w:rPr>
              <w:br w:type="textWrapping"/>
            </w:r>
            <w:r>
              <w:rPr>
                <w:kern w:val="0"/>
                <w:sz w:val="22"/>
                <w:szCs w:val="22"/>
                <w:highlight w:val="none"/>
              </w:rPr>
              <w:t>②项目调整及支出调整手续是否完备；</w:t>
            </w:r>
            <w:r>
              <w:rPr>
                <w:kern w:val="0"/>
                <w:sz w:val="22"/>
                <w:szCs w:val="22"/>
                <w:highlight w:val="none"/>
              </w:rPr>
              <w:br w:type="textWrapping"/>
            </w:r>
            <w:r>
              <w:rPr>
                <w:kern w:val="0"/>
                <w:sz w:val="22"/>
                <w:szCs w:val="22"/>
                <w:highlight w:val="none"/>
              </w:rPr>
              <w:t>③项目合同书、验收报告、技术鉴定等资料是否齐全并及时归档；</w:t>
            </w:r>
            <w:r>
              <w:rPr>
                <w:kern w:val="0"/>
                <w:sz w:val="22"/>
                <w:szCs w:val="22"/>
                <w:highlight w:val="none"/>
              </w:rPr>
              <w:br w:type="textWrapping"/>
            </w:r>
            <w:r>
              <w:rPr>
                <w:kern w:val="0"/>
                <w:sz w:val="22"/>
                <w:szCs w:val="22"/>
                <w:highlight w:val="none"/>
              </w:rPr>
              <w:t>④项目实施的人员条件、场地设备、信息支撑等是否落实到位。</w:t>
            </w:r>
          </w:p>
        </w:tc>
        <w:tc>
          <w:tcPr>
            <w:tcW w:w="512" w:type="pct"/>
            <w:shd w:val="clear" w:color="000000" w:fill="FFFFFF"/>
            <w:vAlign w:val="center"/>
          </w:tcPr>
          <w:p w14:paraId="13024438">
            <w:pPr>
              <w:widowControl/>
              <w:spacing w:line="0" w:lineRule="atLeast"/>
              <w:jc w:val="center"/>
              <w:rPr>
                <w:b/>
                <w:bCs/>
                <w:kern w:val="0"/>
                <w:sz w:val="22"/>
                <w:szCs w:val="22"/>
                <w:highlight w:val="none"/>
              </w:rPr>
            </w:pPr>
            <w:r>
              <w:rPr>
                <w:b/>
                <w:bCs/>
                <w:kern w:val="0"/>
                <w:sz w:val="22"/>
                <w:szCs w:val="22"/>
                <w:highlight w:val="none"/>
              </w:rPr>
              <w:t>4</w:t>
            </w:r>
          </w:p>
        </w:tc>
        <w:tc>
          <w:tcPr>
            <w:tcW w:w="537" w:type="pct"/>
            <w:shd w:val="clear" w:color="000000" w:fill="FFFFFF"/>
            <w:vAlign w:val="center"/>
          </w:tcPr>
          <w:p w14:paraId="44578DDB">
            <w:pPr>
              <w:widowControl/>
              <w:spacing w:line="0" w:lineRule="atLeast"/>
              <w:jc w:val="center"/>
              <w:rPr>
                <w:b/>
                <w:bCs/>
                <w:kern w:val="0"/>
                <w:sz w:val="22"/>
                <w:szCs w:val="22"/>
                <w:highlight w:val="none"/>
              </w:rPr>
            </w:pPr>
            <w:r>
              <w:rPr>
                <w:rFonts w:hint="eastAsia"/>
                <w:b/>
                <w:bCs/>
                <w:kern w:val="0"/>
                <w:sz w:val="22"/>
                <w:szCs w:val="22"/>
                <w:highlight w:val="none"/>
              </w:rPr>
              <w:t>4</w:t>
            </w:r>
          </w:p>
        </w:tc>
      </w:tr>
      <w:tr w14:paraId="5BCA6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8" w:type="pct"/>
            <w:vMerge w:val="restart"/>
            <w:shd w:val="clear" w:color="auto" w:fill="FFFFFF"/>
            <w:vAlign w:val="center"/>
          </w:tcPr>
          <w:p w14:paraId="16A33323">
            <w:pPr>
              <w:widowControl/>
              <w:spacing w:line="0" w:lineRule="atLeast"/>
              <w:jc w:val="center"/>
              <w:rPr>
                <w:kern w:val="0"/>
                <w:sz w:val="22"/>
                <w:szCs w:val="22"/>
                <w:highlight w:val="none"/>
              </w:rPr>
            </w:pPr>
            <w:r>
              <w:rPr>
                <w:kern w:val="0"/>
                <w:sz w:val="22"/>
                <w:szCs w:val="22"/>
                <w:highlight w:val="none"/>
              </w:rPr>
              <w:t>产出</w:t>
            </w:r>
          </w:p>
        </w:tc>
        <w:tc>
          <w:tcPr>
            <w:tcW w:w="301" w:type="pct"/>
            <w:shd w:val="clear" w:color="auto" w:fill="FFFFFF"/>
            <w:vAlign w:val="center"/>
          </w:tcPr>
          <w:p w14:paraId="1CDDAB0F">
            <w:pPr>
              <w:widowControl/>
              <w:spacing w:line="0" w:lineRule="atLeast"/>
              <w:jc w:val="center"/>
              <w:rPr>
                <w:kern w:val="0"/>
                <w:sz w:val="22"/>
                <w:szCs w:val="22"/>
                <w:highlight w:val="none"/>
              </w:rPr>
            </w:pPr>
            <w:r>
              <w:rPr>
                <w:kern w:val="0"/>
                <w:sz w:val="22"/>
                <w:szCs w:val="22"/>
                <w:highlight w:val="none"/>
              </w:rPr>
              <w:t>产出数量</w:t>
            </w:r>
          </w:p>
        </w:tc>
        <w:tc>
          <w:tcPr>
            <w:tcW w:w="344" w:type="pct"/>
            <w:shd w:val="clear" w:color="auto" w:fill="FFFFFF"/>
            <w:vAlign w:val="center"/>
          </w:tcPr>
          <w:p w14:paraId="1D9BF763">
            <w:pPr>
              <w:widowControl/>
              <w:spacing w:line="0" w:lineRule="atLeast"/>
              <w:jc w:val="center"/>
              <w:rPr>
                <w:kern w:val="0"/>
                <w:sz w:val="22"/>
                <w:szCs w:val="22"/>
                <w:highlight w:val="none"/>
              </w:rPr>
            </w:pPr>
            <w:r>
              <w:rPr>
                <w:kern w:val="0"/>
                <w:sz w:val="22"/>
                <w:szCs w:val="22"/>
                <w:highlight w:val="none"/>
              </w:rPr>
              <w:t>实际完成率</w:t>
            </w:r>
          </w:p>
        </w:tc>
        <w:tc>
          <w:tcPr>
            <w:tcW w:w="927" w:type="pct"/>
            <w:shd w:val="clear" w:color="000000" w:fill="FFFFFF"/>
            <w:vAlign w:val="center"/>
          </w:tcPr>
          <w:p w14:paraId="7F0CD61D">
            <w:pPr>
              <w:widowControl/>
              <w:spacing w:line="0" w:lineRule="atLeast"/>
              <w:rPr>
                <w:kern w:val="0"/>
                <w:sz w:val="22"/>
                <w:szCs w:val="22"/>
                <w:highlight w:val="none"/>
              </w:rPr>
            </w:pPr>
            <w:r>
              <w:rPr>
                <w:kern w:val="0"/>
                <w:sz w:val="22"/>
                <w:szCs w:val="22"/>
                <w:highlight w:val="none"/>
              </w:rPr>
              <w:t>项目实施的实际产出数与计划产出数的比率，用以反映和考核项目产出数量目标的实现程度。</w:t>
            </w:r>
          </w:p>
        </w:tc>
        <w:tc>
          <w:tcPr>
            <w:tcW w:w="2048" w:type="pct"/>
            <w:shd w:val="clear" w:color="000000" w:fill="FFFFFF"/>
            <w:vAlign w:val="center"/>
          </w:tcPr>
          <w:p w14:paraId="02944DB2">
            <w:pPr>
              <w:widowControl/>
              <w:spacing w:line="0" w:lineRule="atLeast"/>
              <w:rPr>
                <w:kern w:val="0"/>
                <w:sz w:val="22"/>
                <w:szCs w:val="22"/>
                <w:highlight w:val="none"/>
              </w:rPr>
            </w:pPr>
            <w:r>
              <w:rPr>
                <w:kern w:val="0"/>
                <w:sz w:val="22"/>
                <w:szCs w:val="22"/>
                <w:highlight w:val="none"/>
              </w:rPr>
              <w:t>实际完成率=（实际产出数/计划产出数）×100%。</w:t>
            </w:r>
            <w:r>
              <w:rPr>
                <w:kern w:val="0"/>
                <w:sz w:val="22"/>
                <w:szCs w:val="22"/>
                <w:highlight w:val="none"/>
              </w:rPr>
              <w:br w:type="textWrapping"/>
            </w:r>
            <w:r>
              <w:rPr>
                <w:kern w:val="0"/>
                <w:sz w:val="22"/>
                <w:szCs w:val="22"/>
                <w:highlight w:val="none"/>
              </w:rPr>
              <w:t>实际产出数：一定时期（本年度或项目期）内项目实际产出的产品或提供的服务数量。</w:t>
            </w:r>
            <w:r>
              <w:rPr>
                <w:kern w:val="0"/>
                <w:sz w:val="22"/>
                <w:szCs w:val="22"/>
                <w:highlight w:val="none"/>
              </w:rPr>
              <w:br w:type="textWrapping"/>
            </w:r>
            <w:r>
              <w:rPr>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619AB993">
            <w:pPr>
              <w:widowControl/>
              <w:spacing w:line="0" w:lineRule="atLeast"/>
              <w:jc w:val="center"/>
              <w:rPr>
                <w:b/>
                <w:bCs/>
                <w:kern w:val="0"/>
                <w:sz w:val="22"/>
                <w:szCs w:val="22"/>
                <w:highlight w:val="none"/>
              </w:rPr>
            </w:pPr>
            <w:r>
              <w:rPr>
                <w:b/>
                <w:bCs/>
                <w:kern w:val="0"/>
                <w:sz w:val="22"/>
                <w:szCs w:val="22"/>
                <w:highlight w:val="none"/>
              </w:rPr>
              <w:t>10</w:t>
            </w:r>
          </w:p>
        </w:tc>
        <w:tc>
          <w:tcPr>
            <w:tcW w:w="537" w:type="pct"/>
            <w:shd w:val="clear" w:color="000000" w:fill="FFFFFF"/>
            <w:vAlign w:val="center"/>
          </w:tcPr>
          <w:p w14:paraId="6F1ABF18">
            <w:pPr>
              <w:widowControl/>
              <w:spacing w:line="0" w:lineRule="atLeast"/>
              <w:jc w:val="center"/>
              <w:rPr>
                <w:b/>
                <w:bCs/>
                <w:kern w:val="0"/>
                <w:sz w:val="22"/>
                <w:szCs w:val="22"/>
                <w:highlight w:val="none"/>
              </w:rPr>
            </w:pPr>
            <w:r>
              <w:rPr>
                <w:rFonts w:hint="eastAsia"/>
                <w:b/>
                <w:bCs/>
                <w:kern w:val="0"/>
                <w:sz w:val="22"/>
                <w:szCs w:val="22"/>
                <w:highlight w:val="none"/>
              </w:rPr>
              <w:t>4.88</w:t>
            </w:r>
          </w:p>
        </w:tc>
      </w:tr>
      <w:tr w14:paraId="6C467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8" w:type="pct"/>
            <w:vMerge w:val="continue"/>
            <w:shd w:val="clear" w:color="auto" w:fill="FFFFFF"/>
            <w:vAlign w:val="center"/>
          </w:tcPr>
          <w:p w14:paraId="2B09EE21">
            <w:pPr>
              <w:widowControl/>
              <w:spacing w:line="0" w:lineRule="atLeast"/>
              <w:jc w:val="center"/>
              <w:rPr>
                <w:kern w:val="0"/>
                <w:sz w:val="22"/>
                <w:szCs w:val="22"/>
                <w:highlight w:val="none"/>
              </w:rPr>
            </w:pPr>
          </w:p>
        </w:tc>
        <w:tc>
          <w:tcPr>
            <w:tcW w:w="301" w:type="pct"/>
            <w:shd w:val="clear" w:color="auto" w:fill="FFFFFF"/>
            <w:vAlign w:val="center"/>
          </w:tcPr>
          <w:p w14:paraId="0595CFEE">
            <w:pPr>
              <w:widowControl/>
              <w:spacing w:line="0" w:lineRule="atLeast"/>
              <w:jc w:val="center"/>
              <w:rPr>
                <w:kern w:val="0"/>
                <w:sz w:val="22"/>
                <w:szCs w:val="22"/>
                <w:highlight w:val="none"/>
              </w:rPr>
            </w:pPr>
            <w:r>
              <w:rPr>
                <w:kern w:val="0"/>
                <w:sz w:val="22"/>
                <w:szCs w:val="22"/>
                <w:highlight w:val="none"/>
              </w:rPr>
              <w:t>产出质量</w:t>
            </w:r>
          </w:p>
        </w:tc>
        <w:tc>
          <w:tcPr>
            <w:tcW w:w="344" w:type="pct"/>
            <w:shd w:val="clear" w:color="auto" w:fill="FFFFFF"/>
            <w:vAlign w:val="center"/>
          </w:tcPr>
          <w:p w14:paraId="1FABAB68">
            <w:pPr>
              <w:widowControl/>
              <w:spacing w:line="0" w:lineRule="atLeast"/>
              <w:jc w:val="center"/>
              <w:rPr>
                <w:kern w:val="0"/>
                <w:sz w:val="22"/>
                <w:szCs w:val="22"/>
                <w:highlight w:val="none"/>
              </w:rPr>
            </w:pPr>
            <w:r>
              <w:rPr>
                <w:kern w:val="0"/>
                <w:sz w:val="22"/>
                <w:szCs w:val="22"/>
                <w:highlight w:val="none"/>
              </w:rPr>
              <w:t>质量达标率</w:t>
            </w:r>
          </w:p>
        </w:tc>
        <w:tc>
          <w:tcPr>
            <w:tcW w:w="927" w:type="pct"/>
            <w:shd w:val="clear" w:color="000000" w:fill="FFFFFF"/>
            <w:vAlign w:val="center"/>
          </w:tcPr>
          <w:p w14:paraId="0958FA57">
            <w:pPr>
              <w:widowControl/>
              <w:spacing w:line="0" w:lineRule="atLeast"/>
              <w:rPr>
                <w:kern w:val="0"/>
                <w:sz w:val="22"/>
                <w:szCs w:val="22"/>
                <w:highlight w:val="none"/>
              </w:rPr>
            </w:pPr>
            <w:r>
              <w:rPr>
                <w:kern w:val="0"/>
                <w:sz w:val="22"/>
                <w:szCs w:val="22"/>
                <w:highlight w:val="none"/>
              </w:rPr>
              <w:t>项目完成的质量达标产出数与实际产出数的比率，用以反映和考核项目产出质量目标的实现程度。</w:t>
            </w:r>
          </w:p>
        </w:tc>
        <w:tc>
          <w:tcPr>
            <w:tcW w:w="2048" w:type="pct"/>
            <w:shd w:val="clear" w:color="000000" w:fill="FFFFFF"/>
            <w:vAlign w:val="center"/>
          </w:tcPr>
          <w:p w14:paraId="6C66AE12">
            <w:pPr>
              <w:widowControl/>
              <w:spacing w:line="0" w:lineRule="atLeast"/>
              <w:rPr>
                <w:kern w:val="0"/>
                <w:sz w:val="22"/>
                <w:szCs w:val="22"/>
                <w:highlight w:val="none"/>
              </w:rPr>
            </w:pPr>
            <w:r>
              <w:rPr>
                <w:kern w:val="0"/>
                <w:sz w:val="22"/>
                <w:szCs w:val="22"/>
                <w:highlight w:val="none"/>
              </w:rPr>
              <w:t>质量达标率=（质量达标产出数/实际产出数）×100%。</w:t>
            </w:r>
          </w:p>
          <w:p w14:paraId="6A5CFE1E">
            <w:pPr>
              <w:widowControl/>
              <w:spacing w:line="0" w:lineRule="atLeast"/>
              <w:rPr>
                <w:kern w:val="0"/>
                <w:sz w:val="22"/>
                <w:szCs w:val="22"/>
                <w:highlight w:val="none"/>
              </w:rPr>
            </w:pPr>
            <w:r>
              <w:rPr>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A110F3D">
            <w:pPr>
              <w:widowControl/>
              <w:spacing w:line="0" w:lineRule="atLeast"/>
              <w:jc w:val="center"/>
              <w:rPr>
                <w:b/>
                <w:bCs/>
                <w:kern w:val="0"/>
                <w:sz w:val="22"/>
                <w:szCs w:val="22"/>
                <w:highlight w:val="none"/>
              </w:rPr>
            </w:pPr>
            <w:r>
              <w:rPr>
                <w:b/>
                <w:bCs/>
                <w:kern w:val="0"/>
                <w:sz w:val="22"/>
                <w:szCs w:val="22"/>
                <w:highlight w:val="none"/>
              </w:rPr>
              <w:t>10</w:t>
            </w:r>
          </w:p>
        </w:tc>
        <w:tc>
          <w:tcPr>
            <w:tcW w:w="537" w:type="pct"/>
            <w:shd w:val="clear" w:color="000000" w:fill="FFFFFF"/>
            <w:vAlign w:val="center"/>
          </w:tcPr>
          <w:p w14:paraId="5A9EAA4A">
            <w:pPr>
              <w:widowControl/>
              <w:spacing w:line="0" w:lineRule="atLeast"/>
              <w:jc w:val="center"/>
              <w:rPr>
                <w:b/>
                <w:bCs/>
                <w:kern w:val="0"/>
                <w:sz w:val="22"/>
                <w:szCs w:val="22"/>
                <w:highlight w:val="none"/>
              </w:rPr>
            </w:pPr>
            <w:r>
              <w:rPr>
                <w:rFonts w:hint="eastAsia"/>
                <w:b/>
                <w:bCs/>
                <w:kern w:val="0"/>
                <w:sz w:val="22"/>
                <w:szCs w:val="22"/>
                <w:highlight w:val="none"/>
              </w:rPr>
              <w:t>10</w:t>
            </w:r>
          </w:p>
        </w:tc>
      </w:tr>
      <w:tr w14:paraId="3AA1DE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8" w:type="pct"/>
            <w:vMerge w:val="continue"/>
            <w:shd w:val="clear" w:color="auto" w:fill="FFFFFF"/>
            <w:vAlign w:val="center"/>
          </w:tcPr>
          <w:p w14:paraId="0D984B46">
            <w:pPr>
              <w:spacing w:line="0" w:lineRule="atLeast"/>
              <w:jc w:val="center"/>
              <w:rPr>
                <w:kern w:val="0"/>
                <w:sz w:val="22"/>
                <w:szCs w:val="22"/>
                <w:highlight w:val="none"/>
              </w:rPr>
            </w:pPr>
          </w:p>
        </w:tc>
        <w:tc>
          <w:tcPr>
            <w:tcW w:w="301" w:type="pct"/>
            <w:shd w:val="clear" w:color="auto" w:fill="FFFFFF"/>
            <w:vAlign w:val="center"/>
          </w:tcPr>
          <w:p w14:paraId="176A8D91">
            <w:pPr>
              <w:spacing w:line="0" w:lineRule="atLeast"/>
              <w:jc w:val="center"/>
              <w:rPr>
                <w:kern w:val="0"/>
                <w:sz w:val="22"/>
                <w:szCs w:val="22"/>
                <w:highlight w:val="none"/>
              </w:rPr>
            </w:pPr>
            <w:r>
              <w:rPr>
                <w:kern w:val="0"/>
                <w:sz w:val="22"/>
                <w:szCs w:val="22"/>
                <w:highlight w:val="none"/>
              </w:rPr>
              <w:t>产出时效</w:t>
            </w:r>
          </w:p>
        </w:tc>
        <w:tc>
          <w:tcPr>
            <w:tcW w:w="344" w:type="pct"/>
            <w:shd w:val="clear" w:color="auto" w:fill="FFFFFF"/>
            <w:vAlign w:val="center"/>
          </w:tcPr>
          <w:p w14:paraId="572B31A5">
            <w:pPr>
              <w:widowControl/>
              <w:spacing w:line="0" w:lineRule="atLeast"/>
              <w:jc w:val="center"/>
              <w:rPr>
                <w:kern w:val="0"/>
                <w:sz w:val="22"/>
                <w:szCs w:val="22"/>
                <w:highlight w:val="none"/>
              </w:rPr>
            </w:pPr>
            <w:r>
              <w:rPr>
                <w:kern w:val="0"/>
                <w:sz w:val="22"/>
                <w:szCs w:val="22"/>
                <w:highlight w:val="none"/>
              </w:rPr>
              <w:t>完成及时性</w:t>
            </w:r>
          </w:p>
        </w:tc>
        <w:tc>
          <w:tcPr>
            <w:tcW w:w="927" w:type="pct"/>
            <w:shd w:val="clear" w:color="000000" w:fill="FFFFFF"/>
            <w:vAlign w:val="center"/>
          </w:tcPr>
          <w:p w14:paraId="0C1C9C97">
            <w:pPr>
              <w:widowControl/>
              <w:spacing w:line="0" w:lineRule="atLeast"/>
              <w:rPr>
                <w:kern w:val="0"/>
                <w:sz w:val="22"/>
                <w:szCs w:val="22"/>
                <w:highlight w:val="none"/>
              </w:rPr>
            </w:pPr>
            <w:r>
              <w:rPr>
                <w:kern w:val="0"/>
                <w:sz w:val="22"/>
                <w:szCs w:val="22"/>
                <w:highlight w:val="none"/>
              </w:rPr>
              <w:t>项目实际完成时间与计划完成时间的比较，用以反映和考核项目产出时效目标的实现程度。</w:t>
            </w:r>
          </w:p>
        </w:tc>
        <w:tc>
          <w:tcPr>
            <w:tcW w:w="2048" w:type="pct"/>
            <w:shd w:val="clear" w:color="000000" w:fill="FFFFFF"/>
            <w:vAlign w:val="center"/>
          </w:tcPr>
          <w:p w14:paraId="0A2661C3">
            <w:pPr>
              <w:widowControl/>
              <w:spacing w:line="0" w:lineRule="atLeast"/>
              <w:rPr>
                <w:kern w:val="0"/>
                <w:sz w:val="22"/>
                <w:szCs w:val="22"/>
                <w:highlight w:val="none"/>
              </w:rPr>
            </w:pPr>
            <w:r>
              <w:rPr>
                <w:kern w:val="0"/>
                <w:sz w:val="22"/>
                <w:szCs w:val="22"/>
                <w:highlight w:val="none"/>
              </w:rPr>
              <w:t>实际完成时间：项目实施单位完成该项目实际所耗用的时间。</w:t>
            </w:r>
            <w:r>
              <w:rPr>
                <w:kern w:val="0"/>
                <w:sz w:val="22"/>
                <w:szCs w:val="22"/>
                <w:highlight w:val="none"/>
              </w:rPr>
              <w:br w:type="textWrapping"/>
            </w:r>
            <w:r>
              <w:rPr>
                <w:kern w:val="0"/>
                <w:sz w:val="22"/>
                <w:szCs w:val="22"/>
                <w:highlight w:val="none"/>
              </w:rPr>
              <w:t>计划完成时间：按照项目实施计划或相关规定完成该项目所需的时间。</w:t>
            </w:r>
          </w:p>
        </w:tc>
        <w:tc>
          <w:tcPr>
            <w:tcW w:w="512" w:type="pct"/>
            <w:shd w:val="clear" w:color="000000" w:fill="FFFFFF"/>
            <w:vAlign w:val="center"/>
          </w:tcPr>
          <w:p w14:paraId="3BB9FCF7">
            <w:pPr>
              <w:widowControl/>
              <w:spacing w:line="0" w:lineRule="atLeast"/>
              <w:jc w:val="center"/>
              <w:rPr>
                <w:b/>
                <w:bCs/>
                <w:kern w:val="0"/>
                <w:sz w:val="22"/>
                <w:szCs w:val="22"/>
                <w:highlight w:val="none"/>
              </w:rPr>
            </w:pPr>
            <w:r>
              <w:rPr>
                <w:b/>
                <w:bCs/>
                <w:kern w:val="0"/>
                <w:sz w:val="22"/>
                <w:szCs w:val="22"/>
                <w:highlight w:val="none"/>
              </w:rPr>
              <w:t>10</w:t>
            </w:r>
          </w:p>
        </w:tc>
        <w:tc>
          <w:tcPr>
            <w:tcW w:w="537" w:type="pct"/>
            <w:shd w:val="clear" w:color="000000" w:fill="FFFFFF"/>
            <w:vAlign w:val="center"/>
          </w:tcPr>
          <w:p w14:paraId="1B1D0D05">
            <w:pPr>
              <w:widowControl/>
              <w:spacing w:line="0" w:lineRule="atLeast"/>
              <w:jc w:val="center"/>
              <w:rPr>
                <w:b/>
                <w:bCs/>
                <w:kern w:val="0"/>
                <w:sz w:val="22"/>
                <w:szCs w:val="22"/>
                <w:highlight w:val="none"/>
              </w:rPr>
            </w:pPr>
            <w:r>
              <w:rPr>
                <w:rFonts w:hint="eastAsia"/>
                <w:b/>
                <w:bCs/>
                <w:kern w:val="0"/>
                <w:sz w:val="22"/>
                <w:szCs w:val="22"/>
                <w:highlight w:val="none"/>
              </w:rPr>
              <w:t>10</w:t>
            </w:r>
          </w:p>
        </w:tc>
      </w:tr>
      <w:tr w14:paraId="5D1B3A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0A440053">
            <w:pPr>
              <w:widowControl/>
              <w:spacing w:line="0" w:lineRule="atLeast"/>
              <w:jc w:val="center"/>
              <w:rPr>
                <w:kern w:val="0"/>
                <w:sz w:val="22"/>
                <w:szCs w:val="22"/>
                <w:highlight w:val="none"/>
              </w:rPr>
            </w:pPr>
          </w:p>
        </w:tc>
        <w:tc>
          <w:tcPr>
            <w:tcW w:w="301" w:type="pct"/>
            <w:shd w:val="clear" w:color="auto" w:fill="FFFFFF"/>
            <w:vAlign w:val="center"/>
          </w:tcPr>
          <w:p w14:paraId="50D5935A">
            <w:pPr>
              <w:widowControl/>
              <w:spacing w:line="0" w:lineRule="atLeast"/>
              <w:jc w:val="center"/>
              <w:rPr>
                <w:kern w:val="0"/>
                <w:sz w:val="22"/>
                <w:szCs w:val="22"/>
                <w:highlight w:val="none"/>
              </w:rPr>
            </w:pPr>
            <w:r>
              <w:rPr>
                <w:kern w:val="0"/>
                <w:sz w:val="22"/>
                <w:szCs w:val="22"/>
                <w:highlight w:val="none"/>
              </w:rPr>
              <w:t>产出成本</w:t>
            </w:r>
          </w:p>
        </w:tc>
        <w:tc>
          <w:tcPr>
            <w:tcW w:w="344" w:type="pct"/>
            <w:shd w:val="clear" w:color="auto" w:fill="FFFFFF"/>
            <w:vAlign w:val="center"/>
          </w:tcPr>
          <w:p w14:paraId="22717ACE">
            <w:pPr>
              <w:widowControl/>
              <w:spacing w:line="0" w:lineRule="atLeast"/>
              <w:jc w:val="center"/>
              <w:rPr>
                <w:kern w:val="0"/>
                <w:sz w:val="22"/>
                <w:szCs w:val="22"/>
                <w:highlight w:val="none"/>
              </w:rPr>
            </w:pPr>
            <w:r>
              <w:rPr>
                <w:kern w:val="0"/>
                <w:sz w:val="22"/>
                <w:szCs w:val="22"/>
                <w:highlight w:val="none"/>
              </w:rPr>
              <w:t>成本节约率</w:t>
            </w:r>
          </w:p>
        </w:tc>
        <w:tc>
          <w:tcPr>
            <w:tcW w:w="927" w:type="pct"/>
            <w:shd w:val="clear" w:color="000000" w:fill="FFFFFF"/>
            <w:vAlign w:val="center"/>
          </w:tcPr>
          <w:p w14:paraId="773F96D1">
            <w:pPr>
              <w:widowControl/>
              <w:spacing w:line="0" w:lineRule="atLeast"/>
              <w:rPr>
                <w:kern w:val="0"/>
                <w:sz w:val="22"/>
                <w:szCs w:val="22"/>
                <w:highlight w:val="none"/>
              </w:rPr>
            </w:pPr>
            <w:r>
              <w:rPr>
                <w:kern w:val="0"/>
                <w:sz w:val="22"/>
                <w:szCs w:val="22"/>
                <w:highlight w:val="none"/>
              </w:rPr>
              <w:t>完成项目计划工作目标的实际节约成本与计划成本的比率，用以反映和考核项目的成本节约程度。</w:t>
            </w:r>
          </w:p>
        </w:tc>
        <w:tc>
          <w:tcPr>
            <w:tcW w:w="2048" w:type="pct"/>
            <w:shd w:val="clear" w:color="000000" w:fill="FFFFFF"/>
            <w:vAlign w:val="center"/>
          </w:tcPr>
          <w:p w14:paraId="024BB2B2">
            <w:pPr>
              <w:widowControl/>
              <w:spacing w:line="0" w:lineRule="atLeast"/>
              <w:rPr>
                <w:kern w:val="0"/>
                <w:sz w:val="22"/>
                <w:szCs w:val="22"/>
                <w:highlight w:val="none"/>
              </w:rPr>
            </w:pPr>
            <w:r>
              <w:rPr>
                <w:kern w:val="0"/>
                <w:sz w:val="22"/>
                <w:szCs w:val="22"/>
                <w:highlight w:val="none"/>
              </w:rPr>
              <w:br w:type="textWrapping"/>
            </w:r>
            <w:r>
              <w:rPr>
                <w:kern w:val="0"/>
                <w:sz w:val="22"/>
                <w:szCs w:val="22"/>
                <w:highlight w:val="none"/>
              </w:rPr>
              <w:t>成本节约率=[（计划成本-实际成本）/计划成本]×100%。</w:t>
            </w:r>
            <w:r>
              <w:rPr>
                <w:kern w:val="0"/>
                <w:sz w:val="22"/>
                <w:szCs w:val="22"/>
                <w:highlight w:val="none"/>
              </w:rPr>
              <w:br w:type="textWrapping"/>
            </w:r>
            <w:r>
              <w:rPr>
                <w:kern w:val="0"/>
                <w:sz w:val="22"/>
                <w:szCs w:val="22"/>
                <w:highlight w:val="none"/>
              </w:rPr>
              <w:t>实际成本：项目实施单位如期、保质、保量完成既定工作目标实际所耗费的支出。</w:t>
            </w:r>
            <w:r>
              <w:rPr>
                <w:kern w:val="0"/>
                <w:sz w:val="22"/>
                <w:szCs w:val="22"/>
                <w:highlight w:val="none"/>
              </w:rPr>
              <w:br w:type="textWrapping"/>
            </w:r>
            <w:r>
              <w:rPr>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41C0CA7A">
            <w:pPr>
              <w:widowControl/>
              <w:spacing w:line="0" w:lineRule="atLeast"/>
              <w:jc w:val="center"/>
              <w:rPr>
                <w:b/>
                <w:bCs/>
                <w:kern w:val="0"/>
                <w:sz w:val="22"/>
                <w:szCs w:val="22"/>
                <w:highlight w:val="none"/>
              </w:rPr>
            </w:pPr>
            <w:r>
              <w:rPr>
                <w:b/>
                <w:bCs/>
                <w:kern w:val="0"/>
                <w:sz w:val="22"/>
                <w:szCs w:val="22"/>
                <w:highlight w:val="none"/>
              </w:rPr>
              <w:t>10</w:t>
            </w:r>
          </w:p>
        </w:tc>
        <w:tc>
          <w:tcPr>
            <w:tcW w:w="537" w:type="pct"/>
            <w:shd w:val="clear" w:color="000000" w:fill="FFFFFF"/>
            <w:vAlign w:val="center"/>
          </w:tcPr>
          <w:p w14:paraId="0DE34BB9">
            <w:pPr>
              <w:widowControl/>
              <w:spacing w:line="0" w:lineRule="atLeast"/>
              <w:jc w:val="center"/>
              <w:rPr>
                <w:b/>
                <w:bCs/>
                <w:kern w:val="0"/>
                <w:sz w:val="22"/>
                <w:szCs w:val="22"/>
                <w:highlight w:val="none"/>
              </w:rPr>
            </w:pPr>
            <w:r>
              <w:rPr>
                <w:rFonts w:hint="eastAsia"/>
                <w:b/>
                <w:bCs/>
                <w:kern w:val="0"/>
                <w:sz w:val="22"/>
                <w:szCs w:val="22"/>
                <w:highlight w:val="none"/>
              </w:rPr>
              <w:t>10</w:t>
            </w:r>
          </w:p>
        </w:tc>
      </w:tr>
      <w:tr w14:paraId="24D18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8" w:type="pct"/>
            <w:vMerge w:val="restart"/>
            <w:shd w:val="clear" w:color="auto" w:fill="FFFFFF"/>
            <w:vAlign w:val="center"/>
          </w:tcPr>
          <w:p w14:paraId="1951FD67">
            <w:pPr>
              <w:widowControl/>
              <w:spacing w:line="0" w:lineRule="atLeast"/>
              <w:jc w:val="center"/>
              <w:rPr>
                <w:kern w:val="0"/>
                <w:sz w:val="22"/>
                <w:szCs w:val="22"/>
                <w:highlight w:val="none"/>
              </w:rPr>
            </w:pPr>
            <w:r>
              <w:rPr>
                <w:kern w:val="0"/>
                <w:sz w:val="22"/>
                <w:szCs w:val="22"/>
                <w:highlight w:val="none"/>
              </w:rPr>
              <w:t>效益　</w:t>
            </w:r>
          </w:p>
        </w:tc>
        <w:tc>
          <w:tcPr>
            <w:tcW w:w="301" w:type="pct"/>
            <w:vMerge w:val="restart"/>
            <w:shd w:val="clear" w:color="auto" w:fill="FFFFFF"/>
            <w:vAlign w:val="center"/>
          </w:tcPr>
          <w:p w14:paraId="67535AB3">
            <w:pPr>
              <w:widowControl/>
              <w:spacing w:line="0" w:lineRule="atLeast"/>
              <w:jc w:val="center"/>
              <w:rPr>
                <w:kern w:val="0"/>
                <w:sz w:val="22"/>
                <w:szCs w:val="22"/>
                <w:highlight w:val="none"/>
              </w:rPr>
            </w:pPr>
            <w:r>
              <w:rPr>
                <w:kern w:val="0"/>
                <w:sz w:val="22"/>
                <w:szCs w:val="22"/>
                <w:highlight w:val="none"/>
              </w:rPr>
              <w:t>项目效益　</w:t>
            </w:r>
          </w:p>
        </w:tc>
        <w:tc>
          <w:tcPr>
            <w:tcW w:w="344" w:type="pct"/>
            <w:shd w:val="clear" w:color="auto" w:fill="FFFFFF"/>
            <w:vAlign w:val="center"/>
          </w:tcPr>
          <w:p w14:paraId="169944EA">
            <w:pPr>
              <w:widowControl/>
              <w:spacing w:line="0" w:lineRule="atLeast"/>
              <w:jc w:val="center"/>
              <w:rPr>
                <w:kern w:val="0"/>
                <w:sz w:val="22"/>
                <w:szCs w:val="22"/>
                <w:highlight w:val="none"/>
              </w:rPr>
            </w:pPr>
            <w:r>
              <w:rPr>
                <w:kern w:val="0"/>
                <w:sz w:val="22"/>
                <w:szCs w:val="22"/>
                <w:highlight w:val="none"/>
              </w:rPr>
              <w:t>实施效益</w:t>
            </w:r>
          </w:p>
        </w:tc>
        <w:tc>
          <w:tcPr>
            <w:tcW w:w="927" w:type="pct"/>
            <w:shd w:val="clear" w:color="auto" w:fill="FFFFFF"/>
            <w:vAlign w:val="center"/>
          </w:tcPr>
          <w:p w14:paraId="292CEB49">
            <w:pPr>
              <w:widowControl/>
              <w:spacing w:line="0" w:lineRule="atLeast"/>
              <w:jc w:val="left"/>
              <w:rPr>
                <w:kern w:val="0"/>
                <w:sz w:val="22"/>
                <w:szCs w:val="22"/>
                <w:highlight w:val="none"/>
              </w:rPr>
            </w:pPr>
            <w:r>
              <w:rPr>
                <w:kern w:val="0"/>
                <w:sz w:val="22"/>
                <w:szCs w:val="22"/>
                <w:highlight w:val="none"/>
              </w:rPr>
              <w:t>项目实施所产生的效益。</w:t>
            </w:r>
          </w:p>
        </w:tc>
        <w:tc>
          <w:tcPr>
            <w:tcW w:w="2048" w:type="pct"/>
            <w:shd w:val="clear" w:color="auto" w:fill="FFFFFF"/>
            <w:vAlign w:val="center"/>
          </w:tcPr>
          <w:p w14:paraId="172D1350">
            <w:pPr>
              <w:widowControl/>
              <w:spacing w:line="0" w:lineRule="atLeast"/>
              <w:rPr>
                <w:kern w:val="0"/>
                <w:sz w:val="22"/>
                <w:szCs w:val="22"/>
                <w:highlight w:val="none"/>
              </w:rPr>
            </w:pPr>
            <w:r>
              <w:rPr>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585AA043">
            <w:pPr>
              <w:widowControl/>
              <w:spacing w:line="0" w:lineRule="atLeast"/>
              <w:jc w:val="center"/>
              <w:rPr>
                <w:b/>
                <w:bCs/>
                <w:kern w:val="0"/>
                <w:sz w:val="22"/>
                <w:szCs w:val="22"/>
                <w:highlight w:val="none"/>
              </w:rPr>
            </w:pPr>
            <w:r>
              <w:rPr>
                <w:b/>
                <w:bCs/>
                <w:kern w:val="0"/>
                <w:sz w:val="22"/>
                <w:szCs w:val="22"/>
                <w:highlight w:val="none"/>
              </w:rPr>
              <w:t>10</w:t>
            </w:r>
          </w:p>
        </w:tc>
        <w:tc>
          <w:tcPr>
            <w:tcW w:w="537" w:type="pct"/>
            <w:shd w:val="clear" w:color="auto" w:fill="FFFFFF"/>
            <w:vAlign w:val="center"/>
          </w:tcPr>
          <w:p w14:paraId="799305E8">
            <w:pPr>
              <w:widowControl/>
              <w:spacing w:line="0" w:lineRule="atLeast"/>
              <w:jc w:val="center"/>
              <w:rPr>
                <w:b/>
                <w:bCs/>
                <w:kern w:val="0"/>
                <w:sz w:val="22"/>
                <w:szCs w:val="22"/>
                <w:highlight w:val="none"/>
              </w:rPr>
            </w:pPr>
            <w:r>
              <w:rPr>
                <w:rFonts w:hint="eastAsia"/>
                <w:b/>
                <w:bCs/>
                <w:kern w:val="0"/>
                <w:sz w:val="22"/>
                <w:szCs w:val="22"/>
                <w:highlight w:val="none"/>
              </w:rPr>
              <w:t>10</w:t>
            </w:r>
          </w:p>
        </w:tc>
      </w:tr>
      <w:tr w14:paraId="1212F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8" w:type="pct"/>
            <w:vMerge w:val="continue"/>
            <w:shd w:val="clear" w:color="auto" w:fill="FFFFFF"/>
            <w:vAlign w:val="center"/>
          </w:tcPr>
          <w:p w14:paraId="4AAB8BBE">
            <w:pPr>
              <w:widowControl/>
              <w:spacing w:line="0" w:lineRule="atLeast"/>
              <w:jc w:val="center"/>
              <w:rPr>
                <w:kern w:val="0"/>
                <w:sz w:val="22"/>
                <w:szCs w:val="22"/>
                <w:highlight w:val="none"/>
              </w:rPr>
            </w:pPr>
          </w:p>
        </w:tc>
        <w:tc>
          <w:tcPr>
            <w:tcW w:w="301" w:type="pct"/>
            <w:vMerge w:val="continue"/>
            <w:shd w:val="clear" w:color="auto" w:fill="FFFFFF"/>
            <w:vAlign w:val="center"/>
          </w:tcPr>
          <w:p w14:paraId="03D0F251">
            <w:pPr>
              <w:widowControl/>
              <w:spacing w:line="0" w:lineRule="atLeast"/>
              <w:jc w:val="center"/>
              <w:rPr>
                <w:kern w:val="0"/>
                <w:sz w:val="22"/>
                <w:szCs w:val="22"/>
                <w:highlight w:val="none"/>
              </w:rPr>
            </w:pPr>
          </w:p>
        </w:tc>
        <w:tc>
          <w:tcPr>
            <w:tcW w:w="344" w:type="pct"/>
            <w:shd w:val="clear" w:color="auto" w:fill="FFFFFF"/>
            <w:vAlign w:val="center"/>
          </w:tcPr>
          <w:p w14:paraId="562CA038">
            <w:pPr>
              <w:widowControl/>
              <w:spacing w:line="0" w:lineRule="atLeast"/>
              <w:jc w:val="center"/>
              <w:rPr>
                <w:kern w:val="0"/>
                <w:sz w:val="22"/>
                <w:szCs w:val="22"/>
                <w:highlight w:val="none"/>
              </w:rPr>
            </w:pPr>
            <w:r>
              <w:rPr>
                <w:kern w:val="0"/>
                <w:sz w:val="22"/>
                <w:szCs w:val="22"/>
                <w:highlight w:val="none"/>
              </w:rPr>
              <w:t>满意度</w:t>
            </w:r>
          </w:p>
        </w:tc>
        <w:tc>
          <w:tcPr>
            <w:tcW w:w="927" w:type="pct"/>
            <w:shd w:val="clear" w:color="000000" w:fill="FFFFFF"/>
            <w:vAlign w:val="center"/>
          </w:tcPr>
          <w:p w14:paraId="66519B5D">
            <w:pPr>
              <w:widowControl/>
              <w:spacing w:line="0" w:lineRule="atLeast"/>
              <w:rPr>
                <w:kern w:val="0"/>
                <w:sz w:val="22"/>
                <w:szCs w:val="22"/>
                <w:highlight w:val="none"/>
              </w:rPr>
            </w:pPr>
            <w:r>
              <w:rPr>
                <w:kern w:val="0"/>
                <w:sz w:val="22"/>
                <w:szCs w:val="22"/>
                <w:highlight w:val="none"/>
              </w:rPr>
              <w:t>社会公众或服务对象对项目实施效果的满意程度。</w:t>
            </w:r>
          </w:p>
        </w:tc>
        <w:tc>
          <w:tcPr>
            <w:tcW w:w="2048" w:type="pct"/>
            <w:shd w:val="clear" w:color="000000" w:fill="FFFFFF"/>
            <w:vAlign w:val="center"/>
          </w:tcPr>
          <w:p w14:paraId="04ED25BE">
            <w:pPr>
              <w:widowControl/>
              <w:spacing w:line="0" w:lineRule="atLeast"/>
              <w:rPr>
                <w:kern w:val="0"/>
                <w:sz w:val="22"/>
                <w:szCs w:val="22"/>
                <w:highlight w:val="none"/>
              </w:rPr>
            </w:pPr>
            <w:r>
              <w:rPr>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1CAA72FE">
            <w:pPr>
              <w:widowControl/>
              <w:spacing w:line="0" w:lineRule="atLeast"/>
              <w:jc w:val="center"/>
              <w:rPr>
                <w:b/>
                <w:bCs/>
                <w:kern w:val="0"/>
                <w:sz w:val="22"/>
                <w:szCs w:val="22"/>
                <w:highlight w:val="none"/>
              </w:rPr>
            </w:pPr>
            <w:r>
              <w:rPr>
                <w:b/>
                <w:bCs/>
                <w:kern w:val="0"/>
                <w:sz w:val="22"/>
                <w:szCs w:val="22"/>
                <w:highlight w:val="none"/>
              </w:rPr>
              <w:t>10</w:t>
            </w:r>
          </w:p>
        </w:tc>
        <w:tc>
          <w:tcPr>
            <w:tcW w:w="537" w:type="pct"/>
            <w:shd w:val="clear" w:color="000000" w:fill="FFFFFF"/>
            <w:vAlign w:val="center"/>
          </w:tcPr>
          <w:p w14:paraId="22EBA35F">
            <w:pPr>
              <w:widowControl/>
              <w:spacing w:line="0" w:lineRule="atLeast"/>
              <w:jc w:val="center"/>
              <w:rPr>
                <w:b/>
                <w:bCs/>
                <w:kern w:val="0"/>
                <w:sz w:val="22"/>
                <w:szCs w:val="22"/>
                <w:highlight w:val="none"/>
              </w:rPr>
            </w:pPr>
            <w:r>
              <w:rPr>
                <w:rFonts w:hint="eastAsia"/>
                <w:b/>
                <w:bCs/>
                <w:kern w:val="0"/>
                <w:sz w:val="22"/>
                <w:szCs w:val="22"/>
                <w:highlight w:val="none"/>
              </w:rPr>
              <w:t>10</w:t>
            </w:r>
          </w:p>
        </w:tc>
      </w:tr>
    </w:tbl>
    <w:p w14:paraId="50CAEEA7">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8D4434F">
        <w:pPr>
          <w:pStyle w:val="8"/>
          <w:jc w:val="center"/>
        </w:pPr>
        <w:r>
          <w:fldChar w:fldCharType="begin"/>
        </w:r>
        <w:r>
          <w:instrText xml:space="preserve">PAGE   \* MERGEFORMAT</w:instrText>
        </w:r>
        <w:r>
          <w:fldChar w:fldCharType="separate"/>
        </w:r>
        <w:r>
          <w:rPr>
            <w:lang w:val="zh-CN"/>
          </w:rPr>
          <w:t>13</w:t>
        </w:r>
        <w:r>
          <w:fldChar w:fldCharType="end"/>
        </w:r>
      </w:p>
    </w:sdtContent>
  </w:sdt>
  <w:p w14:paraId="44D3DBE7">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813159"/>
    <w:multiLevelType w:val="singleLevel"/>
    <w:tmpl w:val="2781315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FF6C4049"/>
    <w:rsid w:val="00001BA1"/>
    <w:rsid w:val="00002D3F"/>
    <w:rsid w:val="00004C96"/>
    <w:rsid w:val="00004F73"/>
    <w:rsid w:val="00010A0B"/>
    <w:rsid w:val="00014B1A"/>
    <w:rsid w:val="00026094"/>
    <w:rsid w:val="0002635A"/>
    <w:rsid w:val="000276DE"/>
    <w:rsid w:val="000306BE"/>
    <w:rsid w:val="000374EF"/>
    <w:rsid w:val="0004288C"/>
    <w:rsid w:val="00043FF6"/>
    <w:rsid w:val="0005644B"/>
    <w:rsid w:val="00061AA8"/>
    <w:rsid w:val="000717A5"/>
    <w:rsid w:val="0008136C"/>
    <w:rsid w:val="00093B1B"/>
    <w:rsid w:val="000B0014"/>
    <w:rsid w:val="000B743D"/>
    <w:rsid w:val="000C29E5"/>
    <w:rsid w:val="000C705B"/>
    <w:rsid w:val="000D37D5"/>
    <w:rsid w:val="000D648E"/>
    <w:rsid w:val="000E16F5"/>
    <w:rsid w:val="000E2FD2"/>
    <w:rsid w:val="000E3BAB"/>
    <w:rsid w:val="00111E70"/>
    <w:rsid w:val="0011706A"/>
    <w:rsid w:val="001171E7"/>
    <w:rsid w:val="001242DE"/>
    <w:rsid w:val="00126548"/>
    <w:rsid w:val="001421DC"/>
    <w:rsid w:val="00144FFD"/>
    <w:rsid w:val="00153615"/>
    <w:rsid w:val="00157AE5"/>
    <w:rsid w:val="00163CFB"/>
    <w:rsid w:val="00166018"/>
    <w:rsid w:val="00172AB2"/>
    <w:rsid w:val="001822B9"/>
    <w:rsid w:val="001A0110"/>
    <w:rsid w:val="001A1AC5"/>
    <w:rsid w:val="001A2B18"/>
    <w:rsid w:val="001A611F"/>
    <w:rsid w:val="001A792A"/>
    <w:rsid w:val="001B24DD"/>
    <w:rsid w:val="001C6530"/>
    <w:rsid w:val="001D2F5F"/>
    <w:rsid w:val="001D5C94"/>
    <w:rsid w:val="001D7CE9"/>
    <w:rsid w:val="001E6C58"/>
    <w:rsid w:val="002035E5"/>
    <w:rsid w:val="00212BBB"/>
    <w:rsid w:val="00216A0E"/>
    <w:rsid w:val="002202B9"/>
    <w:rsid w:val="00231FF0"/>
    <w:rsid w:val="002364F5"/>
    <w:rsid w:val="0024356D"/>
    <w:rsid w:val="00251E59"/>
    <w:rsid w:val="002532FC"/>
    <w:rsid w:val="00262E7F"/>
    <w:rsid w:val="00263CB8"/>
    <w:rsid w:val="002675A8"/>
    <w:rsid w:val="00270878"/>
    <w:rsid w:val="0027128D"/>
    <w:rsid w:val="00272DDF"/>
    <w:rsid w:val="00275AF3"/>
    <w:rsid w:val="00282629"/>
    <w:rsid w:val="00282A82"/>
    <w:rsid w:val="0029055E"/>
    <w:rsid w:val="002A5FB8"/>
    <w:rsid w:val="002B0C6F"/>
    <w:rsid w:val="002B3CC2"/>
    <w:rsid w:val="002D2E66"/>
    <w:rsid w:val="002E0741"/>
    <w:rsid w:val="002E0B55"/>
    <w:rsid w:val="002E3962"/>
    <w:rsid w:val="002E6669"/>
    <w:rsid w:val="002F2447"/>
    <w:rsid w:val="002F26C4"/>
    <w:rsid w:val="002F639C"/>
    <w:rsid w:val="002F647F"/>
    <w:rsid w:val="00300620"/>
    <w:rsid w:val="00306CAF"/>
    <w:rsid w:val="00312385"/>
    <w:rsid w:val="00322DCA"/>
    <w:rsid w:val="00325450"/>
    <w:rsid w:val="00336350"/>
    <w:rsid w:val="0034029F"/>
    <w:rsid w:val="00356D7E"/>
    <w:rsid w:val="00356EF2"/>
    <w:rsid w:val="003618D6"/>
    <w:rsid w:val="0036422B"/>
    <w:rsid w:val="00365B64"/>
    <w:rsid w:val="00375EF3"/>
    <w:rsid w:val="00377FC7"/>
    <w:rsid w:val="00385881"/>
    <w:rsid w:val="00392E6A"/>
    <w:rsid w:val="003B0C3D"/>
    <w:rsid w:val="003C24EB"/>
    <w:rsid w:val="003C2C62"/>
    <w:rsid w:val="003C4007"/>
    <w:rsid w:val="003C494A"/>
    <w:rsid w:val="003E1D31"/>
    <w:rsid w:val="003E5857"/>
    <w:rsid w:val="003E5DE5"/>
    <w:rsid w:val="003E74AF"/>
    <w:rsid w:val="003F1394"/>
    <w:rsid w:val="00400B72"/>
    <w:rsid w:val="004016B6"/>
    <w:rsid w:val="00403421"/>
    <w:rsid w:val="0040441F"/>
    <w:rsid w:val="00404B0C"/>
    <w:rsid w:val="00404CC4"/>
    <w:rsid w:val="004057BE"/>
    <w:rsid w:val="00410E85"/>
    <w:rsid w:val="0042042F"/>
    <w:rsid w:val="004343DF"/>
    <w:rsid w:val="004429D1"/>
    <w:rsid w:val="00442D56"/>
    <w:rsid w:val="00451543"/>
    <w:rsid w:val="00455CCA"/>
    <w:rsid w:val="00461A32"/>
    <w:rsid w:val="004719F2"/>
    <w:rsid w:val="00480982"/>
    <w:rsid w:val="00482444"/>
    <w:rsid w:val="004845F8"/>
    <w:rsid w:val="0049251F"/>
    <w:rsid w:val="004A1156"/>
    <w:rsid w:val="004A5E4E"/>
    <w:rsid w:val="004B22F1"/>
    <w:rsid w:val="004B2C81"/>
    <w:rsid w:val="004B3E15"/>
    <w:rsid w:val="004B7752"/>
    <w:rsid w:val="004C4787"/>
    <w:rsid w:val="004D1278"/>
    <w:rsid w:val="004E064B"/>
    <w:rsid w:val="004E120D"/>
    <w:rsid w:val="004E452A"/>
    <w:rsid w:val="004E4DC8"/>
    <w:rsid w:val="004E5F70"/>
    <w:rsid w:val="004E7A08"/>
    <w:rsid w:val="004F09C5"/>
    <w:rsid w:val="004F0C33"/>
    <w:rsid w:val="004F1F5C"/>
    <w:rsid w:val="004F442C"/>
    <w:rsid w:val="004F5050"/>
    <w:rsid w:val="00500F10"/>
    <w:rsid w:val="00504764"/>
    <w:rsid w:val="0051179F"/>
    <w:rsid w:val="00513CA4"/>
    <w:rsid w:val="0052767E"/>
    <w:rsid w:val="00530DBD"/>
    <w:rsid w:val="00532A41"/>
    <w:rsid w:val="0053355D"/>
    <w:rsid w:val="00535652"/>
    <w:rsid w:val="00544040"/>
    <w:rsid w:val="00547510"/>
    <w:rsid w:val="00550C4D"/>
    <w:rsid w:val="0055344E"/>
    <w:rsid w:val="005849EB"/>
    <w:rsid w:val="00590D6E"/>
    <w:rsid w:val="00594EDA"/>
    <w:rsid w:val="005969CF"/>
    <w:rsid w:val="005B1F9B"/>
    <w:rsid w:val="005C7F6D"/>
    <w:rsid w:val="005D0DFD"/>
    <w:rsid w:val="005D27E1"/>
    <w:rsid w:val="005D63CE"/>
    <w:rsid w:val="005E1676"/>
    <w:rsid w:val="005E3EA3"/>
    <w:rsid w:val="005F54B2"/>
    <w:rsid w:val="005F7AB0"/>
    <w:rsid w:val="00602C75"/>
    <w:rsid w:val="00605A9F"/>
    <w:rsid w:val="00612B6E"/>
    <w:rsid w:val="00620221"/>
    <w:rsid w:val="0062174C"/>
    <w:rsid w:val="00630200"/>
    <w:rsid w:val="00632D5D"/>
    <w:rsid w:val="00636920"/>
    <w:rsid w:val="00640798"/>
    <w:rsid w:val="0064291C"/>
    <w:rsid w:val="00647C66"/>
    <w:rsid w:val="00650161"/>
    <w:rsid w:val="00651A40"/>
    <w:rsid w:val="0066558A"/>
    <w:rsid w:val="00666450"/>
    <w:rsid w:val="00670EAE"/>
    <w:rsid w:val="00673840"/>
    <w:rsid w:val="00675B09"/>
    <w:rsid w:val="00680C39"/>
    <w:rsid w:val="00683258"/>
    <w:rsid w:val="00690954"/>
    <w:rsid w:val="00690A72"/>
    <w:rsid w:val="00693932"/>
    <w:rsid w:val="006A6C8D"/>
    <w:rsid w:val="006B1098"/>
    <w:rsid w:val="006C2563"/>
    <w:rsid w:val="006C2C3F"/>
    <w:rsid w:val="006C65A1"/>
    <w:rsid w:val="006D4BCC"/>
    <w:rsid w:val="006D6184"/>
    <w:rsid w:val="006D61B0"/>
    <w:rsid w:val="006E2513"/>
    <w:rsid w:val="006E5059"/>
    <w:rsid w:val="006E5279"/>
    <w:rsid w:val="006F1AEE"/>
    <w:rsid w:val="006F7242"/>
    <w:rsid w:val="00703FD6"/>
    <w:rsid w:val="00710B6D"/>
    <w:rsid w:val="00710DF6"/>
    <w:rsid w:val="0071224A"/>
    <w:rsid w:val="00712D01"/>
    <w:rsid w:val="0071585F"/>
    <w:rsid w:val="00715E82"/>
    <w:rsid w:val="007214E7"/>
    <w:rsid w:val="007225CA"/>
    <w:rsid w:val="00722C68"/>
    <w:rsid w:val="00725388"/>
    <w:rsid w:val="00726347"/>
    <w:rsid w:val="00726C82"/>
    <w:rsid w:val="00731874"/>
    <w:rsid w:val="007341E9"/>
    <w:rsid w:val="007419F5"/>
    <w:rsid w:val="00743CFB"/>
    <w:rsid w:val="007466D8"/>
    <w:rsid w:val="00747FD1"/>
    <w:rsid w:val="00751241"/>
    <w:rsid w:val="00756EB9"/>
    <w:rsid w:val="007615D7"/>
    <w:rsid w:val="00771623"/>
    <w:rsid w:val="0077649B"/>
    <w:rsid w:val="00781A51"/>
    <w:rsid w:val="00790736"/>
    <w:rsid w:val="007935CD"/>
    <w:rsid w:val="007942EE"/>
    <w:rsid w:val="00795B7F"/>
    <w:rsid w:val="00796881"/>
    <w:rsid w:val="0079717F"/>
    <w:rsid w:val="007A5233"/>
    <w:rsid w:val="007B13C3"/>
    <w:rsid w:val="007B168A"/>
    <w:rsid w:val="007C1520"/>
    <w:rsid w:val="007C1ABD"/>
    <w:rsid w:val="007C3A19"/>
    <w:rsid w:val="007C6BB1"/>
    <w:rsid w:val="007D4571"/>
    <w:rsid w:val="007E1D40"/>
    <w:rsid w:val="007F2D44"/>
    <w:rsid w:val="007F4AE4"/>
    <w:rsid w:val="007F5803"/>
    <w:rsid w:val="008038D6"/>
    <w:rsid w:val="00804F33"/>
    <w:rsid w:val="008100DE"/>
    <w:rsid w:val="00821AF2"/>
    <w:rsid w:val="00833C03"/>
    <w:rsid w:val="0083472E"/>
    <w:rsid w:val="0084536F"/>
    <w:rsid w:val="00857E6F"/>
    <w:rsid w:val="00865EC7"/>
    <w:rsid w:val="00872D4D"/>
    <w:rsid w:val="00874152"/>
    <w:rsid w:val="00876CE8"/>
    <w:rsid w:val="00881166"/>
    <w:rsid w:val="00881478"/>
    <w:rsid w:val="00892733"/>
    <w:rsid w:val="008A0BB0"/>
    <w:rsid w:val="008A15C9"/>
    <w:rsid w:val="008B2011"/>
    <w:rsid w:val="008B2CFE"/>
    <w:rsid w:val="008B3E12"/>
    <w:rsid w:val="008C180A"/>
    <w:rsid w:val="008C6B98"/>
    <w:rsid w:val="008D1C79"/>
    <w:rsid w:val="008D558B"/>
    <w:rsid w:val="008D6688"/>
    <w:rsid w:val="008D793E"/>
    <w:rsid w:val="008E2A08"/>
    <w:rsid w:val="008E5C2D"/>
    <w:rsid w:val="008E600F"/>
    <w:rsid w:val="008E63BD"/>
    <w:rsid w:val="008F1D74"/>
    <w:rsid w:val="00900474"/>
    <w:rsid w:val="009120C9"/>
    <w:rsid w:val="009309B7"/>
    <w:rsid w:val="00932B35"/>
    <w:rsid w:val="009364FE"/>
    <w:rsid w:val="009444DA"/>
    <w:rsid w:val="009451ED"/>
    <w:rsid w:val="00947C08"/>
    <w:rsid w:val="00957310"/>
    <w:rsid w:val="00961318"/>
    <w:rsid w:val="00964140"/>
    <w:rsid w:val="009662BF"/>
    <w:rsid w:val="0097172D"/>
    <w:rsid w:val="009736BE"/>
    <w:rsid w:val="009742A8"/>
    <w:rsid w:val="00974D00"/>
    <w:rsid w:val="00977484"/>
    <w:rsid w:val="009801A5"/>
    <w:rsid w:val="00983F53"/>
    <w:rsid w:val="009901F9"/>
    <w:rsid w:val="009910C1"/>
    <w:rsid w:val="00991639"/>
    <w:rsid w:val="0099389B"/>
    <w:rsid w:val="009A07C1"/>
    <w:rsid w:val="009A13BF"/>
    <w:rsid w:val="009A25F9"/>
    <w:rsid w:val="009A348D"/>
    <w:rsid w:val="009B63F9"/>
    <w:rsid w:val="009D2C25"/>
    <w:rsid w:val="009D6D99"/>
    <w:rsid w:val="009E3A8E"/>
    <w:rsid w:val="009E77F0"/>
    <w:rsid w:val="009F1B48"/>
    <w:rsid w:val="00A0186F"/>
    <w:rsid w:val="00A02BC1"/>
    <w:rsid w:val="00A04249"/>
    <w:rsid w:val="00A06F5E"/>
    <w:rsid w:val="00A11677"/>
    <w:rsid w:val="00A122A4"/>
    <w:rsid w:val="00A14C9E"/>
    <w:rsid w:val="00A16A1C"/>
    <w:rsid w:val="00A202AD"/>
    <w:rsid w:val="00A2098D"/>
    <w:rsid w:val="00A30638"/>
    <w:rsid w:val="00A30C46"/>
    <w:rsid w:val="00A343FD"/>
    <w:rsid w:val="00A35D77"/>
    <w:rsid w:val="00A43027"/>
    <w:rsid w:val="00A43402"/>
    <w:rsid w:val="00A54A27"/>
    <w:rsid w:val="00A54E26"/>
    <w:rsid w:val="00A60C2D"/>
    <w:rsid w:val="00A626D6"/>
    <w:rsid w:val="00A639BC"/>
    <w:rsid w:val="00A64048"/>
    <w:rsid w:val="00A64EF0"/>
    <w:rsid w:val="00A64FAD"/>
    <w:rsid w:val="00A71634"/>
    <w:rsid w:val="00A771E2"/>
    <w:rsid w:val="00A84286"/>
    <w:rsid w:val="00A85CD5"/>
    <w:rsid w:val="00A94E00"/>
    <w:rsid w:val="00AA3A1E"/>
    <w:rsid w:val="00AB3048"/>
    <w:rsid w:val="00AB785E"/>
    <w:rsid w:val="00AC0980"/>
    <w:rsid w:val="00AC1703"/>
    <w:rsid w:val="00AE042E"/>
    <w:rsid w:val="00AE0D68"/>
    <w:rsid w:val="00AE2988"/>
    <w:rsid w:val="00AE5668"/>
    <w:rsid w:val="00AE5C57"/>
    <w:rsid w:val="00B01126"/>
    <w:rsid w:val="00B06B86"/>
    <w:rsid w:val="00B12F24"/>
    <w:rsid w:val="00B22E77"/>
    <w:rsid w:val="00B312E1"/>
    <w:rsid w:val="00B371A5"/>
    <w:rsid w:val="00B404A6"/>
    <w:rsid w:val="00B41949"/>
    <w:rsid w:val="00B50B76"/>
    <w:rsid w:val="00B6247C"/>
    <w:rsid w:val="00B7193C"/>
    <w:rsid w:val="00B76B0E"/>
    <w:rsid w:val="00B93603"/>
    <w:rsid w:val="00B97057"/>
    <w:rsid w:val="00BA6421"/>
    <w:rsid w:val="00BB2E87"/>
    <w:rsid w:val="00BB2FB0"/>
    <w:rsid w:val="00BB3493"/>
    <w:rsid w:val="00BB58D6"/>
    <w:rsid w:val="00BC4902"/>
    <w:rsid w:val="00BD2B77"/>
    <w:rsid w:val="00BD430E"/>
    <w:rsid w:val="00C00B95"/>
    <w:rsid w:val="00C01D46"/>
    <w:rsid w:val="00C03076"/>
    <w:rsid w:val="00C075E2"/>
    <w:rsid w:val="00C10668"/>
    <w:rsid w:val="00C13731"/>
    <w:rsid w:val="00C17E92"/>
    <w:rsid w:val="00C24FA9"/>
    <w:rsid w:val="00C258C2"/>
    <w:rsid w:val="00C31180"/>
    <w:rsid w:val="00C5496F"/>
    <w:rsid w:val="00C5502D"/>
    <w:rsid w:val="00C560E8"/>
    <w:rsid w:val="00C62354"/>
    <w:rsid w:val="00C63068"/>
    <w:rsid w:val="00C65DE2"/>
    <w:rsid w:val="00C86BCD"/>
    <w:rsid w:val="00C92C53"/>
    <w:rsid w:val="00CA4283"/>
    <w:rsid w:val="00CA658C"/>
    <w:rsid w:val="00CB33BC"/>
    <w:rsid w:val="00CC26C7"/>
    <w:rsid w:val="00CD3E89"/>
    <w:rsid w:val="00CD52AF"/>
    <w:rsid w:val="00CD58B9"/>
    <w:rsid w:val="00CD60FB"/>
    <w:rsid w:val="00CD6E45"/>
    <w:rsid w:val="00CE0B79"/>
    <w:rsid w:val="00CE6B37"/>
    <w:rsid w:val="00CF436E"/>
    <w:rsid w:val="00CF4DFD"/>
    <w:rsid w:val="00CF5E9A"/>
    <w:rsid w:val="00CF6A79"/>
    <w:rsid w:val="00D048AA"/>
    <w:rsid w:val="00D0572D"/>
    <w:rsid w:val="00D2669A"/>
    <w:rsid w:val="00D2738F"/>
    <w:rsid w:val="00D3085E"/>
    <w:rsid w:val="00D3100F"/>
    <w:rsid w:val="00D35A4C"/>
    <w:rsid w:val="00D361F6"/>
    <w:rsid w:val="00D40B71"/>
    <w:rsid w:val="00D46347"/>
    <w:rsid w:val="00D47DCC"/>
    <w:rsid w:val="00D50A4C"/>
    <w:rsid w:val="00D531D6"/>
    <w:rsid w:val="00D61180"/>
    <w:rsid w:val="00D67D4E"/>
    <w:rsid w:val="00D72504"/>
    <w:rsid w:val="00D75A18"/>
    <w:rsid w:val="00D76DDC"/>
    <w:rsid w:val="00D83DCA"/>
    <w:rsid w:val="00D85734"/>
    <w:rsid w:val="00D94613"/>
    <w:rsid w:val="00D947FC"/>
    <w:rsid w:val="00D97BD1"/>
    <w:rsid w:val="00DB1623"/>
    <w:rsid w:val="00DB7E32"/>
    <w:rsid w:val="00DC0B51"/>
    <w:rsid w:val="00DC1BF4"/>
    <w:rsid w:val="00DC2443"/>
    <w:rsid w:val="00DC587B"/>
    <w:rsid w:val="00DD33EB"/>
    <w:rsid w:val="00DE20ED"/>
    <w:rsid w:val="00DF7D21"/>
    <w:rsid w:val="00E01AE7"/>
    <w:rsid w:val="00E0706F"/>
    <w:rsid w:val="00E07427"/>
    <w:rsid w:val="00E07E72"/>
    <w:rsid w:val="00E11A3E"/>
    <w:rsid w:val="00E205F6"/>
    <w:rsid w:val="00E21146"/>
    <w:rsid w:val="00E2482A"/>
    <w:rsid w:val="00E27B0C"/>
    <w:rsid w:val="00E316D6"/>
    <w:rsid w:val="00E35E5A"/>
    <w:rsid w:val="00E519D4"/>
    <w:rsid w:val="00E5246B"/>
    <w:rsid w:val="00E52BDF"/>
    <w:rsid w:val="00E60430"/>
    <w:rsid w:val="00E67EAB"/>
    <w:rsid w:val="00E912DA"/>
    <w:rsid w:val="00E9231D"/>
    <w:rsid w:val="00EA47A8"/>
    <w:rsid w:val="00EB5A03"/>
    <w:rsid w:val="00EC57F9"/>
    <w:rsid w:val="00EC6B76"/>
    <w:rsid w:val="00ED0B9E"/>
    <w:rsid w:val="00ED3230"/>
    <w:rsid w:val="00ED442B"/>
    <w:rsid w:val="00ED46AB"/>
    <w:rsid w:val="00EE4104"/>
    <w:rsid w:val="00EF3E1F"/>
    <w:rsid w:val="00EF440E"/>
    <w:rsid w:val="00EF7AF1"/>
    <w:rsid w:val="00F00003"/>
    <w:rsid w:val="00F07043"/>
    <w:rsid w:val="00F113EF"/>
    <w:rsid w:val="00F14D43"/>
    <w:rsid w:val="00F26FF6"/>
    <w:rsid w:val="00F35C13"/>
    <w:rsid w:val="00F44547"/>
    <w:rsid w:val="00F46B7C"/>
    <w:rsid w:val="00F505CE"/>
    <w:rsid w:val="00F51BEC"/>
    <w:rsid w:val="00F60D9D"/>
    <w:rsid w:val="00F62CD5"/>
    <w:rsid w:val="00F6771E"/>
    <w:rsid w:val="00F703D8"/>
    <w:rsid w:val="00F85A30"/>
    <w:rsid w:val="00F90ED5"/>
    <w:rsid w:val="00F91881"/>
    <w:rsid w:val="00F925BE"/>
    <w:rsid w:val="00F9430E"/>
    <w:rsid w:val="00FA4A06"/>
    <w:rsid w:val="00FB2D3B"/>
    <w:rsid w:val="00FB5CFF"/>
    <w:rsid w:val="00FB603D"/>
    <w:rsid w:val="00FC3253"/>
    <w:rsid w:val="00FC4053"/>
    <w:rsid w:val="00FE1FC6"/>
    <w:rsid w:val="00FE5A16"/>
    <w:rsid w:val="00FF488E"/>
    <w:rsid w:val="00FF6D09"/>
    <w:rsid w:val="07397B77"/>
    <w:rsid w:val="08D056B4"/>
    <w:rsid w:val="09106228"/>
    <w:rsid w:val="0D7546DD"/>
    <w:rsid w:val="13B90F01"/>
    <w:rsid w:val="1810321D"/>
    <w:rsid w:val="181066D2"/>
    <w:rsid w:val="1C671E73"/>
    <w:rsid w:val="2B132B93"/>
    <w:rsid w:val="2B2917D0"/>
    <w:rsid w:val="2B8752FF"/>
    <w:rsid w:val="370A20E7"/>
    <w:rsid w:val="38CA40DD"/>
    <w:rsid w:val="395F2B56"/>
    <w:rsid w:val="3BECE841"/>
    <w:rsid w:val="3EAF33C9"/>
    <w:rsid w:val="3FF7797D"/>
    <w:rsid w:val="413B4B58"/>
    <w:rsid w:val="512302A7"/>
    <w:rsid w:val="5BFF6039"/>
    <w:rsid w:val="5CA457BD"/>
    <w:rsid w:val="5D76A616"/>
    <w:rsid w:val="5D7F20B9"/>
    <w:rsid w:val="5DAC7D0E"/>
    <w:rsid w:val="5F98B5AF"/>
    <w:rsid w:val="5FFE8511"/>
    <w:rsid w:val="5FFEACE2"/>
    <w:rsid w:val="62AE5786"/>
    <w:rsid w:val="643EE26D"/>
    <w:rsid w:val="6F5C41AC"/>
    <w:rsid w:val="6FAF6C78"/>
    <w:rsid w:val="70A97C9F"/>
    <w:rsid w:val="7317C656"/>
    <w:rsid w:val="734ED73F"/>
    <w:rsid w:val="77FD8BE9"/>
    <w:rsid w:val="79A9BD3F"/>
    <w:rsid w:val="7BFFFDD0"/>
    <w:rsid w:val="7C336E5F"/>
    <w:rsid w:val="7D7A5F86"/>
    <w:rsid w:val="7F37BB4E"/>
    <w:rsid w:val="7FEF918E"/>
    <w:rsid w:val="7FF4FB6F"/>
    <w:rsid w:val="7FF7FF27"/>
    <w:rsid w:val="7FFDF714"/>
    <w:rsid w:val="AF3FCD8C"/>
    <w:rsid w:val="B9FA2A43"/>
    <w:rsid w:val="BF7BA1E4"/>
    <w:rsid w:val="BFDF04FA"/>
    <w:rsid w:val="BFE227EF"/>
    <w:rsid w:val="C8CF775E"/>
    <w:rsid w:val="CF2A1ABD"/>
    <w:rsid w:val="DA7D3CD9"/>
    <w:rsid w:val="DBDC0ADA"/>
    <w:rsid w:val="DBDF031D"/>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5"/>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3"/>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6"/>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报-正文"/>
    <w:basedOn w:val="1"/>
    <w:qFormat/>
    <w:uiPriority w:val="0"/>
    <w:pPr>
      <w:spacing w:line="560" w:lineRule="atLeast"/>
      <w:ind w:firstLine="440" w:firstLineChars="200"/>
    </w:pPr>
    <w:rPr>
      <w:rFonts w:hint="eastAsia" w:eastAsia="仿宋_GB2312"/>
      <w:sz w:val="32"/>
      <w:szCs w:val="32"/>
    </w:rPr>
  </w:style>
  <w:style w:type="paragraph" w:customStyle="1" w:styleId="18">
    <w:name w:val="报一级"/>
    <w:basedOn w:val="1"/>
    <w:qFormat/>
    <w:uiPriority w:val="0"/>
    <w:pPr>
      <w:widowControl/>
      <w:overflowPunct w:val="0"/>
      <w:autoSpaceDE w:val="0"/>
      <w:autoSpaceDN w:val="0"/>
      <w:adjustRightInd w:val="0"/>
      <w:spacing w:line="560" w:lineRule="exact"/>
      <w:ind w:firstLine="640" w:firstLineChars="200"/>
      <w:jc w:val="left"/>
      <w:textAlignment w:val="baseline"/>
      <w:outlineLvl w:val="0"/>
    </w:pPr>
    <w:rPr>
      <w:rFonts w:eastAsia="黑体"/>
      <w:bCs/>
      <w:kern w:val="0"/>
      <w:sz w:val="32"/>
      <w:szCs w:val="32"/>
    </w:rPr>
  </w:style>
  <w:style w:type="paragraph" w:customStyle="1" w:styleId="19">
    <w:name w:val="报二级"/>
    <w:basedOn w:val="1"/>
    <w:qFormat/>
    <w:uiPriority w:val="0"/>
    <w:pPr>
      <w:widowControl/>
      <w:overflowPunct w:val="0"/>
      <w:autoSpaceDE w:val="0"/>
      <w:autoSpaceDN w:val="0"/>
      <w:adjustRightInd w:val="0"/>
      <w:spacing w:line="560" w:lineRule="exact"/>
      <w:ind w:firstLine="803" w:firstLineChars="200"/>
      <w:textAlignment w:val="baseline"/>
      <w:outlineLvl w:val="1"/>
    </w:pPr>
    <w:rPr>
      <w:rFonts w:eastAsia="楷体"/>
      <w:b/>
      <w:kern w:val="0"/>
      <w:sz w:val="32"/>
      <w:szCs w:val="32"/>
    </w:rPr>
  </w:style>
  <w:style w:type="paragraph" w:customStyle="1" w:styleId="20">
    <w:name w:val="报三级"/>
    <w:basedOn w:val="1"/>
    <w:qFormat/>
    <w:uiPriority w:val="0"/>
    <w:pPr>
      <w:widowControl/>
      <w:overflowPunct w:val="0"/>
      <w:autoSpaceDE w:val="0"/>
      <w:autoSpaceDN w:val="0"/>
      <w:adjustRightInd w:val="0"/>
      <w:spacing w:line="560" w:lineRule="exact"/>
      <w:ind w:firstLine="803" w:firstLineChars="200"/>
      <w:jc w:val="left"/>
      <w:textAlignment w:val="baseline"/>
      <w:outlineLvl w:val="2"/>
    </w:pPr>
    <w:rPr>
      <w:rFonts w:eastAsia="仿宋_GB2312"/>
      <w:b/>
      <w:bCs/>
      <w:kern w:val="0"/>
      <w:sz w:val="32"/>
      <w:szCs w:val="32"/>
    </w:rPr>
  </w:style>
  <w:style w:type="character" w:customStyle="1" w:styleId="21">
    <w:name w:val="fontstyle01"/>
    <w:qFormat/>
    <w:uiPriority w:val="0"/>
    <w:rPr>
      <w:rFonts w:ascii="仿宋_GB2312" w:hAnsi="仿宋_GB2312" w:eastAsia="仿宋_GB2312" w:cs="仿宋_GB2312"/>
      <w:color w:val="000000"/>
      <w:sz w:val="32"/>
      <w:szCs w:val="32"/>
    </w:rPr>
  </w:style>
  <w:style w:type="paragraph" w:customStyle="1" w:styleId="22">
    <w:name w:val="闻政-正文段落文字"/>
    <w:basedOn w:val="1"/>
    <w:qFormat/>
    <w:uiPriority w:val="3"/>
    <w:pPr>
      <w:spacing w:line="500" w:lineRule="exact"/>
      <w:ind w:firstLine="200"/>
    </w:pPr>
    <w:rPr>
      <w:kern w:val="0"/>
      <w:szCs w:val="28"/>
    </w:rPr>
  </w:style>
  <w:style w:type="character" w:customStyle="1" w:styleId="23">
    <w:name w:val="批注框文本 Char"/>
    <w:basedOn w:val="14"/>
    <w:link w:val="7"/>
    <w:qFormat/>
    <w:uiPriority w:val="0"/>
    <w:rPr>
      <w:rFonts w:ascii="Times New Roman" w:hAnsi="Times New Roman" w:eastAsia="宋体" w:cs="Times New Roman"/>
      <w:kern w:val="2"/>
      <w:sz w:val="18"/>
      <w:szCs w:val="18"/>
    </w:rPr>
  </w:style>
  <w:style w:type="character" w:customStyle="1" w:styleId="24">
    <w:name w:val="页眉 Char"/>
    <w:basedOn w:val="14"/>
    <w:link w:val="9"/>
    <w:qFormat/>
    <w:uiPriority w:val="0"/>
    <w:rPr>
      <w:rFonts w:ascii="Times New Roman" w:hAnsi="Times New Roman" w:eastAsia="宋体" w:cs="Times New Roman"/>
      <w:kern w:val="2"/>
      <w:sz w:val="18"/>
      <w:szCs w:val="18"/>
    </w:rPr>
  </w:style>
  <w:style w:type="character" w:customStyle="1" w:styleId="25">
    <w:name w:val="批注文字 Char"/>
    <w:basedOn w:val="14"/>
    <w:link w:val="4"/>
    <w:qFormat/>
    <w:uiPriority w:val="0"/>
    <w:rPr>
      <w:rFonts w:ascii="Times New Roman" w:hAnsi="Times New Roman" w:eastAsia="宋体" w:cs="Times New Roman"/>
      <w:kern w:val="2"/>
      <w:sz w:val="21"/>
      <w:szCs w:val="24"/>
    </w:rPr>
  </w:style>
  <w:style w:type="character" w:customStyle="1" w:styleId="26">
    <w:name w:val="批注主题 Char"/>
    <w:basedOn w:val="25"/>
    <w:link w:val="10"/>
    <w:qFormat/>
    <w:uiPriority w:val="0"/>
    <w:rPr>
      <w:rFonts w:ascii="Times New Roman" w:hAnsi="Times New Roman" w:eastAsia="宋体" w:cs="Times New Roman"/>
      <w:b/>
      <w:bCs/>
      <w:kern w:val="2"/>
      <w:sz w:val="21"/>
      <w:szCs w:val="24"/>
    </w:rPr>
  </w:style>
  <w:style w:type="paragraph" w:styleId="2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YFY</Company>
  <Pages>30</Pages>
  <Words>12956</Words>
  <Characters>13824</Characters>
  <Lines>104</Lines>
  <Paragraphs>29</Paragraphs>
  <TotalTime>91</TotalTime>
  <ScaleCrop>false</ScaleCrop>
  <LinksUpToDate>false</LinksUpToDate>
  <CharactersWithSpaces>13861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painstaking efforts</cp:lastModifiedBy>
  <cp:lastPrinted>2024-04-09T20:24:00Z</cp:lastPrinted>
  <dcterms:modified xsi:type="dcterms:W3CDTF">2024-08-28T02:13:12Z</dcterms:modified>
  <cp:revision>1069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DEB37354E36D40D48F20A3DAB18895C3</vt:lpwstr>
  </property>
</Properties>
</file>