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自治区财政项目支出绩效自评报告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2023</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p>
    <w:p>
      <w:pPr>
        <w:spacing w:line="700" w:lineRule="exact"/>
        <w:jc w:val="left"/>
        <w:rPr>
          <w:rFonts w:hint="default" w:ascii="Times New Roman" w:hAnsi="Times New Roman" w:cs="Times New Roman" w:eastAsiaTheme="minorEastAsia"/>
          <w:b w:val="0"/>
          <w:bCs w:val="0"/>
          <w:kern w:val="0"/>
          <w:sz w:val="28"/>
          <w:szCs w:val="28"/>
        </w:rPr>
      </w:pPr>
      <w:r>
        <w:rPr>
          <w:rFonts w:hint="eastAsia" w:cs="Times New Roman" w:eastAsiaTheme="minorEastAsia"/>
          <w:kern w:val="0"/>
          <w:sz w:val="28"/>
          <w:szCs w:val="28"/>
          <w:lang w:val="en-US" w:eastAsia="zh-CN"/>
        </w:rPr>
        <w:t xml:space="preserve">    </w:t>
      </w:r>
      <w:r>
        <w:rPr>
          <w:rFonts w:hint="default" w:ascii="Times New Roman" w:hAnsi="Times New Roman" w:cs="Times New Roman" w:eastAsiaTheme="minorEastAsia"/>
          <w:kern w:val="0"/>
          <w:sz w:val="28"/>
          <w:szCs w:val="28"/>
        </w:rPr>
        <w:t>项目名称：</w:t>
      </w:r>
      <w:r>
        <w:rPr>
          <w:rStyle w:val="18"/>
          <w:rFonts w:hint="default" w:ascii="Times New Roman" w:hAnsi="Times New Roman" w:cs="Times New Roman" w:eastAsiaTheme="minorEastAsia"/>
          <w:b w:val="0"/>
          <w:bCs w:val="0"/>
          <w:spacing w:val="-4"/>
          <w:sz w:val="28"/>
          <w:szCs w:val="28"/>
        </w:rPr>
        <w:t>2023年自治区预算内投资</w:t>
      </w:r>
    </w:p>
    <w:p>
      <w:pPr>
        <w:spacing w:line="540" w:lineRule="exact"/>
        <w:rPr>
          <w:rStyle w:val="18"/>
          <w:rFonts w:hint="default" w:ascii="Times New Roman" w:hAnsi="Times New Roman" w:cs="Times New Roman" w:eastAsiaTheme="minorEastAsia"/>
          <w:b w:val="0"/>
          <w:bCs w:val="0"/>
          <w:spacing w:val="-4"/>
          <w:sz w:val="28"/>
          <w:szCs w:val="28"/>
        </w:rPr>
      </w:pPr>
      <w:r>
        <w:rPr>
          <w:rFonts w:hint="eastAsia" w:cs="Times New Roman" w:eastAsiaTheme="minorEastAsia"/>
          <w:kern w:val="0"/>
          <w:sz w:val="28"/>
          <w:szCs w:val="28"/>
          <w:lang w:val="en-US" w:eastAsia="zh-CN"/>
        </w:rPr>
        <w:t xml:space="preserve">    </w:t>
      </w:r>
      <w:r>
        <w:rPr>
          <w:rFonts w:hint="default" w:ascii="Times New Roman" w:hAnsi="Times New Roman" w:cs="Times New Roman" w:eastAsiaTheme="minorEastAsia"/>
          <w:kern w:val="0"/>
          <w:sz w:val="28"/>
          <w:szCs w:val="28"/>
        </w:rPr>
        <w:t>实施单位（公章）：</w:t>
      </w:r>
      <w:r>
        <w:rPr>
          <w:rStyle w:val="18"/>
          <w:rFonts w:hint="default" w:ascii="Times New Roman" w:hAnsi="Times New Roman" w:cs="Times New Roman" w:eastAsiaTheme="minorEastAsia"/>
          <w:b w:val="0"/>
          <w:bCs w:val="0"/>
          <w:spacing w:val="-4"/>
          <w:sz w:val="28"/>
          <w:szCs w:val="28"/>
        </w:rPr>
        <w:t>新疆维吾尔自治区发展和改革委员会（</w:t>
      </w:r>
      <w:r>
        <w:rPr>
          <w:rStyle w:val="18"/>
          <w:rFonts w:hint="default" w:ascii="Times New Roman" w:hAnsi="Times New Roman" w:cs="Times New Roman" w:eastAsiaTheme="minorEastAsia"/>
          <w:b w:val="0"/>
          <w:bCs w:val="0"/>
          <w:spacing w:val="-4"/>
          <w:sz w:val="28"/>
          <w:szCs w:val="28"/>
          <w:lang w:eastAsia="zh-CN"/>
        </w:rPr>
        <w:t>本级</w:t>
      </w:r>
      <w:r>
        <w:rPr>
          <w:rStyle w:val="18"/>
          <w:rFonts w:hint="default" w:ascii="Times New Roman" w:hAnsi="Times New Roman" w:cs="Times New Roman" w:eastAsiaTheme="minorEastAsia"/>
          <w:b w:val="0"/>
          <w:bCs w:val="0"/>
          <w:spacing w:val="-4"/>
          <w:sz w:val="28"/>
          <w:szCs w:val="28"/>
        </w:rPr>
        <w:t>）</w:t>
      </w:r>
    </w:p>
    <w:p>
      <w:pPr>
        <w:spacing w:line="540" w:lineRule="exact"/>
        <w:rPr>
          <w:rFonts w:hint="default" w:ascii="Times New Roman" w:hAnsi="Times New Roman" w:cs="Times New Roman" w:eastAsiaTheme="minorEastAsia"/>
          <w:b/>
          <w:bCs/>
          <w:spacing w:val="-4"/>
          <w:sz w:val="28"/>
          <w:szCs w:val="28"/>
        </w:rPr>
      </w:pPr>
      <w:r>
        <w:rPr>
          <w:rFonts w:hint="eastAsia" w:cs="Times New Roman" w:eastAsiaTheme="minorEastAsia"/>
          <w:kern w:val="0"/>
          <w:sz w:val="28"/>
          <w:szCs w:val="28"/>
          <w:lang w:val="en-US" w:eastAsia="zh-CN"/>
        </w:rPr>
        <w:t xml:space="preserve">    </w:t>
      </w:r>
      <w:r>
        <w:rPr>
          <w:rFonts w:hint="default" w:ascii="Times New Roman" w:hAnsi="Times New Roman" w:cs="Times New Roman" w:eastAsiaTheme="minorEastAsia"/>
          <w:kern w:val="0"/>
          <w:sz w:val="28"/>
          <w:szCs w:val="28"/>
        </w:rPr>
        <w:t>主管部门（公章）：</w:t>
      </w:r>
      <w:r>
        <w:rPr>
          <w:rStyle w:val="18"/>
          <w:rFonts w:hint="default" w:ascii="Times New Roman" w:hAnsi="Times New Roman" w:cs="Times New Roman" w:eastAsiaTheme="minorEastAsia"/>
          <w:b w:val="0"/>
          <w:bCs w:val="0"/>
          <w:spacing w:val="-4"/>
          <w:sz w:val="28"/>
          <w:szCs w:val="28"/>
        </w:rPr>
        <w:t>新疆维吾尔自治区发展和改革委员会</w:t>
      </w:r>
    </w:p>
    <w:p>
      <w:pPr>
        <w:spacing w:line="540" w:lineRule="exact"/>
        <w:rPr>
          <w:rFonts w:hint="default" w:ascii="Times New Roman" w:hAnsi="Times New Roman" w:cs="Times New Roman" w:eastAsiaTheme="minorEastAsia"/>
          <w:kern w:val="0"/>
          <w:sz w:val="28"/>
          <w:szCs w:val="28"/>
          <w:lang w:eastAsia="zh-CN"/>
        </w:rPr>
      </w:pPr>
      <w:r>
        <w:rPr>
          <w:rFonts w:hint="eastAsia" w:cs="Times New Roman" w:eastAsiaTheme="minorEastAsia"/>
          <w:kern w:val="0"/>
          <w:sz w:val="28"/>
          <w:szCs w:val="28"/>
          <w:lang w:val="en-US" w:eastAsia="zh-CN"/>
        </w:rPr>
        <w:t xml:space="preserve">    </w:t>
      </w:r>
      <w:r>
        <w:rPr>
          <w:rFonts w:hint="default" w:ascii="Times New Roman" w:hAnsi="Times New Roman" w:cs="Times New Roman" w:eastAsiaTheme="minorEastAsia"/>
          <w:kern w:val="0"/>
          <w:sz w:val="28"/>
          <w:szCs w:val="28"/>
        </w:rPr>
        <w:t>项目负责人（签章）：</w:t>
      </w:r>
      <w:r>
        <w:rPr>
          <w:rFonts w:hint="default" w:ascii="Times New Roman" w:hAnsi="Times New Roman" w:cs="Times New Roman" w:eastAsiaTheme="minorEastAsia"/>
          <w:kern w:val="0"/>
          <w:sz w:val="28"/>
          <w:szCs w:val="28"/>
          <w:lang w:eastAsia="zh-CN"/>
        </w:rPr>
        <w:t>张永亮</w:t>
      </w:r>
    </w:p>
    <w:p>
      <w:pPr>
        <w:spacing w:line="540" w:lineRule="exact"/>
        <w:rPr>
          <w:rStyle w:val="18"/>
          <w:rFonts w:hint="default" w:ascii="Times New Roman" w:hAnsi="Times New Roman" w:cs="Times New Roman" w:eastAsiaTheme="minorEastAsia"/>
          <w:b w:val="0"/>
          <w:bCs w:val="0"/>
          <w:spacing w:val="-4"/>
          <w:sz w:val="28"/>
          <w:szCs w:val="28"/>
        </w:rPr>
      </w:pPr>
      <w:r>
        <w:rPr>
          <w:rFonts w:hint="eastAsia" w:cs="Times New Roman" w:eastAsiaTheme="minorEastAsia"/>
          <w:kern w:val="0"/>
          <w:sz w:val="28"/>
          <w:szCs w:val="28"/>
          <w:lang w:val="en-US" w:eastAsia="zh-CN"/>
        </w:rPr>
        <w:t xml:space="preserve">    </w:t>
      </w:r>
      <w:r>
        <w:rPr>
          <w:rFonts w:hint="default" w:ascii="Times New Roman" w:hAnsi="Times New Roman" w:cs="Times New Roman" w:eastAsiaTheme="minorEastAsia"/>
          <w:kern w:val="0"/>
          <w:sz w:val="28"/>
          <w:szCs w:val="28"/>
        </w:rPr>
        <w:t>填报时间：</w:t>
      </w:r>
      <w:r>
        <w:rPr>
          <w:rStyle w:val="18"/>
          <w:rFonts w:hint="default" w:ascii="Times New Roman" w:hAnsi="Times New Roman" w:cs="Times New Roman" w:eastAsiaTheme="minorEastAsia"/>
          <w:b w:val="0"/>
          <w:bCs w:val="0"/>
          <w:spacing w:val="-4"/>
          <w:sz w:val="28"/>
          <w:szCs w:val="28"/>
        </w:rPr>
        <w:t>2024年03月11日</w:t>
      </w:r>
    </w:p>
    <w:p>
      <w:pPr>
        <w:spacing w:line="540" w:lineRule="exact"/>
        <w:rPr>
          <w:rStyle w:val="18"/>
          <w:rFonts w:hint="default" w:ascii="Times New Roman" w:hAnsi="Times New Roman" w:eastAsia="仿宋_GB2312" w:cs="Times New Roman"/>
          <w:b w:val="0"/>
          <w:bCs/>
          <w:spacing w:val="-4"/>
          <w:sz w:val="32"/>
          <w:szCs w:val="32"/>
        </w:rPr>
        <w:sectPr>
          <w:pgSz w:w="11906" w:h="16838"/>
          <w:pgMar w:top="2098" w:right="1531" w:bottom="1928" w:left="1531" w:header="851" w:footer="992" w:gutter="0"/>
          <w:pgNumType w:fmt="numberInDash"/>
          <w:cols w:space="425" w:num="1"/>
          <w:docGrid w:type="lines" w:linePitch="312" w:charSpace="0"/>
        </w:sectPr>
      </w:pPr>
    </w:p>
    <w:p>
      <w:p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一、基本情况</w:t>
      </w:r>
    </w:p>
    <w:p>
      <w:pPr>
        <w:spacing w:line="540" w:lineRule="exact"/>
        <w:ind w:firstLine="567"/>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（一）项目概况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1.项目背景</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遵循财政部《项目支出绩效评价管理办法》（财预〔2020〕10号）、自治区财政厅《自治区财政支出绩效评价管理暂行办法》（新财预〔2018〕189号）等相关政策文件与规定，按照自治区党委经济工作会议精神和政府工作报告要求，重点聚焦事关全区经济社会发展的重大项目前期、重点规划编制和重大工程建设，加大关键领域和薄弱环节有效投资，安排自治区预算内基本建设投资，支持重大基础设施开展前期工作，安排重大项目前期费、自治区规划编制及相关课题研究费。保持基础设施领域补短板力度，进一步完善基础设施和公共服务，更好发挥有效投资对优化供给结构的关键性作用，保持经济平稳健康发展。</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2.主要内容及实施情况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主要内容：围绕国家“十四五”支持新疆经济社会发展重大项目实施方案、自治区国民经济和社会发展第十四个五年规划和2035年远景目标纲要确定的重点领域、重点任务，按照前期费大于等于30%、投资项目小于等于70%下达比例给予支持。积极开展规划编制和课题研究，完成项目前期工作，推进重点项目建设，为推进我区经济高质量发展提供政策建议、决策参考，促进经济持续健康发展。通过相关项目建成和投入使用，保障和改善民生，进一步完善基础设施，改善当地生态环境，提升公共服务能力，补齐我区经济社会发展短板和弱项，积极推进我区实现社会稳定和长治久安总目标。</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实施情况：2023年经我委分解下达自治区预算内投资（前期费）14亿元，共支持水利、交通等重大基础设施建设、改善民生等项目，以及重点项目前期工作、重要规划编制和课题研究共197个，特别是遴选支持了一批撬动社会投资能力较强的项目，充分发挥政府投资的引导带动作用，促进了基层民生改善，加强基础和薄弱环节建设，加快重点领域和重大项目建设，推动了我区经济健康发展。</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3.项目实施主体</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由自治区发展改革委负责分解下达投资计划，有关地（州、市）、部门组织实施。</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自治区发展改革委主要职能：（一）提出自治区国民经济和社会发展战略、中长期规划和年度发展计划，贯彻执行国家的国民经济和社会发展方针、政策；统筹协调自治区经济社会发展，研究分析国内外、区内外经济形势，提出国民经济发展、价格总水平调控和优化重大经济结构的目标、政策及调控建议。牵头组织统一规划体系建设。负责自治区级发展规划、区域规划、空间规划与自治区发展规划的统筹衔接；起草国民经济和社会发展、经济体制改革和对外开放的有关法律法规草案，制定部门规章。（二）提出加快建设现代化经济体系、推动高质量发展的总体目标、重大任务以及相关政策。组织开展重大战略规划、重大政策、重大工程等评估督导，提出相关调整建议。（三）统筹提出国民经济和社会发展主要目标，监测预测预警宏观经济和社会发展态势趋势，提出宏观调控政策建议。综合协调宏观经济政策，牵头研究宏观经济应对措施。调节经济运行，协调解决经济运行中的重大问题。拟订并组织实施有关价格政策；组织制定少数由政府管理的重要商品、服务价格和收费项目、标准；参与拟订财政政策、金融政策和土地政策。（四）指导推进和综合协调经济体制改革有关工作，提出相关改革建议。牵头推进供给侧结构性改革。协调推进产权制度和要素市场化配置改革。落实市场准入负面清单制度。牵头推进优化营商环境工作。（五）提出利用外资和境外投资的战略、规划、总量平衡和结构优化政策。牵头推进实施“一带一路”建设。承担统筹协调走出去有关工作。会同有关部门贯彻落实外商投资准入负面清单。（六）负责投资综合管理，拟订全社会固定资产投资总规模、结构调控目标和政策，会同相关部门拟订政府投资项目审批权限和政府核准的固定资产投资项目目录。申报和下达中央预算内投资计划；安排自治区财政预算内固定资产投资计划，按规定权限审批、核准、备案、审核重大项目。规划重大建设项目和生产力布局。拟订并推动落实鼓励民间投资政策措施。（七）推进落实区域协调发展战略、新型城镇化战略和重大政策，组织拟订相关区域规划和政策。统筹推进实施国家重大区域发展战略。组织拟订和实施沿边及其他特殊困难地区发展规划和政策，组织实施易地扶贫搬迁等。统筹协调区域合作和对口支援工作。组织编制并推动实施新型城镇化规划。（八）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九）推动实施创新驱动发展战略。会同相关部门拟订推进自治区创新创业的规划和政策，提出创新发展和培育经济发展新动能的政策。会同有关方面提出重大科技基础设施布局建议。组织拟订并推动实施高技术产业和战略性新兴产业发展规划和政策，协调产业升级、重大技术装备推广应用等方面的重大问题。（十）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储备物资品种目录、总体发展规划。（十一）负责自治区社会发展与国民经济发展的政策衔接，协调有关重大问题。组织拟订自治区社会发展战略、总体规划，统筹推进基本公共服务体系建设。提出促进就业、完善社会保障与经济协调发展的政策建议。牵头开展社会信用体系建设。（十二）推进实施可持续发展战略，推动自治区生态文明建设和改革，协调生态环境保护与修复、能源资源节约和综合利用等工作。提出健全自治区生态保护补偿机制的政策措施，综合协调环保产业和清洁生产促进有关工作。提出自治区能源消费控制目标、任务并组织实施。（十三）研究制定自治区能源发展重大战略和政策建议；组织起草自治区能源管理的地方性法规和规章草案；拟订实施自治区能源发展总体规划、专项规划和年度计划；组织实施能源体制改革；按权限审核自治区能源行业固定资产投资项目；负责自治区重大能源项目的管理和组织协调；指导电力计划调度和市场交易；开展自治区能源国际国内合作；承担自治区石油、天然气管道保护；统筹做好煤矿、电力安全监督管理。（十四）贯彻落实对口支援新疆工作部际联席会议办公室各项政策措施，做好对口援疆工作综合协调、服务保障，组织开展对口援疆规划衔接平衡。（十五）承担自治区对口援疆协调领导小组办公室、自治区社会信用体系建设联席会议办公室、自治区西部开发领导小组办公室、自治区应对气候变化及节能减排工作领导小组等相关具体工作。（十六）管理自治区粮食和物资储备局。（十七）完成自治区党委、人民政府交办的其他任务。</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4.资金投入和使用情况</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2023年自治区预算内投资（含前期费）资金140000万元。其中：自治区预算内基本建设投资共安排72584万元；自治区预算内前期费共安排65262万元；自治区财政部门统筹安排2154万元。截至2023年12月31日，实际执行140000万元，预算执行率100%。</w:t>
      </w:r>
    </w:p>
    <w:p>
      <w:pPr>
        <w:spacing w:line="540" w:lineRule="exact"/>
        <w:ind w:firstLine="564" w:firstLineChars="181"/>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（二）项目绩效目标</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1.项目绩效总目标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围绕国家“十四五”支持新疆经济社会发展重大项目实施方案、自治区国民经济和社会发展第十四个五年规划和2035年远景目标纲要确定的重点领域、重点任务，按照前期费大于等于30%、投资项目小于等于70%下达比例给予支持。积极开展规划编制和课题研究，完成项目前期工作，推进重点项目建设，为推进我区经济高质量发展提供政策建议、决策参考，促进经济持续健康发展。通过相关项目建成和投入使用，保障和改善民生，进一步完善基础设施，改善当地生态环境，提升公共服务能力，补齐我区经济社会发展短板和弱项，积极推进我区实现社会稳定和长治久安总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2.阶段性目标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rPr>
        <w:t xml:space="preserve">  </w:t>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项目前期准备阶段：2023年1月1日至31日，明确自治区预算内投资规模、支持范围，做好项目储备</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实施阶段：2月1日至3月31日，下达第一批自治区预算内投资；4月1日至6月30日，下达第二批自治区预算内投资，累计下达投资超50000万元；10月30日前，累计下达投资超90000万元；11月30日前，预算内执行率达到100%</w:t>
      </w:r>
      <w:r>
        <w:rPr>
          <w:rStyle w:val="18"/>
          <w:rFonts w:hint="eastAsia" w:eastAsia="仿宋_GB2312" w:cs="Times New Roman"/>
          <w:b w:val="0"/>
          <w:bCs/>
          <w:spacing w:val="-4"/>
          <w:sz w:val="32"/>
          <w:szCs w:val="32"/>
          <w:lang w:eastAsia="zh-CN"/>
        </w:rPr>
        <w:t>；</w:t>
      </w:r>
      <w:bookmarkStart w:id="0" w:name="_GoBack"/>
      <w:bookmarkEnd w:id="0"/>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项目验收阶段：12月1日至31日，收集预算内执行情况材料。</w:t>
      </w:r>
    </w:p>
    <w:p>
      <w:p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二、绩效评价工作开展情况</w:t>
      </w:r>
    </w:p>
    <w:p>
      <w:pPr>
        <w:spacing w:line="540" w:lineRule="exact"/>
        <w:ind w:firstLine="564" w:firstLineChars="181"/>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（一）绩效评价目的、对象和范围</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1.绩效评价目的</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和自治区财政厅《自治区财政支出绩效评价管理暂行办法》（新财预〔2018〕189号）等相关政策文件与规定，旨在评价2023年自治区预算内投资和前期费项目实施前期、过程及效果，评价财政预算资金使用的效率及效益，进一步优化自治区预算内投资安排管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2.绩效评价对象</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本次绩效评价以2023年自治区预算内投资（含前期费）项目所对应的预算资金支出为对象，以项目实施所带来的产出和效果为主要内容，以促进预算单位完成特定工作任务目标所组织开展的绩效评价。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3.绩效评价范围</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4" w:firstLineChars="181"/>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（二）绩效评价原则、评价指标体系（附表说明）、评价方法、评价标准等。</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1.绩效评价原则</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本次绩效评价遵循的原则包括：</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（1）科学公正。绩效评价应当运用科学合理的方法，按照规范的程序，对项目绩效进行客观、公正的反映。</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（2）统筹兼顾。单位自评、部门评价和财政评价应职责明确，各有侧重，相互衔接。</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（3）激励约束。绩效评价结果应与预算安排、政策调整、改进管理实质性挂钩，体现奖优罚劣和激励相容导向，有效要安排、低效要压减、无效要问责。</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（4）公开透明。绩效评价结果应依法依规公开，并自觉接受社会监督。</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2.绩效评价指标体系</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一级指标为：决策、过程、产出、效益。</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3.绩效评价方法</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本次评价采用公众评判法和综合分析法，总分由各项指标得分汇总形成。</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综合分析法：通过整理本项目相关资料和数据，对项目的决策、管理、绩效进行的综合评价分析。</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4.绩效评价标准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自治区预算内基本建设投资和前期费评价标准采用计划标准，即按照自治区预算内投资计划下达时确定的预期绩效目标、计划、预算、定额等预计数据作为评价财政支出绩效的标准。通过将实际完成值与预定数据进行对比,发现差异并达到评价目的。绩效评价体系、标准等详见。</w:t>
      </w:r>
    </w:p>
    <w:p>
      <w:pPr>
        <w:spacing w:line="540" w:lineRule="exact"/>
        <w:ind w:firstLine="564" w:firstLineChars="181"/>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w:t>
      </w:r>
      <w:r>
        <w:rPr>
          <w:rStyle w:val="18"/>
          <w:rFonts w:hint="default" w:ascii="Times New Roman" w:hAnsi="Times New Roman" w:eastAsia="楷体_GB2312" w:cs="Times New Roman"/>
          <w:b w:val="0"/>
          <w:bCs/>
          <w:spacing w:val="-4"/>
          <w:sz w:val="32"/>
          <w:szCs w:val="32"/>
        </w:rPr>
        <w:t>三）绩效评价工作过程</w:t>
      </w:r>
    </w:p>
    <w:p>
      <w:pPr>
        <w:spacing w:line="540" w:lineRule="exact"/>
        <w:ind w:firstLine="567"/>
        <w:rPr>
          <w:rStyle w:val="18"/>
          <w:rFonts w:hint="default" w:ascii="Times New Roman" w:hAnsi="Times New Roman" w:eastAsia="仿宋_GB2312" w:cs="Times New Roman"/>
          <w:b w:val="0"/>
          <w:bCs/>
          <w:spacing w:val="-4"/>
          <w:sz w:val="32"/>
          <w:szCs w:val="32"/>
          <w:lang w:eastAsia="zh-CN"/>
        </w:rPr>
      </w:pPr>
      <w:r>
        <w:rPr>
          <w:rStyle w:val="18"/>
          <w:rFonts w:hint="default" w:ascii="Times New Roman" w:hAnsi="Times New Roman" w:eastAsia="仿宋_GB2312" w:cs="Times New Roman"/>
          <w:b w:val="0"/>
          <w:bCs/>
          <w:spacing w:val="-4"/>
          <w:sz w:val="32"/>
          <w:szCs w:val="32"/>
        </w:rPr>
        <w:t>第一阶段：前期准备</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我</w:t>
      </w:r>
      <w:r>
        <w:rPr>
          <w:rStyle w:val="18"/>
          <w:rFonts w:hint="default" w:ascii="Times New Roman" w:hAnsi="Times New Roman" w:eastAsia="仿宋_GB2312" w:cs="Times New Roman"/>
          <w:b w:val="0"/>
          <w:bCs/>
          <w:spacing w:val="-4"/>
          <w:sz w:val="32"/>
          <w:szCs w:val="32"/>
          <w:lang w:eastAsia="zh-CN"/>
        </w:rPr>
        <w:t>委</w:t>
      </w:r>
      <w:r>
        <w:rPr>
          <w:rStyle w:val="18"/>
          <w:rFonts w:hint="default" w:ascii="Times New Roman" w:hAnsi="Times New Roman" w:eastAsia="仿宋_GB2312" w:cs="Times New Roman"/>
          <w:b w:val="0"/>
          <w:bCs/>
          <w:spacing w:val="-4"/>
          <w:sz w:val="32"/>
          <w:szCs w:val="32"/>
        </w:rPr>
        <w:t>绩效评价人员根据《项目支出绩效评价管理办法》（财预〔2020〕10号）文件精神认真学习相关要求与规定，成立绩效评价工作组，作为绩效评价工作具体实施机构。成员构成如下：</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张永亮任评价组组长，绩效评价工作职责为负责全盘工作</w:t>
      </w:r>
      <w:r>
        <w:rPr>
          <w:rStyle w:val="18"/>
          <w:rFonts w:hint="default" w:ascii="Times New Roman" w:hAnsi="Times New Roman" w:eastAsia="仿宋_GB2312" w:cs="Times New Roman"/>
          <w:b w:val="0"/>
          <w:bCs/>
          <w:spacing w:val="-4"/>
          <w:sz w:val="32"/>
          <w:szCs w:val="32"/>
          <w:lang w:eastAsia="zh-CN"/>
        </w:rPr>
        <w:t>；</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李永文任评价组副组长，绩效评价工作职责为对项目实施情况进行数据调度</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张萍萍任评价组成员，绩效评价工作职责为对项目数据进行处理、分析</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谭怡然任评价组成员，绩效评价工作职责为负责资料审核等工作。</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第二阶段：组织实施</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经评价组通过实地调研、查阅资料等方式，采用综合分析法对项目的决策、管理、绩效进行的综合评价分析。</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第三阶段：分析评价</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首先按照指标体系进行定量、定性分析。其次开展量化打分、综合评价工作，形成初步评价结论。最后归纳整体项目情况与存在问题，撰写绩效评价报告。</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第四阶段：撰写与提交评价报告</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项目撰写绩效评价报告，按照绩效系统中统一格式和文本框架撰写绩效评价报告。</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第五阶段：归集档案</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三、综合评价情况及评价结论</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（一）综合评价情况</w:t>
      </w:r>
      <w:r>
        <w:rPr>
          <w:rStyle w:val="18"/>
          <w:rFonts w:hint="default" w:ascii="Times New Roman" w:hAnsi="Times New Roman" w:eastAsia="楷体_GB2312" w:cs="Times New Roman"/>
          <w:b w:val="0"/>
          <w:bCs/>
          <w:spacing w:val="-4"/>
          <w:sz w:val="32"/>
          <w:szCs w:val="32"/>
        </w:rPr>
        <w:cr/>
      </w:r>
      <w:r>
        <w:rPr>
          <w:rStyle w:val="18"/>
          <w:rFonts w:hint="default" w:ascii="Times New Roman" w:hAnsi="Times New Roman" w:eastAsia="楷体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2023年自治区预算内投资项目总体组织规范，完成了2023年自治区预算内投资项目的工作目标，通过相关项目建成和投入使用，促进了基层民生改善，加强了基础和薄弱环节建设，加快了重点领域和重大项目建设，补齐我区经济社会发展短板和弱项，推动了我区经济健康发展。</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在项目决策方面，根据自治区安排部署及自治区“十四五”规划纲要等内容，安排自治区预算内投资（含前期费）项目，项目立项依据充分，立项程序规范。</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管理方面，2023年本项目预算安排140000万元，实际支出140000万元，预算执行率100%。项目资金使用合规，项目财务管理制度健全，财务监控到位，所有资金支付均按照国库集中支付制度严格执行，现有项目管理制度执行情况良好。</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项目产出方面：共支持197个项目（不含自治区财政部门统筹项目）。</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项目效益方面：充分发挥了政府投资的引导带动作用，促进了基层民生改善，加强了基础和薄弱环节建设，加快了重点领域和重大项目建设，推动了我区经济健康发展，推进实现总目标。</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楷体_GB2312" w:cs="Times New Roman"/>
          <w:b w:val="0"/>
          <w:bCs/>
          <w:spacing w:val="-4"/>
          <w:sz w:val="32"/>
          <w:szCs w:val="32"/>
        </w:rPr>
        <w:t>（二）综合评价结论</w:t>
      </w:r>
      <w:r>
        <w:rPr>
          <w:rStyle w:val="18"/>
          <w:rFonts w:hint="default" w:ascii="Times New Roman" w:hAnsi="Times New Roman" w:eastAsia="楷体_GB2312" w:cs="Times New Roman"/>
          <w:b w:val="0"/>
          <w:bCs/>
          <w:spacing w:val="-4"/>
          <w:sz w:val="32"/>
          <w:szCs w:val="32"/>
        </w:rPr>
        <w:cr/>
      </w:r>
      <w:r>
        <w:rPr>
          <w:rStyle w:val="18"/>
          <w:rFonts w:hint="default" w:ascii="Times New Roman" w:hAnsi="Times New Roman" w:eastAsia="楷体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运用项目组制定评价指标体系及财政部《项目支出绩效评价管理办法》（财预〔2020〕10号）文件评分标准进行评价，该项目最终评分95分，绩效评级为“优”，具体得分情况为：项目决策20分、项目过程20分、项目产出35分、项目效益20分。</w:t>
      </w:r>
    </w:p>
    <w:p>
      <w:pPr>
        <w:spacing w:line="540" w:lineRule="exact"/>
        <w:ind w:firstLine="640"/>
        <w:rPr>
          <w:rStyle w:val="18"/>
          <w:rFonts w:hint="default" w:ascii="Times New Roman" w:hAnsi="Times New Roman" w:eastAsia="黑体" w:cs="Times New Roman"/>
          <w:b w:val="0"/>
          <w:bCs/>
          <w:sz w:val="32"/>
          <w:szCs w:val="32"/>
        </w:rPr>
      </w:pPr>
      <w:r>
        <w:rPr>
          <w:rStyle w:val="18"/>
          <w:rFonts w:hint="default" w:ascii="Times New Roman" w:hAnsi="Times New Roman" w:eastAsia="黑体" w:cs="Times New Roman"/>
          <w:b w:val="0"/>
          <w:bCs/>
          <w:spacing w:val="-4"/>
          <w:sz w:val="32"/>
          <w:szCs w:val="32"/>
        </w:rPr>
        <w:t xml:space="preserve">四、绩效评价指标分析 </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（一）项目决策情况</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项目决策类指标包括项目立项、绩效目标和资金投入三方面的内容，由6个三级指标构成，权重分为20分，实际得分20分，得分率为100%。</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立项依据充分性：本项目立项符合国家法律法规，符合自治区党委、人民政府安排部署及自治区“十四五”相关规划，符合自治区发展改革委职责范围，符合《新疆维吾尔自治区预算内投资项目管理办法》《自治区预算内前期费管理办法》，旨在支持市场不能有效配置资源、需要政府支持的经济和社会领域，立项依据充分，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立项程序规范性：项目按照规定的程序申请设立，审批文件、材料符合相关要求，根据决策依据编制工作计划和经费预算，经集体决策、提交主任办公会研究确定最终投资下达方案，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（3）绩效目标合理性：绩效目标与实际工作内容具有相关性，预期产出效益和效果符合正常的业绩水平，且与预算确定的项目投资额或资金量相匹配，根据评分标准，该指标不扣分，得3分。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指标明确性：将项目绩效目标细化分解为具体的绩效指标，12个三级指标，9个定量指标，量化率75%通过清晰、可衡量的指标值予以体现，与项目目标任务数或计划数相对应，根据评分标准，该指标不扣分，得2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（5）预算编制科学性：预算编制经过科学论证，内容与项目内容匹配，项目投资额与工作任务相匹配，根据评分标准，该指标不扣分，得5分。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（6）资金分配合理性：资金分配额度合理，与项目单位和地方实际相适应，根据评分标准，该指标不扣分，得2分。</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（二）项目过程情况</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项目过程类指标包括资金管理和组织实施两方面的内容，由5个三级指标构成，权重分为20分，实际得分20分，得分率为100%。</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（1）资金到位率：财政资金足额拨付到位，资金到位率100%，根据评分标准，该指标不扣分，得2分。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（2）预算执行率：预算编制较为详细，项目资金支出总体能够按照预算执行，预算执行率100%，根据评分标准，该指标不扣分，得5分。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（3）资金使用合规性：经费使用符合《基本建设财务管理规定》，资金的拨付有完整的审批程序和手续，财务制度健全、执行严格，根据评分标准，该指标不扣分，得5分。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管理制度健全性：制定了《新疆维吾尔自治区预算内投资项目管理办法》《自治区预算内前期费管理办法》及发改委项目管理内控制度等相关管理制度，对财政专项资金进行严格管理，做到了专款专用，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制度执行有效性：项目执行严格遵守《新疆维吾尔自治区预算内投资项目管理办法》《自治区预算内前期费管理办法》及发改委投资项目管理内控制度，但部分项目资料不齐全，归档不及时，根据评分标准，该指标不扣分，得4分。</w:t>
      </w:r>
    </w:p>
    <w:p>
      <w:pPr>
        <w:spacing w:line="540" w:lineRule="exact"/>
        <w:ind w:firstLine="567"/>
        <w:rPr>
          <w:rStyle w:val="18"/>
          <w:rFonts w:hint="default" w:ascii="Times New Roman" w:hAnsi="Times New Roman" w:eastAsia="仿宋_GB2312" w:cs="Times New Roman"/>
          <w:b w:val="0"/>
          <w:bCs/>
          <w:spacing w:val="-4"/>
          <w:sz w:val="32"/>
          <w:szCs w:val="32"/>
          <w:lang w:eastAsia="zh-CN"/>
        </w:rPr>
      </w:pPr>
      <w:r>
        <w:rPr>
          <w:rStyle w:val="18"/>
          <w:rFonts w:hint="default" w:ascii="Times New Roman" w:hAnsi="Times New Roman" w:eastAsia="楷体_GB2312" w:cs="Times New Roman"/>
          <w:b w:val="0"/>
          <w:bCs/>
          <w:spacing w:val="-4"/>
          <w:sz w:val="32"/>
          <w:szCs w:val="32"/>
        </w:rPr>
        <w:t>（三）项目产出情况</w:t>
      </w:r>
      <w:r>
        <w:rPr>
          <w:rStyle w:val="18"/>
          <w:rFonts w:hint="default" w:ascii="Times New Roman" w:hAnsi="Times New Roman" w:eastAsia="楷体_GB2312" w:cs="Times New Roman"/>
          <w:b w:val="0"/>
          <w:bCs/>
          <w:spacing w:val="-4"/>
          <w:sz w:val="32"/>
          <w:szCs w:val="32"/>
        </w:rPr>
        <w:cr/>
      </w:r>
      <w:r>
        <w:rPr>
          <w:rStyle w:val="18"/>
          <w:rFonts w:hint="default" w:ascii="Times New Roman" w:hAnsi="Times New Roman" w:eastAsia="楷体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项目产出类指标包括产出数量、产出质量、产出成本</w:t>
      </w:r>
      <w:r>
        <w:rPr>
          <w:rStyle w:val="18"/>
          <w:rFonts w:hint="default" w:ascii="Times New Roman" w:hAnsi="Times New Roman" w:eastAsia="仿宋_GB2312" w:cs="Times New Roman"/>
          <w:b w:val="0"/>
          <w:bCs/>
          <w:spacing w:val="-4"/>
          <w:sz w:val="32"/>
          <w:szCs w:val="32"/>
          <w:lang w:eastAsia="zh-CN"/>
        </w:rPr>
        <w:t>三</w:t>
      </w:r>
      <w:r>
        <w:rPr>
          <w:rStyle w:val="18"/>
          <w:rFonts w:hint="default" w:ascii="Times New Roman" w:hAnsi="Times New Roman" w:eastAsia="仿宋_GB2312" w:cs="Times New Roman"/>
          <w:b w:val="0"/>
          <w:bCs/>
          <w:spacing w:val="-4"/>
          <w:sz w:val="32"/>
          <w:szCs w:val="32"/>
        </w:rPr>
        <w:t>方面的内容，由</w:t>
      </w:r>
      <w:r>
        <w:rPr>
          <w:rStyle w:val="18"/>
          <w:rFonts w:hint="default" w:ascii="Times New Roman" w:hAnsi="Times New Roman" w:eastAsia="仿宋_GB2312" w:cs="Times New Roman"/>
          <w:b w:val="0"/>
          <w:bCs/>
          <w:spacing w:val="-4"/>
          <w:sz w:val="32"/>
          <w:szCs w:val="32"/>
          <w:lang w:val="en-US" w:eastAsia="zh-CN"/>
        </w:rPr>
        <w:t>6</w:t>
      </w:r>
      <w:r>
        <w:rPr>
          <w:rStyle w:val="18"/>
          <w:rFonts w:hint="default" w:ascii="Times New Roman" w:hAnsi="Times New Roman" w:eastAsia="仿宋_GB2312" w:cs="Times New Roman"/>
          <w:b w:val="0"/>
          <w:bCs/>
          <w:spacing w:val="-4"/>
          <w:sz w:val="32"/>
          <w:szCs w:val="32"/>
        </w:rPr>
        <w:t>个三级指标构成，权重分为40分，实际得分</w:t>
      </w:r>
      <w:r>
        <w:rPr>
          <w:rStyle w:val="18"/>
          <w:rFonts w:hint="default" w:ascii="Times New Roman" w:hAnsi="Times New Roman" w:eastAsia="仿宋_GB2312" w:cs="Times New Roman"/>
          <w:b w:val="0"/>
          <w:bCs/>
          <w:spacing w:val="-4"/>
          <w:sz w:val="32"/>
          <w:szCs w:val="32"/>
          <w:lang w:val="en-US" w:eastAsia="zh-CN"/>
        </w:rPr>
        <w:t>38.07</w:t>
      </w:r>
      <w:r>
        <w:rPr>
          <w:rStyle w:val="18"/>
          <w:rFonts w:hint="default" w:ascii="Times New Roman" w:hAnsi="Times New Roman" w:eastAsia="仿宋_GB2312" w:cs="Times New Roman"/>
          <w:b w:val="0"/>
          <w:bCs/>
          <w:spacing w:val="-4"/>
          <w:sz w:val="32"/>
          <w:szCs w:val="32"/>
        </w:rPr>
        <w:t>分，得分率为</w:t>
      </w:r>
      <w:r>
        <w:rPr>
          <w:rStyle w:val="18"/>
          <w:rFonts w:hint="default" w:ascii="Times New Roman" w:hAnsi="Times New Roman" w:eastAsia="仿宋_GB2312" w:cs="Times New Roman"/>
          <w:b w:val="0"/>
          <w:bCs/>
          <w:spacing w:val="-4"/>
          <w:sz w:val="32"/>
          <w:szCs w:val="32"/>
          <w:lang w:val="en-US" w:eastAsia="zh-CN"/>
        </w:rPr>
        <w:t>95.18</w:t>
      </w:r>
      <w:r>
        <w:rPr>
          <w:rStyle w:val="18"/>
          <w:rFonts w:hint="default" w:ascii="Times New Roman" w:hAnsi="Times New Roman" w:eastAsia="仿宋_GB2312" w:cs="Times New Roman"/>
          <w:b w:val="0"/>
          <w:bCs/>
          <w:spacing w:val="-4"/>
          <w:sz w:val="32"/>
          <w:szCs w:val="32"/>
        </w:rPr>
        <w:t>%。</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（1）对于“产出数量”</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安排前期费项目覆盖地州数14</w:t>
      </w:r>
      <w:r>
        <w:rPr>
          <w:rStyle w:val="18"/>
          <w:rFonts w:hint="default" w:ascii="Times New Roman" w:hAnsi="Times New Roman" w:eastAsia="仿宋_GB2312" w:cs="Times New Roman"/>
          <w:b w:val="0"/>
          <w:bCs/>
          <w:spacing w:val="-4"/>
          <w:sz w:val="32"/>
          <w:szCs w:val="32"/>
          <w:lang w:eastAsia="zh-CN"/>
        </w:rPr>
        <w:t>个</w:t>
      </w:r>
      <w:r>
        <w:rPr>
          <w:rStyle w:val="18"/>
          <w:rFonts w:hint="default" w:ascii="Times New Roman" w:hAnsi="Times New Roman" w:eastAsia="仿宋_GB2312" w:cs="Times New Roman"/>
          <w:b w:val="0"/>
          <w:bCs/>
          <w:spacing w:val="-4"/>
          <w:sz w:val="32"/>
          <w:szCs w:val="32"/>
        </w:rPr>
        <w:t>，与预期目标一致，根据评分标准，该指标不扣分，得5分</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安排基建投资项目覆盖地州12</w:t>
      </w:r>
      <w:r>
        <w:rPr>
          <w:rStyle w:val="18"/>
          <w:rFonts w:hint="default" w:ascii="Times New Roman" w:hAnsi="Times New Roman" w:eastAsia="仿宋_GB2312" w:cs="Times New Roman"/>
          <w:b w:val="0"/>
          <w:bCs/>
          <w:spacing w:val="-4"/>
          <w:sz w:val="32"/>
          <w:szCs w:val="32"/>
          <w:lang w:eastAsia="zh-CN"/>
        </w:rPr>
        <w:t>个</w:t>
      </w:r>
      <w:r>
        <w:rPr>
          <w:rStyle w:val="18"/>
          <w:rFonts w:hint="default" w:ascii="Times New Roman" w:hAnsi="Times New Roman" w:eastAsia="仿宋_GB2312" w:cs="Times New Roman"/>
          <w:b w:val="0"/>
          <w:bCs/>
          <w:spacing w:val="-4"/>
          <w:sz w:val="32"/>
          <w:szCs w:val="32"/>
        </w:rPr>
        <w:t>,与预期目标一致，根据评分标准，该指标不扣分，得5分。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合计得10分。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（2）对于“产出质量”：</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项目均已下达的建设内容建设，与预期目标一致，根据评分标准，该指标不扣分，得5分</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当年完工项目工程质量合格率为100%，与预期目标一致，根据评分标准，该指标不扣分，得</w:t>
      </w:r>
      <w:r>
        <w:rPr>
          <w:rStyle w:val="18"/>
          <w:rFonts w:hint="default" w:ascii="Times New Roman" w:hAnsi="Times New Roman" w:eastAsia="仿宋_GB2312" w:cs="Times New Roman"/>
          <w:b w:val="0"/>
          <w:bCs/>
          <w:spacing w:val="-4"/>
          <w:sz w:val="32"/>
          <w:szCs w:val="32"/>
          <w:lang w:val="en-US" w:eastAsia="zh-CN"/>
        </w:rPr>
        <w:t>10</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截至2023年12月31日，根据各地、有关部门汇总数据，项目实际完成投资9.91亿元，项目投资完成率71%，超出70%的年度绩效目标任务，根据评分标准，该指标得</w:t>
      </w:r>
      <w:r>
        <w:rPr>
          <w:rStyle w:val="18"/>
          <w:rFonts w:hint="default" w:ascii="Times New Roman" w:hAnsi="Times New Roman" w:eastAsia="仿宋_GB2312" w:cs="Times New Roman"/>
          <w:b w:val="0"/>
          <w:bCs/>
          <w:spacing w:val="-4"/>
          <w:sz w:val="32"/>
          <w:szCs w:val="32"/>
          <w:lang w:val="en-US" w:eastAsia="zh-CN"/>
        </w:rPr>
        <w:t>10</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lang w:eastAsia="zh-CN"/>
        </w:rPr>
        <w:t>；</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截至2023年12月31日，根据各地、有关部门汇总数据，项目实际完成资金拨付7.72亿元，资金拨付率55%，未达到65%的年度绩效目标任务，根据评分标准，该指标得</w:t>
      </w:r>
      <w:r>
        <w:rPr>
          <w:rStyle w:val="18"/>
          <w:rFonts w:hint="default" w:ascii="Times New Roman" w:hAnsi="Times New Roman" w:eastAsia="仿宋_GB2312" w:cs="Times New Roman"/>
          <w:b w:val="0"/>
          <w:bCs/>
          <w:spacing w:val="-4"/>
          <w:sz w:val="32"/>
          <w:szCs w:val="32"/>
          <w:lang w:val="en-US" w:eastAsia="zh-CN"/>
        </w:rPr>
        <w:t>3.07</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w:t>
      </w:r>
      <w:r>
        <w:rPr>
          <w:rStyle w:val="18"/>
          <w:rFonts w:hint="default" w:ascii="Times New Roman" w:hAnsi="Times New Roman" w:eastAsia="仿宋_GB2312" w:cs="Times New Roman"/>
          <w:b w:val="0"/>
          <w:bCs/>
          <w:spacing w:val="-4"/>
          <w:sz w:val="32"/>
          <w:szCs w:val="32"/>
          <w:lang w:val="en-US" w:eastAsia="zh-CN"/>
        </w:rPr>
        <w:t>28.07</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（3）对于“产出时效”：</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无此项指标。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楷体_GB2312" w:cs="Times New Roman"/>
          <w:b w:val="0"/>
          <w:bCs/>
          <w:spacing w:val="-4"/>
          <w:sz w:val="32"/>
          <w:szCs w:val="32"/>
        </w:rPr>
        <w:t>（</w:t>
      </w:r>
      <w:r>
        <w:rPr>
          <w:rStyle w:val="18"/>
          <w:rFonts w:hint="default" w:ascii="Times New Roman" w:hAnsi="Times New Roman" w:eastAsia="楷体_GB2312" w:cs="Times New Roman"/>
          <w:b w:val="0"/>
          <w:bCs/>
          <w:spacing w:val="-4"/>
          <w:sz w:val="32"/>
          <w:szCs w:val="32"/>
          <w:lang w:eastAsia="zh-CN"/>
        </w:rPr>
        <w:t>四</w:t>
      </w:r>
      <w:r>
        <w:rPr>
          <w:rStyle w:val="18"/>
          <w:rFonts w:hint="default" w:ascii="Times New Roman" w:hAnsi="Times New Roman" w:eastAsia="楷体_GB2312" w:cs="Times New Roman"/>
          <w:b w:val="0"/>
          <w:bCs/>
          <w:spacing w:val="-4"/>
          <w:sz w:val="32"/>
          <w:szCs w:val="32"/>
        </w:rPr>
        <w:t>）项目</w:t>
      </w:r>
      <w:r>
        <w:rPr>
          <w:rStyle w:val="18"/>
          <w:rFonts w:hint="default" w:ascii="Times New Roman" w:hAnsi="Times New Roman" w:eastAsia="楷体_GB2312" w:cs="Times New Roman"/>
          <w:b w:val="0"/>
          <w:bCs/>
          <w:spacing w:val="-4"/>
          <w:sz w:val="32"/>
          <w:szCs w:val="32"/>
          <w:lang w:eastAsia="zh-CN"/>
        </w:rPr>
        <w:t>成本</w:t>
      </w:r>
      <w:r>
        <w:rPr>
          <w:rStyle w:val="18"/>
          <w:rFonts w:hint="default" w:ascii="Times New Roman" w:hAnsi="Times New Roman" w:eastAsia="楷体_GB2312" w:cs="Times New Roman"/>
          <w:b w:val="0"/>
          <w:bCs/>
          <w:spacing w:val="-4"/>
          <w:sz w:val="32"/>
          <w:szCs w:val="32"/>
        </w:rPr>
        <w:t>情况</w:t>
      </w:r>
      <w:r>
        <w:rPr>
          <w:rStyle w:val="18"/>
          <w:rFonts w:hint="default" w:ascii="Times New Roman" w:hAnsi="Times New Roman" w:eastAsia="楷体_GB2312" w:cs="Times New Roman"/>
          <w:b w:val="0"/>
          <w:bCs/>
          <w:spacing w:val="-4"/>
          <w:sz w:val="32"/>
          <w:szCs w:val="32"/>
        </w:rPr>
        <w:cr/>
      </w:r>
      <w:r>
        <w:rPr>
          <w:rStyle w:val="18"/>
          <w:rFonts w:hint="default" w:ascii="Times New Roman" w:hAnsi="Times New Roman" w:eastAsia="楷体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w:t>
      </w:r>
      <w:r>
        <w:rPr>
          <w:rStyle w:val="18"/>
          <w:rFonts w:hint="default" w:ascii="Times New Roman" w:hAnsi="Times New Roman" w:eastAsia="仿宋_GB2312" w:cs="Times New Roman"/>
          <w:b w:val="0"/>
          <w:bCs/>
          <w:spacing w:val="-4"/>
          <w:sz w:val="32"/>
          <w:szCs w:val="32"/>
          <w:lang w:eastAsia="zh-CN"/>
        </w:rPr>
        <w:t>成本</w:t>
      </w:r>
      <w:r>
        <w:rPr>
          <w:rStyle w:val="18"/>
          <w:rFonts w:hint="default" w:ascii="Times New Roman" w:hAnsi="Times New Roman" w:eastAsia="仿宋_GB2312" w:cs="Times New Roman"/>
          <w:b w:val="0"/>
          <w:bCs/>
          <w:spacing w:val="-4"/>
          <w:sz w:val="32"/>
          <w:szCs w:val="32"/>
        </w:rPr>
        <w:t>类指标包括</w:t>
      </w:r>
      <w:r>
        <w:rPr>
          <w:rStyle w:val="18"/>
          <w:rFonts w:hint="default" w:ascii="Times New Roman" w:hAnsi="Times New Roman" w:eastAsia="仿宋_GB2312" w:cs="Times New Roman"/>
          <w:b w:val="0"/>
          <w:bCs/>
          <w:spacing w:val="-4"/>
          <w:sz w:val="32"/>
          <w:szCs w:val="32"/>
          <w:lang w:eastAsia="zh-CN"/>
        </w:rPr>
        <w:t>经济成本指标</w:t>
      </w:r>
      <w:r>
        <w:rPr>
          <w:rStyle w:val="18"/>
          <w:rFonts w:hint="default" w:ascii="Times New Roman" w:hAnsi="Times New Roman" w:eastAsia="仿宋_GB2312" w:cs="Times New Roman"/>
          <w:b w:val="0"/>
          <w:bCs/>
          <w:spacing w:val="-4"/>
          <w:sz w:val="32"/>
          <w:szCs w:val="32"/>
        </w:rPr>
        <w:t>内容，由</w:t>
      </w:r>
      <w:r>
        <w:rPr>
          <w:rStyle w:val="18"/>
          <w:rFonts w:hint="default" w:ascii="Times New Roman" w:hAnsi="Times New Roman" w:eastAsia="仿宋_GB2312" w:cs="Times New Roman"/>
          <w:b w:val="0"/>
          <w:bCs/>
          <w:spacing w:val="-4"/>
          <w:sz w:val="32"/>
          <w:szCs w:val="32"/>
          <w:lang w:val="en-US" w:eastAsia="zh-CN"/>
        </w:rPr>
        <w:t>2</w:t>
      </w:r>
      <w:r>
        <w:rPr>
          <w:rStyle w:val="18"/>
          <w:rFonts w:hint="default" w:ascii="Times New Roman" w:hAnsi="Times New Roman" w:eastAsia="仿宋_GB2312" w:cs="Times New Roman"/>
          <w:b w:val="0"/>
          <w:bCs/>
          <w:spacing w:val="-4"/>
          <w:sz w:val="32"/>
          <w:szCs w:val="32"/>
        </w:rPr>
        <w:t>个三级指标构成，权重分为</w:t>
      </w:r>
      <w:r>
        <w:rPr>
          <w:rStyle w:val="18"/>
          <w:rFonts w:hint="default" w:ascii="Times New Roman" w:hAnsi="Times New Roman" w:eastAsia="仿宋_GB2312" w:cs="Times New Roman"/>
          <w:b w:val="0"/>
          <w:bCs/>
          <w:spacing w:val="-4"/>
          <w:sz w:val="32"/>
          <w:szCs w:val="32"/>
          <w:lang w:val="en-US" w:eastAsia="zh-CN"/>
        </w:rPr>
        <w:t>20</w:t>
      </w:r>
      <w:r>
        <w:rPr>
          <w:rStyle w:val="18"/>
          <w:rFonts w:hint="default" w:ascii="Times New Roman" w:hAnsi="Times New Roman" w:eastAsia="仿宋_GB2312" w:cs="Times New Roman"/>
          <w:b w:val="0"/>
          <w:bCs/>
          <w:spacing w:val="-4"/>
          <w:sz w:val="32"/>
          <w:szCs w:val="32"/>
        </w:rPr>
        <w:t>分，实际得分</w:t>
      </w:r>
      <w:r>
        <w:rPr>
          <w:rStyle w:val="18"/>
          <w:rFonts w:hint="default" w:ascii="Times New Roman" w:hAnsi="Times New Roman" w:eastAsia="仿宋_GB2312" w:cs="Times New Roman"/>
          <w:b w:val="0"/>
          <w:bCs/>
          <w:spacing w:val="-4"/>
          <w:sz w:val="32"/>
          <w:szCs w:val="32"/>
          <w:lang w:val="en-US" w:eastAsia="zh-CN"/>
        </w:rPr>
        <w:t>20</w:t>
      </w:r>
      <w:r>
        <w:rPr>
          <w:rStyle w:val="18"/>
          <w:rFonts w:hint="default" w:ascii="Times New Roman" w:hAnsi="Times New Roman" w:eastAsia="仿宋_GB2312" w:cs="Times New Roman"/>
          <w:b w:val="0"/>
          <w:bCs/>
          <w:spacing w:val="-4"/>
          <w:sz w:val="32"/>
          <w:szCs w:val="32"/>
        </w:rPr>
        <w:t>分，得分率为</w:t>
      </w:r>
      <w:r>
        <w:rPr>
          <w:rStyle w:val="18"/>
          <w:rFonts w:hint="default" w:ascii="Times New Roman" w:hAnsi="Times New Roman" w:eastAsia="仿宋_GB2312" w:cs="Times New Roman"/>
          <w:b w:val="0"/>
          <w:bCs/>
          <w:spacing w:val="-4"/>
          <w:sz w:val="32"/>
          <w:szCs w:val="32"/>
          <w:lang w:val="en-US" w:eastAsia="zh-CN"/>
        </w:rPr>
        <w:t>100</w:t>
      </w:r>
      <w:r>
        <w:rPr>
          <w:rStyle w:val="18"/>
          <w:rFonts w:hint="default" w:ascii="Times New Roman" w:hAnsi="Times New Roman" w:eastAsia="仿宋_GB2312" w:cs="Times New Roman"/>
          <w:b w:val="0"/>
          <w:bCs/>
          <w:spacing w:val="-4"/>
          <w:sz w:val="32"/>
          <w:szCs w:val="32"/>
        </w:rPr>
        <w:t>%。</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安排前期费65262万元，前期费下达比例为46.61%。符合预计绩效目标：前期费下达比例大于等于30%绩效目标。根据评分标准，该指标不扣分，得</w:t>
      </w:r>
      <w:r>
        <w:rPr>
          <w:rStyle w:val="18"/>
          <w:rFonts w:hint="default" w:ascii="Times New Roman" w:hAnsi="Times New Roman" w:eastAsia="仿宋_GB2312" w:cs="Times New Roman"/>
          <w:b w:val="0"/>
          <w:bCs/>
          <w:spacing w:val="-4"/>
          <w:sz w:val="32"/>
          <w:szCs w:val="32"/>
          <w:lang w:val="en-US" w:eastAsia="zh-CN"/>
        </w:rPr>
        <w:t>10</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安排基建投资72584万元,基建投资下达比例为53.38%。符合预计绩效目标：基建投资下达比例小于等于70%绩效目标。根据评分标准，该指标不扣分，得</w:t>
      </w:r>
      <w:r>
        <w:rPr>
          <w:rStyle w:val="18"/>
          <w:rFonts w:hint="default" w:ascii="Times New Roman" w:hAnsi="Times New Roman" w:eastAsia="仿宋_GB2312" w:cs="Times New Roman"/>
          <w:b w:val="0"/>
          <w:bCs/>
          <w:spacing w:val="-4"/>
          <w:sz w:val="32"/>
          <w:szCs w:val="32"/>
          <w:lang w:val="en-US" w:eastAsia="zh-CN"/>
        </w:rPr>
        <w:t>10</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w:t>
      </w:r>
      <w:r>
        <w:rPr>
          <w:rStyle w:val="18"/>
          <w:rFonts w:hint="default" w:ascii="Times New Roman" w:hAnsi="Times New Roman" w:eastAsia="仿宋_GB2312" w:cs="Times New Roman"/>
          <w:b w:val="0"/>
          <w:bCs/>
          <w:spacing w:val="-4"/>
          <w:sz w:val="32"/>
          <w:szCs w:val="32"/>
          <w:lang w:val="en-US" w:eastAsia="zh-CN"/>
        </w:rPr>
        <w:t>20</w:t>
      </w:r>
      <w:r>
        <w:rPr>
          <w:rStyle w:val="18"/>
          <w:rFonts w:hint="default" w:ascii="Times New Roman" w:hAnsi="Times New Roman" w:eastAsia="仿宋_GB2312" w:cs="Times New Roman"/>
          <w:b w:val="0"/>
          <w:bCs/>
          <w:spacing w:val="-4"/>
          <w:sz w:val="32"/>
          <w:szCs w:val="32"/>
        </w:rPr>
        <w:t>分。</w:t>
      </w:r>
    </w:p>
    <w:p>
      <w:pPr>
        <w:spacing w:line="540" w:lineRule="exact"/>
        <w:ind w:firstLine="564" w:firstLineChars="181"/>
        <w:rPr>
          <w:rFonts w:hint="default" w:ascii="Times New Roman" w:hAnsi="Times New Roman" w:eastAsia="楷体_GB2312" w:cs="Times New Roman"/>
          <w:b w:val="0"/>
          <w:bCs/>
          <w:spacing w:val="-4"/>
          <w:sz w:val="32"/>
          <w:szCs w:val="32"/>
        </w:rPr>
      </w:pPr>
      <w:r>
        <w:rPr>
          <w:rFonts w:hint="default" w:ascii="Times New Roman" w:hAnsi="Times New Roman" w:eastAsia="楷体_GB2312" w:cs="Times New Roman"/>
          <w:b w:val="0"/>
          <w:bCs/>
          <w:spacing w:val="-4"/>
          <w:sz w:val="32"/>
          <w:szCs w:val="32"/>
        </w:rPr>
        <w:t>（</w:t>
      </w:r>
      <w:r>
        <w:rPr>
          <w:rFonts w:hint="default" w:ascii="Times New Roman" w:hAnsi="Times New Roman" w:eastAsia="楷体_GB2312" w:cs="Times New Roman"/>
          <w:b w:val="0"/>
          <w:bCs/>
          <w:spacing w:val="-4"/>
          <w:sz w:val="32"/>
          <w:szCs w:val="32"/>
          <w:lang w:eastAsia="zh-CN"/>
        </w:rPr>
        <w:t>五</w:t>
      </w:r>
      <w:r>
        <w:rPr>
          <w:rFonts w:hint="default" w:ascii="Times New Roman" w:hAnsi="Times New Roman" w:eastAsia="楷体_GB2312" w:cs="Times New Roman"/>
          <w:b w:val="0"/>
          <w:bCs/>
          <w:spacing w:val="-4"/>
          <w:sz w:val="32"/>
          <w:szCs w:val="32"/>
        </w:rPr>
        <w:t>）项目效益情况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项目效益类指标包括项目效益</w:t>
      </w:r>
      <w:r>
        <w:rPr>
          <w:rStyle w:val="18"/>
          <w:rFonts w:hint="default" w:ascii="Times New Roman" w:hAnsi="Times New Roman" w:eastAsia="仿宋_GB2312" w:cs="Times New Roman"/>
          <w:b w:val="0"/>
          <w:bCs/>
          <w:spacing w:val="-4"/>
          <w:sz w:val="32"/>
          <w:szCs w:val="32"/>
          <w:lang w:val="en-US" w:eastAsia="zh-CN"/>
        </w:rPr>
        <w:t>3</w:t>
      </w:r>
      <w:r>
        <w:rPr>
          <w:rStyle w:val="18"/>
          <w:rFonts w:hint="default" w:ascii="Times New Roman" w:hAnsi="Times New Roman" w:eastAsia="仿宋_GB2312" w:cs="Times New Roman"/>
          <w:b w:val="0"/>
          <w:bCs/>
          <w:spacing w:val="-4"/>
          <w:sz w:val="32"/>
          <w:szCs w:val="32"/>
        </w:rPr>
        <w:t>个方面的内容，由</w:t>
      </w:r>
      <w:r>
        <w:rPr>
          <w:rStyle w:val="18"/>
          <w:rFonts w:hint="default" w:ascii="Times New Roman" w:hAnsi="Times New Roman" w:eastAsia="仿宋_GB2312" w:cs="Times New Roman"/>
          <w:b w:val="0"/>
          <w:bCs/>
          <w:spacing w:val="-4"/>
          <w:sz w:val="32"/>
          <w:szCs w:val="32"/>
          <w:lang w:val="en-US" w:eastAsia="zh-CN"/>
        </w:rPr>
        <w:t>3</w:t>
      </w:r>
      <w:r>
        <w:rPr>
          <w:rStyle w:val="18"/>
          <w:rFonts w:hint="default" w:ascii="Times New Roman" w:hAnsi="Times New Roman" w:eastAsia="仿宋_GB2312" w:cs="Times New Roman"/>
          <w:b w:val="0"/>
          <w:bCs/>
          <w:spacing w:val="-4"/>
          <w:sz w:val="32"/>
          <w:szCs w:val="32"/>
        </w:rPr>
        <w:t>个三级指标构成，权重分为20分，实际得分20分，得分率为100%。</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对于“经济效益指标”：补齐了当地短板和弱项，增强了可持续发展能力，与预期指标一致，根据评分标准，该指标不扣分，得</w:t>
      </w:r>
      <w:r>
        <w:rPr>
          <w:rStyle w:val="18"/>
          <w:rFonts w:hint="default" w:ascii="Times New Roman" w:hAnsi="Times New Roman" w:eastAsia="仿宋_GB2312" w:cs="Times New Roman"/>
          <w:b w:val="0"/>
          <w:bCs/>
          <w:spacing w:val="-4"/>
          <w:sz w:val="32"/>
          <w:szCs w:val="32"/>
          <w:lang w:val="en-US" w:eastAsia="zh-CN"/>
        </w:rPr>
        <w:t>10</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对于“社会效益指标”：有效促进基层民生改善、社会和谐稳定，与预期指标一致，根据评分标准，该指标不扣分，得</w:t>
      </w:r>
      <w:r>
        <w:rPr>
          <w:rStyle w:val="18"/>
          <w:rFonts w:hint="default" w:ascii="Times New Roman" w:hAnsi="Times New Roman" w:eastAsia="仿宋_GB2312" w:cs="Times New Roman"/>
          <w:b w:val="0"/>
          <w:bCs/>
          <w:spacing w:val="-4"/>
          <w:sz w:val="32"/>
          <w:szCs w:val="32"/>
          <w:lang w:val="en-US" w:eastAsia="zh-CN"/>
        </w:rPr>
        <w:t>5</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对于“社会效益指标”：有效提升公共服务，与预期指标一致，根据评分标准，该指标不扣分，得</w:t>
      </w:r>
      <w:r>
        <w:rPr>
          <w:rStyle w:val="18"/>
          <w:rFonts w:hint="default" w:ascii="Times New Roman" w:hAnsi="Times New Roman" w:eastAsia="仿宋_GB2312" w:cs="Times New Roman"/>
          <w:b w:val="0"/>
          <w:bCs/>
          <w:spacing w:val="-4"/>
          <w:sz w:val="32"/>
          <w:szCs w:val="32"/>
          <w:lang w:val="en-US" w:eastAsia="zh-CN"/>
        </w:rPr>
        <w:t>5</w:t>
      </w:r>
      <w:r>
        <w:rPr>
          <w:rStyle w:val="18"/>
          <w:rFonts w:hint="default" w:ascii="Times New Roman" w:hAnsi="Times New Roman" w:eastAsia="仿宋_GB2312" w:cs="Times New Roman"/>
          <w:b w:val="0"/>
          <w:bCs/>
          <w:spacing w:val="-4"/>
          <w:sz w:val="32"/>
          <w:szCs w:val="32"/>
        </w:rPr>
        <w:t>分。</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w:t>
      </w:r>
      <w:r>
        <w:rPr>
          <w:rStyle w:val="18"/>
          <w:rFonts w:hint="default" w:ascii="Times New Roman" w:hAnsi="Times New Roman" w:eastAsia="仿宋_GB2312" w:cs="Times New Roman"/>
          <w:b w:val="0"/>
          <w:bCs/>
          <w:spacing w:val="-4"/>
          <w:sz w:val="32"/>
          <w:szCs w:val="32"/>
          <w:lang w:val="en-US" w:eastAsia="zh-CN"/>
        </w:rPr>
        <w:t>20</w:t>
      </w:r>
      <w:r>
        <w:rPr>
          <w:rStyle w:val="18"/>
          <w:rFonts w:hint="default" w:ascii="Times New Roman" w:hAnsi="Times New Roman" w:eastAsia="仿宋_GB2312" w:cs="Times New Roman"/>
          <w:b w:val="0"/>
          <w:bCs/>
          <w:spacing w:val="-4"/>
          <w:sz w:val="32"/>
          <w:szCs w:val="32"/>
        </w:rPr>
        <w:t>分。</w:t>
      </w:r>
    </w:p>
    <w:p>
      <w:pPr>
        <w:spacing w:line="540" w:lineRule="exact"/>
        <w:ind w:firstLine="564" w:firstLineChars="181"/>
        <w:rPr>
          <w:rFonts w:hint="default" w:ascii="Times New Roman" w:hAnsi="Times New Roman" w:eastAsia="楷体_GB2312" w:cs="Times New Roman"/>
          <w:b w:val="0"/>
          <w:bCs/>
          <w:spacing w:val="-4"/>
          <w:sz w:val="32"/>
          <w:szCs w:val="32"/>
        </w:rPr>
      </w:pPr>
      <w:r>
        <w:rPr>
          <w:rFonts w:hint="default" w:ascii="Times New Roman" w:hAnsi="Times New Roman" w:eastAsia="楷体_GB2312" w:cs="Times New Roman"/>
          <w:b w:val="0"/>
          <w:bCs/>
          <w:spacing w:val="-4"/>
          <w:sz w:val="32"/>
          <w:szCs w:val="32"/>
        </w:rPr>
        <w:t>（</w:t>
      </w:r>
      <w:r>
        <w:rPr>
          <w:rFonts w:hint="default" w:ascii="Times New Roman" w:hAnsi="Times New Roman" w:eastAsia="楷体_GB2312" w:cs="Times New Roman"/>
          <w:b w:val="0"/>
          <w:bCs/>
          <w:spacing w:val="-4"/>
          <w:sz w:val="32"/>
          <w:szCs w:val="32"/>
          <w:lang w:eastAsia="zh-CN"/>
        </w:rPr>
        <w:t>六</w:t>
      </w:r>
      <w:r>
        <w:rPr>
          <w:rFonts w:hint="default" w:ascii="Times New Roman" w:hAnsi="Times New Roman" w:eastAsia="楷体_GB2312" w:cs="Times New Roman"/>
          <w:b w:val="0"/>
          <w:bCs/>
          <w:spacing w:val="-4"/>
          <w:sz w:val="32"/>
          <w:szCs w:val="32"/>
        </w:rPr>
        <w:t>）项目</w:t>
      </w:r>
      <w:r>
        <w:rPr>
          <w:rFonts w:hint="default" w:ascii="Times New Roman" w:hAnsi="Times New Roman" w:eastAsia="楷体_GB2312" w:cs="Times New Roman"/>
          <w:b w:val="0"/>
          <w:bCs/>
          <w:spacing w:val="-4"/>
          <w:sz w:val="32"/>
          <w:szCs w:val="32"/>
          <w:lang w:eastAsia="zh-CN"/>
        </w:rPr>
        <w:t>满意度</w:t>
      </w:r>
      <w:r>
        <w:rPr>
          <w:rFonts w:hint="default" w:ascii="Times New Roman" w:hAnsi="Times New Roman" w:eastAsia="楷体_GB2312" w:cs="Times New Roman"/>
          <w:b w:val="0"/>
          <w:bCs/>
          <w:spacing w:val="-4"/>
          <w:sz w:val="32"/>
          <w:szCs w:val="32"/>
        </w:rPr>
        <w:t>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项目效益类指标包括项目效益</w:t>
      </w:r>
      <w:r>
        <w:rPr>
          <w:rStyle w:val="18"/>
          <w:rFonts w:hint="default" w:ascii="Times New Roman" w:hAnsi="Times New Roman" w:eastAsia="仿宋_GB2312" w:cs="Times New Roman"/>
          <w:b w:val="0"/>
          <w:bCs/>
          <w:spacing w:val="-4"/>
          <w:sz w:val="32"/>
          <w:szCs w:val="32"/>
          <w:lang w:val="en-US" w:eastAsia="zh-CN"/>
        </w:rPr>
        <w:t>1</w:t>
      </w:r>
      <w:r>
        <w:rPr>
          <w:rStyle w:val="18"/>
          <w:rFonts w:hint="default" w:ascii="Times New Roman" w:hAnsi="Times New Roman" w:eastAsia="仿宋_GB2312" w:cs="Times New Roman"/>
          <w:b w:val="0"/>
          <w:bCs/>
          <w:spacing w:val="-4"/>
          <w:sz w:val="32"/>
          <w:szCs w:val="32"/>
        </w:rPr>
        <w:t>个方面的内容，由</w:t>
      </w:r>
      <w:r>
        <w:rPr>
          <w:rStyle w:val="18"/>
          <w:rFonts w:hint="default" w:ascii="Times New Roman" w:hAnsi="Times New Roman" w:eastAsia="仿宋_GB2312" w:cs="Times New Roman"/>
          <w:b w:val="0"/>
          <w:bCs/>
          <w:spacing w:val="-4"/>
          <w:sz w:val="32"/>
          <w:szCs w:val="32"/>
          <w:lang w:val="en-US" w:eastAsia="zh-CN"/>
        </w:rPr>
        <w:t>1</w:t>
      </w:r>
      <w:r>
        <w:rPr>
          <w:rStyle w:val="18"/>
          <w:rFonts w:hint="default" w:ascii="Times New Roman" w:hAnsi="Times New Roman" w:eastAsia="仿宋_GB2312" w:cs="Times New Roman"/>
          <w:b w:val="0"/>
          <w:bCs/>
          <w:spacing w:val="-4"/>
          <w:sz w:val="32"/>
          <w:szCs w:val="32"/>
        </w:rPr>
        <w:t>个三级指标构成，权重分为</w:t>
      </w:r>
      <w:r>
        <w:rPr>
          <w:rStyle w:val="18"/>
          <w:rFonts w:hint="default" w:ascii="Times New Roman" w:hAnsi="Times New Roman" w:eastAsia="仿宋_GB2312" w:cs="Times New Roman"/>
          <w:b w:val="0"/>
          <w:bCs/>
          <w:spacing w:val="-4"/>
          <w:sz w:val="32"/>
          <w:szCs w:val="32"/>
          <w:lang w:val="en-US" w:eastAsia="zh-CN"/>
        </w:rPr>
        <w:t>10</w:t>
      </w:r>
      <w:r>
        <w:rPr>
          <w:rStyle w:val="18"/>
          <w:rFonts w:hint="default" w:ascii="Times New Roman" w:hAnsi="Times New Roman" w:eastAsia="仿宋_GB2312" w:cs="Times New Roman"/>
          <w:b w:val="0"/>
          <w:bCs/>
          <w:spacing w:val="-4"/>
          <w:sz w:val="32"/>
          <w:szCs w:val="32"/>
        </w:rPr>
        <w:t>分，实际得分</w:t>
      </w:r>
      <w:r>
        <w:rPr>
          <w:rStyle w:val="18"/>
          <w:rFonts w:hint="default" w:ascii="Times New Roman" w:hAnsi="Times New Roman" w:eastAsia="仿宋_GB2312" w:cs="Times New Roman"/>
          <w:b w:val="0"/>
          <w:bCs/>
          <w:spacing w:val="-4"/>
          <w:sz w:val="32"/>
          <w:szCs w:val="32"/>
          <w:lang w:val="en-US" w:eastAsia="zh-CN"/>
        </w:rPr>
        <w:t>10</w:t>
      </w:r>
      <w:r>
        <w:rPr>
          <w:rStyle w:val="18"/>
          <w:rFonts w:hint="default" w:ascii="Times New Roman" w:hAnsi="Times New Roman" w:eastAsia="仿宋_GB2312" w:cs="Times New Roman"/>
          <w:b w:val="0"/>
          <w:bCs/>
          <w:spacing w:val="-4"/>
          <w:sz w:val="32"/>
          <w:szCs w:val="32"/>
        </w:rPr>
        <w:t>分，得分率为100%。</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对于“满意度指标：根据调查，满意度为</w:t>
      </w:r>
      <w:r>
        <w:rPr>
          <w:rStyle w:val="18"/>
          <w:rFonts w:hint="default" w:ascii="Times New Roman" w:hAnsi="Times New Roman" w:eastAsia="仿宋_GB2312" w:cs="Times New Roman"/>
          <w:b w:val="0"/>
          <w:bCs/>
          <w:spacing w:val="-4"/>
          <w:sz w:val="32"/>
          <w:szCs w:val="32"/>
          <w:lang w:val="en-US" w:eastAsia="zh-CN"/>
        </w:rPr>
        <w:t>90</w:t>
      </w:r>
      <w:r>
        <w:rPr>
          <w:rStyle w:val="18"/>
          <w:rFonts w:hint="default" w:ascii="Times New Roman" w:hAnsi="Times New Roman" w:eastAsia="仿宋_GB2312" w:cs="Times New Roman"/>
          <w:b w:val="0"/>
          <w:bCs/>
          <w:spacing w:val="-4"/>
          <w:sz w:val="32"/>
          <w:szCs w:val="32"/>
        </w:rPr>
        <w:t>%，根据评分标准，得10分。</w:t>
      </w:r>
    </w:p>
    <w:p>
      <w:pPr>
        <w:numPr>
          <w:ilvl w:val="0"/>
          <w:numId w:val="1"/>
        </w:num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主要经验及做法、存在的问题及原因分析</w:t>
      </w:r>
    </w:p>
    <w:p>
      <w:pPr>
        <w:numPr>
          <w:ilvl w:val="0"/>
          <w:numId w:val="0"/>
        </w:numPr>
        <w:spacing w:line="540" w:lineRule="exact"/>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val="en-US" w:eastAsia="zh-CN"/>
        </w:rPr>
        <w:t xml:space="preserve">    </w:t>
      </w:r>
      <w:r>
        <w:rPr>
          <w:rStyle w:val="18"/>
          <w:rFonts w:hint="default" w:ascii="Times New Roman" w:hAnsi="Times New Roman" w:eastAsia="楷体_GB2312" w:cs="Times New Roman"/>
          <w:b w:val="0"/>
          <w:bCs/>
          <w:spacing w:val="-4"/>
          <w:sz w:val="32"/>
          <w:szCs w:val="32"/>
          <w:lang w:eastAsia="zh-CN"/>
        </w:rPr>
        <w:t>（一）</w:t>
      </w:r>
      <w:r>
        <w:rPr>
          <w:rStyle w:val="18"/>
          <w:rFonts w:hint="default" w:ascii="Times New Roman" w:hAnsi="Times New Roman" w:eastAsia="楷体_GB2312" w:cs="Times New Roman"/>
          <w:b w:val="0"/>
          <w:bCs/>
          <w:spacing w:val="-4"/>
          <w:sz w:val="32"/>
          <w:szCs w:val="32"/>
        </w:rPr>
        <w:t>主要经验及做法</w:t>
      </w:r>
    </w:p>
    <w:p>
      <w:pPr>
        <w:spacing w:line="540" w:lineRule="exact"/>
        <w:ind w:firstLine="624"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是加大基础设施、民生等领域补短板力度，发挥投资对经济增长的关键作用，确保经济平稳健康发展。二是集中资金加快改善自治区基础设施条件，国家逐步加大对新疆的支持力度，基础设施建设仍面临部分项目没有补助投资渠道、地方配套资金无法落实等实际困难，我委在安排自治区预算内投资时，重点解决基础设施及民生项目资金短板问题，使项目建设更好体现以人民为中心的思想，更多地惠及各族群众。三是做好规划项目有序接力，规划编制和项目前期是推动项目建设的前期基础，规划研究和项目前期工作越深入，争取国家项目资金支持越主动。我委适当安排前期工作经费和重点规划课题研究，有利于做好自治区各行业政策、规划顶层设计，实现地方规划与国家规划的有序衔接，促进投资有效增长。</w:t>
      </w:r>
    </w:p>
    <w:p>
      <w:pPr>
        <w:spacing w:line="540" w:lineRule="exact"/>
        <w:ind w:firstLine="624" w:firstLineChars="20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楷体_GB2312" w:cs="Times New Roman"/>
          <w:b w:val="0"/>
          <w:bCs/>
          <w:spacing w:val="-4"/>
          <w:sz w:val="32"/>
          <w:szCs w:val="32"/>
        </w:rPr>
        <w:t>（二）存在问题及原因分析</w:t>
      </w:r>
      <w:r>
        <w:rPr>
          <w:rStyle w:val="18"/>
          <w:rFonts w:hint="default" w:ascii="Times New Roman" w:hAnsi="Times New Roman" w:eastAsia="楷体_GB2312" w:cs="Times New Roman"/>
          <w:b w:val="0"/>
          <w:bCs/>
          <w:spacing w:val="-4"/>
          <w:sz w:val="32"/>
          <w:szCs w:val="32"/>
        </w:rPr>
        <w:cr/>
      </w:r>
      <w:r>
        <w:rPr>
          <w:rStyle w:val="18"/>
          <w:rFonts w:hint="default" w:ascii="Times New Roman" w:hAnsi="Times New Roman" w:eastAsia="楷体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目前自治区本级及各地州县市建设项目多、任务重，由于我区经济发展相对滞后，各级财政资金十分紧张，可用于基础设施建设的资金极为有限，建设资金需求量非常大，而自治区预算内投资规模又十分有限，远远不能满足实际需求，还需要自治区财政进一步加大投入力度。</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黑体" w:cs="Times New Roman"/>
          <w:b w:val="0"/>
          <w:bCs/>
          <w:spacing w:val="-4"/>
          <w:sz w:val="32"/>
          <w:szCs w:val="32"/>
          <w:lang w:val="en-US" w:eastAsia="zh-CN"/>
        </w:rPr>
        <w:t xml:space="preserve">    </w:t>
      </w:r>
      <w:r>
        <w:rPr>
          <w:rStyle w:val="18"/>
          <w:rFonts w:hint="default" w:ascii="Times New Roman" w:hAnsi="Times New Roman" w:eastAsia="黑体" w:cs="Times New Roman"/>
          <w:b w:val="0"/>
          <w:bCs/>
          <w:spacing w:val="-4"/>
          <w:sz w:val="32"/>
          <w:szCs w:val="32"/>
          <w:lang w:eastAsia="zh-CN"/>
        </w:rPr>
        <w:t>六</w:t>
      </w:r>
      <w:r>
        <w:rPr>
          <w:rStyle w:val="18"/>
          <w:rFonts w:hint="default" w:ascii="Times New Roman" w:hAnsi="Times New Roman" w:eastAsia="黑体" w:cs="Times New Roman"/>
          <w:b w:val="0"/>
          <w:bCs/>
          <w:spacing w:val="-4"/>
          <w:sz w:val="32"/>
          <w:szCs w:val="32"/>
        </w:rPr>
        <w:t>、有关建议</w:t>
      </w:r>
    </w:p>
    <w:p>
      <w:pPr>
        <w:spacing w:line="540" w:lineRule="exact"/>
        <w:ind w:firstLine="624"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lang w:eastAsia="zh-CN"/>
        </w:rPr>
        <w:t>一是</w:t>
      </w:r>
      <w:r>
        <w:rPr>
          <w:rStyle w:val="18"/>
          <w:rFonts w:hint="default" w:ascii="Times New Roman" w:hAnsi="Times New Roman" w:eastAsia="仿宋_GB2312" w:cs="Times New Roman"/>
          <w:b w:val="0"/>
          <w:bCs/>
          <w:spacing w:val="-4"/>
          <w:sz w:val="32"/>
          <w:szCs w:val="32"/>
        </w:rPr>
        <w:t>根据自治区财力状况逐步增加自治区预算内投资规模，以发挥投资的引导带动作用，争取国家更多补助资金，带动相关领域项目建设，推动自治区经济社会高质量发展</w:t>
      </w:r>
      <w:r>
        <w:rPr>
          <w:rStyle w:val="18"/>
          <w:rFonts w:hint="default" w:ascii="Times New Roman" w:hAnsi="Times New Roman" w:eastAsia="仿宋_GB2312" w:cs="Times New Roman"/>
          <w:b w:val="0"/>
          <w:bCs/>
          <w:spacing w:val="-4"/>
          <w:sz w:val="32"/>
          <w:szCs w:val="32"/>
          <w:lang w:eastAsia="zh-CN"/>
        </w:rPr>
        <w:t>；二是</w:t>
      </w:r>
      <w:r>
        <w:rPr>
          <w:rStyle w:val="18"/>
          <w:rFonts w:hint="default" w:ascii="Times New Roman" w:hAnsi="Times New Roman" w:eastAsia="仿宋_GB2312" w:cs="Times New Roman"/>
          <w:b w:val="0"/>
          <w:bCs/>
          <w:spacing w:val="-4"/>
          <w:sz w:val="32"/>
          <w:szCs w:val="32"/>
        </w:rPr>
        <w:t>加强绩效管理重视程度，定期组织绩效管理培训</w:t>
      </w:r>
      <w:r>
        <w:rPr>
          <w:rStyle w:val="18"/>
          <w:rFonts w:hint="default" w:ascii="Times New Roman" w:hAnsi="Times New Roman" w:eastAsia="仿宋_GB2312" w:cs="Times New Roman"/>
          <w:b w:val="0"/>
          <w:bCs/>
          <w:spacing w:val="-4"/>
          <w:sz w:val="32"/>
          <w:szCs w:val="32"/>
          <w:lang w:eastAsia="zh-CN"/>
        </w:rPr>
        <w:t>；三是</w:t>
      </w:r>
      <w:r>
        <w:rPr>
          <w:rStyle w:val="18"/>
          <w:rFonts w:hint="default" w:ascii="Times New Roman" w:hAnsi="Times New Roman" w:eastAsia="仿宋_GB2312" w:cs="Times New Roman"/>
          <w:b w:val="0"/>
          <w:bCs/>
          <w:spacing w:val="-4"/>
          <w:sz w:val="32"/>
          <w:szCs w:val="32"/>
        </w:rPr>
        <w:t>及时下拨资金，履行主管部门监管职能，不断提高资金的使用绩效,对跨年度实施项目资金当年未支出完毕的，可以结转到第二年使用，确保项目顺利推进建设</w:t>
      </w:r>
      <w:r>
        <w:rPr>
          <w:rStyle w:val="18"/>
          <w:rFonts w:hint="default" w:ascii="Times New Roman" w:hAnsi="Times New Roman" w:eastAsia="仿宋_GB2312" w:cs="Times New Roman"/>
          <w:b w:val="0"/>
          <w:bCs/>
          <w:spacing w:val="-4"/>
          <w:sz w:val="32"/>
          <w:szCs w:val="32"/>
          <w:lang w:eastAsia="zh-CN"/>
        </w:rPr>
        <w:t>；四是</w:t>
      </w:r>
      <w:r>
        <w:rPr>
          <w:rStyle w:val="18"/>
          <w:rFonts w:hint="default" w:ascii="Times New Roman" w:hAnsi="Times New Roman" w:eastAsia="仿宋_GB2312" w:cs="Times New Roman"/>
          <w:b w:val="0"/>
          <w:bCs/>
          <w:spacing w:val="-4"/>
          <w:sz w:val="32"/>
          <w:szCs w:val="32"/>
        </w:rPr>
        <w:t>各项目单位严格执行项目调度和档案管理制度，每月将项目开工情况、投资完成情况、工程形象进度等数据报送我委对口处室，并做好项目审批、施工、采购、财务账目、合同签订等各环节文件归档整理。</w:t>
      </w:r>
    </w:p>
    <w:p>
      <w:pPr>
        <w:spacing w:line="540" w:lineRule="exact"/>
        <w:ind w:firstLine="567"/>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七</w:t>
      </w:r>
      <w:r>
        <w:rPr>
          <w:rStyle w:val="18"/>
          <w:rFonts w:hint="default" w:ascii="Times New Roman" w:hAnsi="Times New Roman" w:eastAsia="黑体" w:cs="Times New Roman"/>
          <w:b w:val="0"/>
          <w:bCs/>
          <w:spacing w:val="-4"/>
          <w:sz w:val="32"/>
          <w:szCs w:val="32"/>
        </w:rPr>
        <w:t>、其他需要说明的问题</w:t>
      </w:r>
    </w:p>
    <w:p>
      <w:pPr>
        <w:spacing w:line="540" w:lineRule="exact"/>
        <w:ind w:firstLine="624"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我</w:t>
      </w:r>
      <w:r>
        <w:rPr>
          <w:rStyle w:val="18"/>
          <w:rFonts w:hint="default" w:ascii="Times New Roman" w:hAnsi="Times New Roman" w:eastAsia="仿宋_GB2312" w:cs="Times New Roman"/>
          <w:b w:val="0"/>
          <w:bCs/>
          <w:spacing w:val="-4"/>
          <w:sz w:val="32"/>
          <w:szCs w:val="32"/>
          <w:lang w:eastAsia="zh-CN"/>
        </w:rPr>
        <w:t>委</w:t>
      </w:r>
      <w:r>
        <w:rPr>
          <w:rStyle w:val="18"/>
          <w:rFonts w:hint="default" w:ascii="Times New Roman" w:hAnsi="Times New Roman" w:eastAsia="仿宋_GB2312" w:cs="Times New Roman"/>
          <w:b w:val="0"/>
          <w:bCs/>
          <w:spacing w:val="-4"/>
          <w:sz w:val="32"/>
          <w:szCs w:val="32"/>
        </w:rPr>
        <w:t>对上述项目支出绩效评价报告内反映内容的真实性、完整性负责，接受上级部门及社会公众监督。</w:t>
      </w: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sectPr>
      <w:footerReference r:id="rId3" w:type="default"/>
      <w:pgSz w:w="11906" w:h="16838"/>
      <w:pgMar w:top="2098" w:right="1531" w:bottom="1928"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docPartObj>
                              <w:docPartGallery w:val="autotext"/>
                            </w:docPartObj>
                          </w:sdtPr>
                          <w:sdtEndPr>
                            <w:rPr>
                              <w:rFonts w:hint="eastAsia" w:asciiTheme="minorEastAsia" w:hAnsiTheme="minorEastAsia" w:eastAsiaTheme="minorEastAsia" w:cstheme="minorEastAsia"/>
                              <w:sz w:val="28"/>
                              <w:szCs w:val="28"/>
                            </w:rPr>
                          </w:sdtEndPr>
                          <w:sdtContent>
                            <w:p>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w:t>
                              </w:r>
                              <w:r>
                                <w:rPr>
                                  <w:rFonts w:hint="eastAsia" w:asciiTheme="minorEastAsia" w:hAnsiTheme="minorEastAsia" w:eastAsiaTheme="minorEastAsia" w:cstheme="minorEastAsia"/>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sdt>
                    <w:sdtPr>
                      <w:id w:val="422003363"/>
                      <w:docPartObj>
                        <w:docPartGallery w:val="autotext"/>
                      </w:docPartObj>
                    </w:sdtPr>
                    <w:sdtEndPr>
                      <w:rPr>
                        <w:rFonts w:hint="eastAsia" w:asciiTheme="minorEastAsia" w:hAnsiTheme="minorEastAsia" w:eastAsiaTheme="minorEastAsia" w:cstheme="minorEastAsia"/>
                        <w:sz w:val="28"/>
                        <w:szCs w:val="28"/>
                      </w:rPr>
                    </w:sdtEndPr>
                    <w:sdtContent>
                      <w:p>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w:t>
                        </w:r>
                        <w:r>
                          <w:rPr>
                            <w:rFonts w:hint="eastAsia" w:asciiTheme="minorEastAsia" w:hAnsiTheme="minorEastAsia" w:eastAsiaTheme="minorEastAsia" w:cstheme="minorEastAsia"/>
                            <w:sz w:val="28"/>
                            <w:szCs w:val="28"/>
                          </w:rPr>
                          <w:fldChar w:fldCharType="end"/>
                        </w:r>
                      </w:p>
                    </w:sdtContent>
                  </w:sdt>
                  <w:p/>
                </w:txbxContent>
              </v:textbox>
            </v:shape>
          </w:pict>
        </mc:Fallback>
      </mc:AlternateContent>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73736"/>
    <w:multiLevelType w:val="singleLevel"/>
    <w:tmpl w:val="AD37373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FFFA24F"/>
    <w:rsid w:val="4C3D1751"/>
    <w:rsid w:val="4D2606A1"/>
    <w:rsid w:val="4EFFB100"/>
    <w:rsid w:val="6FCA157E"/>
    <w:rsid w:val="6FE24736"/>
    <w:rsid w:val="7EEE8A76"/>
    <w:rsid w:val="7F77CB6B"/>
    <w:rsid w:val="A7F9735C"/>
    <w:rsid w:val="BFFE2F8D"/>
    <w:rsid w:val="DAF7C3A6"/>
    <w:rsid w:val="DCDE751E"/>
    <w:rsid w:val="DF33F921"/>
    <w:rsid w:val="FDFB8406"/>
    <w:rsid w:val="FDFE445D"/>
    <w:rsid w:val="FFFD4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113</Words>
  <Characters>648</Characters>
  <Lines>1</Lines>
  <Paragraphs>1</Paragraphs>
  <TotalTime>2</TotalTime>
  <ScaleCrop>false</ScaleCrop>
  <LinksUpToDate>false</LinksUpToDate>
  <CharactersWithSpaces>760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fgw</cp:lastModifiedBy>
  <cp:lastPrinted>2019-01-01T02:56:00Z</cp:lastPrinted>
  <dcterms:modified xsi:type="dcterms:W3CDTF">2024-08-02T20:49:52Z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