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b w:val="0"/>
          <w:bCs/>
          <w:kern w:val="0"/>
          <w:sz w:val="44"/>
          <w:szCs w:val="44"/>
        </w:rPr>
      </w:pPr>
      <w:r>
        <w:rPr>
          <w:rFonts w:hint="default" w:ascii="Times New Roman" w:hAnsi="Times New Roman" w:eastAsia="方正小标宋_GBK" w:cs="Times New Roman"/>
          <w:b w:val="0"/>
          <w:bCs/>
          <w:kern w:val="0"/>
          <w:sz w:val="44"/>
          <w:szCs w:val="44"/>
        </w:rPr>
        <w:t>自治区财政项目支出绩效自评报告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Style w:val="18"/>
          <w:rFonts w:hint="default" w:ascii="Times New Roman" w:hAnsi="Times New Roman" w:eastAsia="楷体" w:cs="Times New Roman"/>
          <w:spacing w:val="-4"/>
          <w:sz w:val="32"/>
          <w:szCs w:val="32"/>
        </w:rPr>
        <w:t>2023</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jc w:val="left"/>
        <w:rPr>
          <w:rFonts w:hint="default" w:ascii="Times New Roman" w:hAnsi="Times New Roman" w:cs="Times New Roman" w:eastAsiaTheme="minorEastAsia"/>
          <w:b w:val="0"/>
          <w:bCs w:val="0"/>
          <w:kern w:val="0"/>
          <w:sz w:val="28"/>
          <w:szCs w:val="28"/>
        </w:rPr>
      </w:pPr>
      <w:r>
        <w:rPr>
          <w:rFonts w:hint="default" w:ascii="Times New Roman" w:hAnsi="Times New Roman" w:cs="Times New Roman" w:eastAsiaTheme="minorEastAsia"/>
          <w:kern w:val="0"/>
          <w:sz w:val="32"/>
          <w:szCs w:val="32"/>
          <w:lang w:val="en-US" w:eastAsia="zh-CN"/>
        </w:rPr>
        <w:t xml:space="preserve">      </w:t>
      </w:r>
      <w:r>
        <w:rPr>
          <w:rFonts w:hint="default" w:ascii="Times New Roman" w:hAnsi="Times New Roman" w:cs="Times New Roman" w:eastAsiaTheme="minorEastAsia"/>
          <w:kern w:val="0"/>
          <w:sz w:val="28"/>
          <w:szCs w:val="28"/>
        </w:rPr>
        <w:t>项目名称：</w:t>
      </w:r>
      <w:r>
        <w:rPr>
          <w:rStyle w:val="18"/>
          <w:rFonts w:hint="default" w:ascii="Times New Roman" w:hAnsi="Times New Roman" w:cs="Times New Roman" w:eastAsiaTheme="minorEastAsia"/>
          <w:b w:val="0"/>
          <w:bCs w:val="0"/>
          <w:spacing w:val="-4"/>
          <w:sz w:val="28"/>
          <w:szCs w:val="28"/>
        </w:rPr>
        <w:t>2023年自治区全社会节能减排专项资金</w:t>
      </w:r>
    </w:p>
    <w:p>
      <w:pPr>
        <w:spacing w:line="540" w:lineRule="exact"/>
        <w:rPr>
          <w:rFonts w:hint="default" w:ascii="Times New Roman" w:hAnsi="Times New Roman" w:cs="Times New Roman" w:eastAsiaTheme="minorEastAsia"/>
          <w:b w:val="0"/>
          <w:bCs w:val="0"/>
          <w:spacing w:val="-4"/>
          <w:sz w:val="28"/>
          <w:szCs w:val="28"/>
        </w:rPr>
      </w:pPr>
      <w:r>
        <w:rPr>
          <w:rFonts w:hint="default" w:ascii="Times New Roman" w:hAnsi="Times New Roman" w:cs="Times New Roman" w:eastAsiaTheme="minorEastAsia"/>
          <w:kern w:val="0"/>
          <w:sz w:val="28"/>
          <w:szCs w:val="28"/>
          <w:lang w:val="en-US" w:eastAsia="zh-CN"/>
        </w:rPr>
        <w:t xml:space="preserve">      </w:t>
      </w:r>
      <w:r>
        <w:rPr>
          <w:rFonts w:hint="default" w:ascii="Times New Roman" w:hAnsi="Times New Roman" w:cs="Times New Roman" w:eastAsiaTheme="minorEastAsia"/>
          <w:kern w:val="0"/>
          <w:sz w:val="28"/>
          <w:szCs w:val="28"/>
        </w:rPr>
        <w:t>实施单位（公章）：</w:t>
      </w:r>
      <w:r>
        <w:rPr>
          <w:rStyle w:val="18"/>
          <w:rFonts w:hint="default" w:ascii="Times New Roman" w:hAnsi="Times New Roman" w:cs="Times New Roman" w:eastAsiaTheme="minorEastAsia"/>
          <w:b w:val="0"/>
          <w:bCs w:val="0"/>
          <w:spacing w:val="-4"/>
          <w:sz w:val="28"/>
          <w:szCs w:val="28"/>
        </w:rPr>
        <w:t>新疆维吾尔自治区发展和改革委员会（</w:t>
      </w:r>
      <w:r>
        <w:rPr>
          <w:rStyle w:val="18"/>
          <w:rFonts w:hint="default" w:ascii="Times New Roman" w:hAnsi="Times New Roman" w:cs="Times New Roman" w:eastAsiaTheme="minorEastAsia"/>
          <w:b w:val="0"/>
          <w:bCs w:val="0"/>
          <w:spacing w:val="-4"/>
          <w:sz w:val="28"/>
          <w:szCs w:val="28"/>
          <w:lang w:eastAsia="zh-CN"/>
        </w:rPr>
        <w:t>本级</w:t>
      </w:r>
      <w:r>
        <w:rPr>
          <w:rStyle w:val="18"/>
          <w:rFonts w:hint="default" w:ascii="Times New Roman" w:hAnsi="Times New Roman" w:cs="Times New Roman" w:eastAsiaTheme="minorEastAsia"/>
          <w:b w:val="0"/>
          <w:bCs w:val="0"/>
          <w:spacing w:val="-4"/>
          <w:sz w:val="28"/>
          <w:szCs w:val="28"/>
        </w:rPr>
        <w:t>）</w:t>
      </w:r>
    </w:p>
    <w:p>
      <w:pPr>
        <w:spacing w:line="540" w:lineRule="exact"/>
        <w:rPr>
          <w:rFonts w:hint="default" w:ascii="Times New Roman" w:hAnsi="Times New Roman" w:cs="Times New Roman" w:eastAsiaTheme="minorEastAsia"/>
          <w:b w:val="0"/>
          <w:bCs w:val="0"/>
          <w:spacing w:val="-4"/>
          <w:sz w:val="28"/>
          <w:szCs w:val="28"/>
        </w:rPr>
      </w:pPr>
      <w:r>
        <w:rPr>
          <w:rFonts w:hint="default" w:ascii="Times New Roman" w:hAnsi="Times New Roman" w:cs="Times New Roman" w:eastAsiaTheme="minorEastAsia"/>
          <w:kern w:val="0"/>
          <w:sz w:val="28"/>
          <w:szCs w:val="28"/>
          <w:lang w:val="en-US" w:eastAsia="zh-CN"/>
        </w:rPr>
        <w:t xml:space="preserve">      </w:t>
      </w:r>
      <w:r>
        <w:rPr>
          <w:rFonts w:hint="default" w:ascii="Times New Roman" w:hAnsi="Times New Roman" w:cs="Times New Roman" w:eastAsiaTheme="minorEastAsia"/>
          <w:kern w:val="0"/>
          <w:sz w:val="28"/>
          <w:szCs w:val="28"/>
        </w:rPr>
        <w:t>主管部门（公章）：</w:t>
      </w:r>
      <w:r>
        <w:rPr>
          <w:rStyle w:val="18"/>
          <w:rFonts w:hint="default" w:ascii="Times New Roman" w:hAnsi="Times New Roman" w:cs="Times New Roman" w:eastAsiaTheme="minorEastAsia"/>
          <w:b w:val="0"/>
          <w:bCs w:val="0"/>
          <w:spacing w:val="-4"/>
          <w:sz w:val="28"/>
          <w:szCs w:val="28"/>
        </w:rPr>
        <w:t>新疆维吾尔自治区发展和改革委员会</w:t>
      </w:r>
    </w:p>
    <w:p>
      <w:pPr>
        <w:spacing w:line="540" w:lineRule="exact"/>
        <w:rPr>
          <w:rFonts w:hint="default" w:ascii="Times New Roman" w:hAnsi="Times New Roman" w:cs="Times New Roman" w:eastAsiaTheme="minorEastAsia"/>
          <w:b w:val="0"/>
          <w:bCs w:val="0"/>
          <w:spacing w:val="-4"/>
          <w:sz w:val="28"/>
          <w:szCs w:val="28"/>
        </w:rPr>
      </w:pPr>
      <w:r>
        <w:rPr>
          <w:rFonts w:hint="default" w:ascii="Times New Roman" w:hAnsi="Times New Roman" w:cs="Times New Roman" w:eastAsiaTheme="minorEastAsia"/>
          <w:kern w:val="0"/>
          <w:sz w:val="28"/>
          <w:szCs w:val="28"/>
          <w:lang w:val="en-US" w:eastAsia="zh-CN"/>
        </w:rPr>
        <w:t xml:space="preserve">      </w:t>
      </w:r>
      <w:r>
        <w:rPr>
          <w:rFonts w:hint="default" w:ascii="Times New Roman" w:hAnsi="Times New Roman" w:cs="Times New Roman" w:eastAsiaTheme="minorEastAsia"/>
          <w:kern w:val="0"/>
          <w:sz w:val="28"/>
          <w:szCs w:val="28"/>
        </w:rPr>
        <w:t>项目负责人（签章）：</w:t>
      </w:r>
      <w:r>
        <w:rPr>
          <w:rStyle w:val="18"/>
          <w:rFonts w:hint="default" w:ascii="Times New Roman" w:hAnsi="Times New Roman" w:cs="Times New Roman" w:eastAsiaTheme="minorEastAsia"/>
          <w:b w:val="0"/>
          <w:bCs w:val="0"/>
          <w:spacing w:val="-4"/>
          <w:sz w:val="28"/>
          <w:szCs w:val="28"/>
        </w:rPr>
        <w:t>徐忠</w:t>
      </w:r>
    </w:p>
    <w:p>
      <w:pPr>
        <w:spacing w:line="540" w:lineRule="exact"/>
        <w:rPr>
          <w:rStyle w:val="18"/>
          <w:rFonts w:hint="default" w:ascii="Times New Roman" w:hAnsi="Times New Roman" w:cs="Times New Roman" w:eastAsiaTheme="minorEastAsia"/>
          <w:spacing w:val="-4"/>
          <w:sz w:val="28"/>
          <w:szCs w:val="28"/>
        </w:rPr>
      </w:pPr>
      <w:r>
        <w:rPr>
          <w:rFonts w:hint="default" w:ascii="Times New Roman" w:hAnsi="Times New Roman" w:cs="Times New Roman" w:eastAsiaTheme="minorEastAsia"/>
          <w:kern w:val="0"/>
          <w:sz w:val="28"/>
          <w:szCs w:val="28"/>
          <w:lang w:val="en-US" w:eastAsia="zh-CN"/>
        </w:rPr>
        <w:t xml:space="preserve">      </w:t>
      </w:r>
      <w:r>
        <w:rPr>
          <w:rFonts w:hint="default" w:ascii="Times New Roman" w:hAnsi="Times New Roman" w:cs="Times New Roman" w:eastAsiaTheme="minorEastAsia"/>
          <w:kern w:val="0"/>
          <w:sz w:val="28"/>
          <w:szCs w:val="28"/>
        </w:rPr>
        <w:t>填报时间：</w:t>
      </w:r>
      <w:r>
        <w:rPr>
          <w:rStyle w:val="18"/>
          <w:rFonts w:hint="default" w:ascii="Times New Roman" w:hAnsi="Times New Roman" w:cs="Times New Roman" w:eastAsiaTheme="minorEastAsia"/>
          <w:b w:val="0"/>
          <w:bCs w:val="0"/>
          <w:spacing w:val="-4"/>
          <w:sz w:val="28"/>
          <w:szCs w:val="28"/>
        </w:rPr>
        <w:t>2024年03月13日</w:t>
      </w:r>
    </w:p>
    <w:p>
      <w:pPr>
        <w:spacing w:line="700" w:lineRule="exact"/>
        <w:ind w:firstLine="708" w:firstLineChars="236"/>
        <w:jc w:val="left"/>
        <w:rPr>
          <w:rFonts w:hint="default" w:ascii="Times New Roman" w:hAnsi="Times New Roman" w:eastAsia="仿宋_GB2312" w:cs="Times New Roman"/>
          <w:kern w:val="0"/>
          <w:sz w:val="30"/>
          <w:szCs w:val="30"/>
        </w:rPr>
      </w:pPr>
    </w:p>
    <w:p>
      <w:pPr>
        <w:spacing w:line="540" w:lineRule="exact"/>
        <w:rPr>
          <w:rStyle w:val="18"/>
          <w:rFonts w:hint="default" w:ascii="Times New Roman" w:hAnsi="Times New Roman" w:eastAsia="黑体" w:cs="Times New Roman"/>
          <w:b w:val="0"/>
          <w:spacing w:val="-4"/>
          <w:sz w:val="32"/>
          <w:szCs w:val="32"/>
        </w:rPr>
      </w:pPr>
    </w:p>
    <w:p>
      <w:pPr>
        <w:spacing w:line="540" w:lineRule="exact"/>
        <w:ind w:firstLine="640"/>
        <w:rPr>
          <w:rStyle w:val="18"/>
          <w:rFonts w:hint="default" w:ascii="Times New Roman" w:hAnsi="Times New Roman" w:eastAsia="黑体" w:cs="Times New Roman"/>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bCs/>
          <w:spacing w:val="-4"/>
          <w:sz w:val="32"/>
          <w:szCs w:val="32"/>
        </w:rPr>
        <w:sectPr>
          <w:pgSz w:w="11906" w:h="16838"/>
          <w:pgMar w:top="2098" w:right="1531" w:bottom="1928" w:left="1531" w:header="851" w:footer="992" w:gutter="0"/>
          <w:pgNumType w:fmt="numberInDash"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spacing w:val="-4"/>
          <w:sz w:val="32"/>
          <w:szCs w:val="32"/>
        </w:rPr>
        <w:t>1.项目背景</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遵循财政部《项目支出绩效评价管理办法》（财预〔2020〕10号）和自治区财政厅《自治区财政支出绩效评价管理暂行办法》（新财预〔2018〕189号）《中华人民共和国节约能源法》、《新疆维吾尔自治区实施〈中华人民共和国节约能源法〉办法》和《新疆维吾尔自治区节能减排专项资金管理暂行办法》等相关政策文件与规定，按照自治区党委、人民政府关于碳达峰碳中和节能减排重点工作部署，结合年度投资重点、资金支持规模以及项目申请情况，会同有关部门做好统筹协调安排节能减排项目，申请财政拨付自治区全社会节能减排专项资金4500万元。</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2.主要内容及实施情况</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本项目主要建设内容：委托开展促进新疆绿电消纳的对策措施研究、新疆重点产业能效对标研究、固定资产节能审查评审、自治区重点用能单位用能预算管理课题研究，开展自治区重点用能单位节能诊断、重点用能单位能源利用动态管理信息系统升级维护、节能宣传周项目，开展重点用能企业节能监察；支持温泉县博格达尔镇清洁能源(地热供暖工程)项目，支持新疆公路基础</w:t>
      </w:r>
      <w:r>
        <w:rPr>
          <w:rStyle w:val="18"/>
          <w:rFonts w:hint="default" w:ascii="Times New Roman" w:hAnsi="Times New Roman" w:eastAsia="仿宋_GB2312" w:cs="Times New Roman"/>
          <w:b w:val="0"/>
          <w:bCs w:val="0"/>
          <w:spacing w:val="-4"/>
          <w:sz w:val="32"/>
          <w:szCs w:val="32"/>
        </w:rPr>
        <w:t>设施碳排放核算方法标准体系研究；支持自治区迎宾馆等8个公共机构开展节能改造，对4个公共机构绿色食堂改造示范项目进行奖补，委托开展公共机构碳普惠体系课题研究及应用、完成公共机构合同能源奖补项目；加强能源统计能力建设，支持新疆能耗数据在线监测平台系统维护与能效对标、新疆重点领域节能降碳标准体系构建及标准研究与应用，支持6个CCUS（二氧化碳捕集利用）示范工程项目。</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项目实施情况：已委托开展促进新疆绿电消纳的对策措施研究、新疆重点产业能效对标研究、固定资产节能审查评审、自治区重点用能单位用能预算管理课题研究；完成自治区重点用能单位节能诊断、重点用能单位能源利用动态管理信息系统升级维护、节能宣传周项目，开展重点用能企业节能监察；温泉县博格达尔镇清洁能源(地热供暖工程)项目正在有序推进，《公路建设期碳排放计算方法》已立项，地方标准初稿已编制完成，并经过第一次专家评审；成自治区迎宾馆等8个公共机构开展节能改造，对4个公共机构绿色食堂改造示范项目进行奖补，搭建完成公共机构碳普惠平台，对已实施公共机构合同能源管理项目进行奖补；加强能源统计能力建设，完成新疆能耗数据在线监测平台系统维护与能效对标项目；初步构建涵盖工业、能源、建筑、交通、公共机构等5个重点领域的节能降碳标准体系框架，发布节能降碳相关标准3项；6个CCUS（二氧化碳捕集利用）示范工程项目正在有序推进。</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3.项目实施主体</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本项目实施主体为自治区发展改革委、机关事务管理局、交通运输厅、住房城乡建设厅、市场监管局、统计局等自治区相关领域及行业节能减排管理部门和各地、州、市发展改革委。</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4.资金投入和使用情况</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根据《自治区节能减排专项资金暂行管理办法》预算安排资金4500万元，截至目前，自治区全社会节能减排资金计划实际下达4500万元，实际执行4500万元，预算执行率100%。</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楷体_GB2312" w:cs="Times New Roman"/>
          <w:b w:val="0"/>
          <w:bCs w:val="0"/>
          <w:spacing w:val="-4"/>
          <w:sz w:val="32"/>
          <w:szCs w:val="32"/>
        </w:rPr>
      </w:pPr>
      <w:r>
        <w:rPr>
          <w:rStyle w:val="18"/>
          <w:rFonts w:hint="default" w:ascii="Times New Roman" w:hAnsi="Times New Roman" w:eastAsia="楷体_GB2312" w:cs="Times New Roman"/>
          <w:b w:val="0"/>
          <w:bCs w:val="0"/>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1.项目绩效总目标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通过实施节能降碳示范、节能能力建设等项目，加强节能降碳政策体系和标准研究，加快降碳技术推广应用，不断提高能源利用效率，提升节能管理水平，促进绿色低碳高质量发展，助力实现碳达峰、碳中和。</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2.阶段性目标</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前期准备：项目实施前期按照自治区党委、政府关于碳达峰碳中和以及节能工作部署，根据年度重点工作和自治区节能减排专项资金管理相关要求，研究提出了年度节能减排专项资金建议方案，制定了申报指南，会同自治区财政厅组织相关单位和地州发展改革委开展项目申报工作，经筛选复核拟定2023年度全社会节能减排专项资金项目建议计划。</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组织实施：督促各项目单位严格落实投资计划执行和项目管理的主体责任，严格按投资计划组织实施，及时准确上报进度数据和信息，自觉接受各级监管部门监督检查。在资金管理方面，项目资金到位足额及时，及时支付，资金使用符合国家法规和财务管理制度，不存在截留、挤占、挪用、虚列支出等情况。项目支出手续完备，项目资料齐全并及时归档。同时注重建立长效机制，着眼项目长期效益的发挥。</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bCs w:val="0"/>
          <w:spacing w:val="-4"/>
          <w:sz w:val="32"/>
          <w:szCs w:val="32"/>
        </w:rPr>
      </w:pPr>
      <w:r>
        <w:rPr>
          <w:rStyle w:val="18"/>
          <w:rFonts w:hint="default" w:ascii="Times New Roman" w:hAnsi="Times New Roman" w:eastAsia="黑体" w:cs="Times New Roman"/>
          <w:b w:val="0"/>
          <w:bCs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楷体_GB2312" w:cs="Times New Roman"/>
          <w:b w:val="0"/>
          <w:bCs w:val="0"/>
          <w:spacing w:val="-4"/>
          <w:sz w:val="32"/>
          <w:szCs w:val="32"/>
        </w:rPr>
      </w:pPr>
      <w:r>
        <w:rPr>
          <w:rStyle w:val="18"/>
          <w:rFonts w:hint="default" w:ascii="Times New Roman" w:hAnsi="Times New Roman" w:eastAsia="楷体_GB2312" w:cs="Times New Roman"/>
          <w:b w:val="0"/>
          <w:bCs w:val="0"/>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1.绩效评价目的</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2.绩效评价对象</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次绩效评价遵循财政部《项目支出绩效评价管理办法》（财预〔2020〕10号）和自治区财政厅《自治区财政支出绩效评价管理暂行办法》（新财预〔2018〕189号）等相关政策文件与规定，以2023年全社会节能减排专项资金项目支出为对象所对应的预算资金，以项目实施所带来的产出和效果为主要内容，以促进预算单位完成特定工作任务目标所组织开展的绩效评价。</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3.绩效评价范围</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楷体_GB2312" w:cs="Times New Roman"/>
          <w:b w:val="0"/>
          <w:bCs w:val="0"/>
          <w:spacing w:val="-4"/>
          <w:sz w:val="32"/>
          <w:szCs w:val="32"/>
        </w:rPr>
      </w:pPr>
      <w:r>
        <w:rPr>
          <w:rStyle w:val="18"/>
          <w:rFonts w:hint="default" w:ascii="Times New Roman" w:hAnsi="Times New Roman" w:eastAsia="楷体_GB2312" w:cs="Times New Roman"/>
          <w:b w:val="0"/>
          <w:bCs w:val="0"/>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1.绩效评价原则</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本次绩效评价遵循的原则包括：</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（1）科学公正。绩效评价运用科学合理的方法，按照规范的程序，对项目绩效进行客观、公正的反映。</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（2）统筹兼顾。组织相关单位开展自评，单位自评的基础上开展部门评价。</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（3）激励约束。将绩效评价结果与预算安排、政策调整、改进管理实质性挂钩，体现奖优罚劣和激励相容导向。</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2.绩效评价指标体系</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绩效评价指标体系根据《预算绩效评价共性指标体系框架》（财预〔2013〕53号）</w:t>
      </w:r>
      <w:r>
        <w:rPr>
          <w:rStyle w:val="18"/>
          <w:rFonts w:hint="default" w:ascii="Times New Roman" w:hAnsi="Times New Roman"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t>《自治区党委 自治区人民政府关于全面实施预算绩效管理的实施意见》（新党发〔2018〕30号）</w:t>
      </w:r>
      <w:r>
        <w:rPr>
          <w:rStyle w:val="18"/>
          <w:rFonts w:hint="default" w:ascii="Times New Roman" w:hAnsi="Times New Roman"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t>《关于印发&lt;项目支出绩效评价管理办法&gt;的通知》（财预﹝2020﹞10号）等文件精神，结合专项特点，评价工作组细化项目的绩效评价指标体系：</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一级指标为：决策、过程、产出、效益。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二级指标为：项目立项、绩效目标、资金投入、资金管理、组织实施、产出数量、产出质量、产出时效、产出成本、项目效益。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3.绩效评价方法</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次评价采用定量与定性评价相结合的比较法，通过整理本项目相关资料和数据，评价数量指标的完成情况；通过分析项目的实施情况与绩效目标实现情况，评价项目实施的效果；通过分析项目资金使用情况及产生的效果，评价预算资金分配的合理性。总分由各项指标得分汇总形成。</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4.绩效评价标准</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项目评价指标体系的评价标准按照计划标准、行业标准、历史标准等制定。对于定性指标，通过阶段性评价总结，采集相关数据，运用等级描述法，设置分级标准，体现该指标认可程度的差异。对于定量指标，通过公式等方式予以量化，可以准确衡量，并设定目标值的考核指标。</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楷体_GB2312" w:cs="Times New Roman"/>
          <w:b w:val="0"/>
          <w:bCs w:val="0"/>
          <w:spacing w:val="-4"/>
          <w:sz w:val="32"/>
          <w:szCs w:val="32"/>
        </w:rPr>
      </w:pPr>
      <w:r>
        <w:rPr>
          <w:rStyle w:val="18"/>
          <w:rFonts w:hint="default" w:ascii="Times New Roman" w:hAnsi="Times New Roman" w:eastAsia="楷体_GB2312" w:cs="Times New Roman"/>
          <w:b w:val="0"/>
          <w:bCs w:val="0"/>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第一阶段：前期准备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我</w:t>
      </w:r>
      <w:r>
        <w:rPr>
          <w:rStyle w:val="18"/>
          <w:rFonts w:hint="default" w:ascii="Times New Roman" w:hAnsi="Times New Roman" w:eastAsia="仿宋_GB2312" w:cs="Times New Roman"/>
          <w:b w:val="0"/>
          <w:bCs w:val="0"/>
          <w:spacing w:val="-4"/>
          <w:sz w:val="32"/>
          <w:szCs w:val="32"/>
          <w:lang w:eastAsia="zh-CN"/>
        </w:rPr>
        <w:t>委</w:t>
      </w:r>
      <w:r>
        <w:rPr>
          <w:rStyle w:val="18"/>
          <w:rFonts w:hint="default" w:ascii="Times New Roman" w:hAnsi="Times New Roman" w:eastAsia="仿宋_GB2312" w:cs="Times New Roman"/>
          <w:b w:val="0"/>
          <w:bCs w:val="0"/>
          <w:spacing w:val="-4"/>
          <w:sz w:val="32"/>
          <w:szCs w:val="32"/>
        </w:rPr>
        <w:t>绩效评价人员根据《项目支出绩效评价管理办法》（财预〔2020〕10号）文件精神认真学习相关要求与规定，成立绩效评价工作组，作为绩效评价工作具体实施机构。成员构成如下：</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徐忠任评价组组长，绩效评价工作职责为负责全盘工作</w:t>
      </w:r>
      <w:r>
        <w:rPr>
          <w:rStyle w:val="18"/>
          <w:rFonts w:hint="default" w:ascii="Times New Roman" w:hAnsi="Times New Roman"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吴铁城任评价组副组长，绩效评价工作职责对项目实施情况进行实地调查，指导指标完成情况分析</w:t>
      </w:r>
      <w:r>
        <w:rPr>
          <w:rStyle w:val="18"/>
          <w:rFonts w:hint="default" w:ascii="Times New Roman" w:hAnsi="Times New Roman"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李庆泉任评价组副组长，绩效评价工作职责对项目实施情况进行实地调查和成效评估</w:t>
      </w:r>
      <w:r>
        <w:rPr>
          <w:rStyle w:val="18"/>
          <w:rFonts w:hint="default" w:ascii="Times New Roman" w:hAnsi="Times New Roman"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叶尔生任评价组成员，绩效评价工作职责为负责资料审核、撰写报告等工作</w:t>
      </w:r>
      <w:r>
        <w:rPr>
          <w:rStyle w:val="18"/>
          <w:rFonts w:hint="default" w:ascii="Times New Roman" w:hAnsi="Times New Roman"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王晓刚任评价组成员，绩效评价工作职责为负责资料审核、撰写报告等工作。</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第二阶段：组织实施</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经评价组通过实地调研、查阅资料等方式，采用综合分析法对项目的决策、管理、绩效进行的综合评价分析。</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第三阶段：分析评价</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首先按照指标体系进行定量、定性分析</w:t>
      </w:r>
      <w:r>
        <w:rPr>
          <w:rStyle w:val="18"/>
          <w:rFonts w:hint="eastAsia" w:eastAsia="仿宋_GB2312" w:cs="Times New Roman"/>
          <w:b w:val="0"/>
          <w:bCs w:val="0"/>
          <w:spacing w:val="-4"/>
          <w:sz w:val="32"/>
          <w:szCs w:val="32"/>
          <w:lang w:val="en-US" w:eastAsia="zh-CN"/>
        </w:rPr>
        <w:t>;</w:t>
      </w:r>
      <w:r>
        <w:rPr>
          <w:rStyle w:val="18"/>
          <w:rFonts w:hint="default" w:ascii="Times New Roman" w:hAnsi="Times New Roman" w:eastAsia="仿宋_GB2312" w:cs="Times New Roman"/>
          <w:b w:val="0"/>
          <w:bCs w:val="0"/>
          <w:spacing w:val="-4"/>
          <w:sz w:val="32"/>
          <w:szCs w:val="32"/>
        </w:rPr>
        <w:t>其次开展量化打分、综合评价工作，形成初步评价结论</w:t>
      </w:r>
      <w:r>
        <w:rPr>
          <w:rStyle w:val="18"/>
          <w:rFonts w:hint="eastAsia" w:eastAsia="仿宋_GB2312" w:cs="Times New Roman"/>
          <w:b w:val="0"/>
          <w:bCs w:val="0"/>
          <w:spacing w:val="-4"/>
          <w:sz w:val="32"/>
          <w:szCs w:val="32"/>
          <w:lang w:val="en-US" w:eastAsia="zh-CN"/>
        </w:rPr>
        <w:t>;</w:t>
      </w:r>
      <w:r>
        <w:rPr>
          <w:rStyle w:val="18"/>
          <w:rFonts w:hint="default" w:ascii="Times New Roman" w:hAnsi="Times New Roman" w:eastAsia="仿宋_GB2312" w:cs="Times New Roman"/>
          <w:b w:val="0"/>
          <w:bCs w:val="0"/>
          <w:spacing w:val="-4"/>
          <w:sz w:val="32"/>
          <w:szCs w:val="32"/>
        </w:rPr>
        <w:t>最后归纳整体项目情况与存在问题，撰写绩效评价报告。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第四阶段：撰写与提交评价报告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项目撰写绩效评价报告，按照绩效</w:t>
      </w:r>
      <w:r>
        <w:rPr>
          <w:rStyle w:val="18"/>
          <w:rFonts w:hint="eastAsia" w:eastAsia="仿宋_GB2312" w:cs="Times New Roman"/>
          <w:b w:val="0"/>
          <w:bCs w:val="0"/>
          <w:spacing w:val="-4"/>
          <w:sz w:val="32"/>
          <w:szCs w:val="32"/>
          <w:lang w:eastAsia="zh-CN"/>
        </w:rPr>
        <w:t>评价</w:t>
      </w:r>
      <w:r>
        <w:rPr>
          <w:rStyle w:val="18"/>
          <w:rFonts w:hint="default" w:ascii="Times New Roman" w:hAnsi="Times New Roman" w:eastAsia="仿宋_GB2312" w:cs="Times New Roman"/>
          <w:b w:val="0"/>
          <w:bCs w:val="0"/>
          <w:spacing w:val="-4"/>
          <w:sz w:val="32"/>
          <w:szCs w:val="32"/>
        </w:rPr>
        <w:t>系统中统一格式和文本框架撰写绩效评价报告。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第五阶段：归集档案</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bCs w:val="0"/>
          <w:spacing w:val="-4"/>
          <w:sz w:val="32"/>
          <w:szCs w:val="32"/>
        </w:rPr>
      </w:pPr>
      <w:r>
        <w:rPr>
          <w:rStyle w:val="18"/>
          <w:rFonts w:hint="default" w:ascii="Times New Roman" w:hAnsi="Times New Roman" w:eastAsia="黑体" w:cs="Times New Roman"/>
          <w:b w:val="0"/>
          <w:bCs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 xml:space="preserve">2023年全社会节能减排专项资金项目总体组织规范，完成了项目实施的各项工作目标，规范了项目档案资料整理，持续推动我区公共机构节能改造、推进建筑领域低碳项目示范、进一步健全节能降碳标准体系、推进节能统计能力建设，支持一批CCUS（二氧化碳捕集与利用）项目，节能减排工作取得积极进展，不断降低能源资源消耗水平，助力实现我区碳达峰碳中和任务目标。 </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 xml:space="preserve">在项目决策方面，通过各有关单位提出项目建设需求、结合自治区党委、人民政府关于碳达峰碳中和以及节能减排重点工作安排部署，坚持集体决策，经过专题会议研究，项目计划制定依据充分，程序规范。 </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在</w:t>
      </w:r>
      <w:r>
        <w:rPr>
          <w:rStyle w:val="18"/>
          <w:rFonts w:hint="default" w:ascii="Times New Roman" w:hAnsi="Times New Roman" w:eastAsia="仿宋_GB2312" w:cs="Times New Roman"/>
          <w:b w:val="0"/>
          <w:bCs w:val="0"/>
          <w:spacing w:val="-4"/>
          <w:sz w:val="32"/>
          <w:szCs w:val="32"/>
        </w:rPr>
        <w:t>项目管理方面，2023年本项目预算安排4500万元，实际支出4500万元，预算执行率100%。项目资金使用合规，项目财务管理制度健全，财务监控到位，所有资金支付均按照国库集中支付制度严格执行，现有项目管理制度执行情况良好。</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在</w:t>
      </w:r>
      <w:r>
        <w:rPr>
          <w:rStyle w:val="18"/>
          <w:rFonts w:hint="default" w:ascii="Times New Roman" w:hAnsi="Times New Roman" w:eastAsia="仿宋_GB2312" w:cs="Times New Roman"/>
          <w:b w:val="0"/>
          <w:bCs w:val="0"/>
          <w:spacing w:val="-4"/>
          <w:sz w:val="32"/>
          <w:szCs w:val="32"/>
        </w:rPr>
        <w:t>项目产出方面</w:t>
      </w:r>
      <w:r>
        <w:rPr>
          <w:rStyle w:val="18"/>
          <w:rFonts w:hint="eastAsia"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t>2023年本项目投资计划安排实施22个项目，除温泉县博格达尔镇清洁能源(地热供暖工程)项目和6个CCUS项目等部分跨年实施项目正在有序推进外，其他项目均已完工，实际实施项目产出数量和覆盖部门及地州达到预期效果。</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在</w:t>
      </w:r>
      <w:r>
        <w:rPr>
          <w:rStyle w:val="18"/>
          <w:rFonts w:hint="default" w:ascii="Times New Roman" w:hAnsi="Times New Roman" w:eastAsia="仿宋_GB2312" w:cs="Times New Roman"/>
          <w:b w:val="0"/>
          <w:bCs w:val="0"/>
          <w:spacing w:val="-4"/>
          <w:sz w:val="32"/>
          <w:szCs w:val="32"/>
        </w:rPr>
        <w:t>项目效益方面</w:t>
      </w:r>
      <w:r>
        <w:rPr>
          <w:rStyle w:val="18"/>
          <w:rFonts w:hint="eastAsia"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t>按照我委根据统计局有关数据测算形成并上报自治区党委《关于审定〈新疆维吾尔自治区党委 人民政府关于2023年度推进碳达峰碳中和工作情况的报告（代拟稿）〉的请示》，我区2023年单位GDP能源资源消耗水平持续降低，为完成“十四五”国家下达我区能耗强度降低目标任务打下良好基础。项目的实施，为我区能源资源消耗水平持续降低、经济社会可持续发展奠定了有力基础。</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综合评价结论：运用项目组制定评价指标体系及财政部《项目支出绩效评价管理办法》（财预〔2020〕10号）文件评分标准进行评价，该项目最终评分100分，绩效评级为“优”，具体得分情况为：项目决策20分、项目过程20分、项目产出30分、项目效益30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bCs w:val="0"/>
          <w:sz w:val="32"/>
          <w:szCs w:val="32"/>
        </w:rPr>
      </w:pPr>
      <w:r>
        <w:rPr>
          <w:rStyle w:val="18"/>
          <w:rFonts w:hint="default" w:ascii="Times New Roman" w:hAnsi="Times New Roman" w:eastAsia="黑体" w:cs="Times New Roman"/>
          <w:b w:val="0"/>
          <w:bCs w:val="0"/>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Fonts w:hint="default" w:ascii="Times New Roman" w:hAnsi="Times New Roman" w:eastAsia="楷体_GB2312" w:cs="Times New Roman"/>
          <w:b w:val="0"/>
          <w:bCs w:val="0"/>
          <w:spacing w:val="-4"/>
          <w:sz w:val="32"/>
          <w:szCs w:val="32"/>
        </w:rPr>
      </w:pPr>
      <w:r>
        <w:rPr>
          <w:rFonts w:hint="default" w:ascii="Times New Roman" w:hAnsi="Times New Roman" w:eastAsia="楷体_GB2312" w:cs="Times New Roman"/>
          <w:b w:val="0"/>
          <w:bCs w:val="0"/>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项目决策类指标包括项目立项、绩效目标和资金投入三方面的内容，由6个三级指标构成，权重分为20分，实际得分20分，得分率为100%。</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1.立项依据充分性：为深入推进节能减排工作，确保我区节能减排总体目标任务取得积极进展，根据《中华人民共和国节约能源法》《新疆维吾尔自治区实施〈中华人民共和国节约能源法〉办法》，自治区设立节能减排专项资金，并制定《新疆维吾尔自治区节能减排专项资金管理暂行办法》，项目立项依据充分。根据评分标准，该指标不扣分，得5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立项程序规范性：按照《新疆维吾尔自治区节能减排专项资金管理暂行办法》，自治区发展改革委统筹安排全社会节能减排资金，通过各有关单位提出项目建设需求、结合自治区党委、人民政府关于碳达峰碳中和以及节能减排重点工作安排部署，坚持集体决策，经过专题会议研究，项目计划制定程序规范。根据评分标准，该指标不扣分，得3分。</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3.绩效目标合理性：充分结合计划项目的实施目的，合理确定项目绩效目标。根据评分标准，该指标不扣分，得3分。</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4.绩效指标明确性：项目计划明确了总体目标，并对任务进行了分解，对目标进行了细化。根据评分标准，该指标不扣分，得2分。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5.预算编制科学性：按照《中华人民共和国节约能源法》《新疆维吾尔自治区实施〈中华人民共和国节约能源法〉办法》关于县级以上人民政府设立节能减排专项资金的要求，根据自治区节能减排成员单位工作任务，设立自治区节能减排专项资金，内容与项目内容匹配，项目投资额与工作任务相匹配，根据评分标准，该指标不扣分，得5分。</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6.资金分配合理性：2023年自治区全社会节能减排专项资金按照突出重点工作，兼顾基础能力支撑；突出重点领域，强化节能示范作用；突出安排标准，确保资金计划科学合理的原则，统筹考虑住建、交通、公共机构等领域年度节能减排工作重点，参照节能减碳中央预算内投资补助标准，制定申报指南，结合各相关部门的项目申报情况，拟定年度专项资金计划方案。资金分配与实际相适应，根据评分标准，该指标不扣分，得2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Fonts w:hint="default" w:ascii="Times New Roman" w:hAnsi="Times New Roman" w:eastAsia="楷体_GB2312" w:cs="Times New Roman"/>
          <w:b w:val="0"/>
          <w:bCs w:val="0"/>
          <w:spacing w:val="-4"/>
          <w:sz w:val="32"/>
          <w:szCs w:val="32"/>
        </w:rPr>
      </w:pPr>
      <w:r>
        <w:rPr>
          <w:rFonts w:hint="default" w:ascii="Times New Roman" w:hAnsi="Times New Roman" w:eastAsia="楷体_GB2312" w:cs="Times New Roman"/>
          <w:b w:val="0"/>
          <w:bCs w:val="0"/>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项目过程类指标包括资金管理和组织实施两方面的内容，由 5个三级指标构成，权重分为20分，实际得分20分，得分率为100%。</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 xml:space="preserve">1.资金到位率：财政资金足额拨付到位，牵头单位能够及时足额按照合同约定将专项资金拨付给项目单位，根据评分标准，该指标不扣分，得2分。   </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2.预算执行率：预算编制详细，项目资金支出能够按照预算执行。项目到位资金4500万元，执行资金4500万元，执行率100%。根据评分标准，该指标不扣分，得5分。</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3.资金使用合规性：制定了相关的制度和管理规定对经费使用进行规范管理，财务制度健全、执行严格，根据评分标准，该指标不扣分，得5分。</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4.管理制度健全性：自治区已制定了自治区节能减排资金管理办法，对财政专项资金进行严格管理，做到了专款专用，根据评分标准，该指标不扣分，得4分。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5.制度执行有效性：按照自治区节能减排专项资金暂行管理办法，由机关事务、住建、交通等行业部门和各地发展改革委及相关单位提出资金使用申请，结合自治区党委、人民政府关于碳达峰碳中和以及节能减排重点工作安排部署，经审核筛选拟定计划方案，并报请委党组审议通过，下达计划实施。加强对计划项目的监管，按期对资金使用效果进行自评，根据评分标准，该指标不扣分，得4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Fonts w:hint="default" w:ascii="Times New Roman" w:hAnsi="Times New Roman" w:eastAsia="楷体_GB2312" w:cs="Times New Roman"/>
          <w:b w:val="0"/>
          <w:bCs w:val="0"/>
          <w:spacing w:val="-4"/>
          <w:sz w:val="32"/>
          <w:szCs w:val="32"/>
        </w:rPr>
      </w:pPr>
      <w:r>
        <w:rPr>
          <w:rFonts w:hint="default" w:ascii="Times New Roman" w:hAnsi="Times New Roman" w:eastAsia="楷体_GB2312" w:cs="Times New Roman"/>
          <w:b w:val="0"/>
          <w:bCs w:val="0"/>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项目产出类指标包括产出数量、产出质量、产出时效、产出成本四方面的内容，由</w:t>
      </w:r>
      <w:r>
        <w:rPr>
          <w:rStyle w:val="18"/>
          <w:rFonts w:hint="eastAsia" w:eastAsia="仿宋_GB2312" w:cs="Times New Roman"/>
          <w:b w:val="0"/>
          <w:bCs w:val="0"/>
          <w:spacing w:val="-4"/>
          <w:sz w:val="32"/>
          <w:szCs w:val="32"/>
          <w:lang w:val="en-US" w:eastAsia="zh-CN"/>
        </w:rPr>
        <w:t>4</w:t>
      </w:r>
      <w:r>
        <w:rPr>
          <w:rStyle w:val="18"/>
          <w:rFonts w:hint="default" w:ascii="Times New Roman" w:hAnsi="Times New Roman" w:eastAsia="仿宋_GB2312" w:cs="Times New Roman"/>
          <w:b w:val="0"/>
          <w:bCs w:val="0"/>
          <w:spacing w:val="-4"/>
          <w:sz w:val="32"/>
          <w:szCs w:val="32"/>
        </w:rPr>
        <w:t>个三级指标构成，权重分为</w:t>
      </w:r>
      <w:r>
        <w:rPr>
          <w:rStyle w:val="18"/>
          <w:rFonts w:hint="eastAsia" w:eastAsia="仿宋_GB2312" w:cs="Times New Roman"/>
          <w:b w:val="0"/>
          <w:bCs w:val="0"/>
          <w:spacing w:val="-4"/>
          <w:sz w:val="32"/>
          <w:szCs w:val="32"/>
          <w:lang w:val="en-US" w:eastAsia="zh-CN"/>
        </w:rPr>
        <w:t>50</w:t>
      </w:r>
      <w:r>
        <w:rPr>
          <w:rStyle w:val="18"/>
          <w:rFonts w:hint="default" w:ascii="Times New Roman" w:hAnsi="Times New Roman" w:eastAsia="仿宋_GB2312" w:cs="Times New Roman"/>
          <w:b w:val="0"/>
          <w:bCs w:val="0"/>
          <w:spacing w:val="-4"/>
          <w:sz w:val="32"/>
          <w:szCs w:val="32"/>
        </w:rPr>
        <w:t>分，实际得分</w:t>
      </w:r>
      <w:r>
        <w:rPr>
          <w:rStyle w:val="18"/>
          <w:rFonts w:hint="eastAsia" w:eastAsia="仿宋_GB2312" w:cs="Times New Roman"/>
          <w:b w:val="0"/>
          <w:bCs w:val="0"/>
          <w:spacing w:val="-4"/>
          <w:sz w:val="32"/>
          <w:szCs w:val="32"/>
          <w:lang w:val="en-US" w:eastAsia="zh-CN"/>
        </w:rPr>
        <w:t>50</w:t>
      </w:r>
      <w:r>
        <w:rPr>
          <w:rStyle w:val="18"/>
          <w:rFonts w:hint="default" w:ascii="Times New Roman" w:hAnsi="Times New Roman" w:eastAsia="仿宋_GB2312" w:cs="Times New Roman"/>
          <w:b w:val="0"/>
          <w:bCs w:val="0"/>
          <w:spacing w:val="-4"/>
          <w:sz w:val="32"/>
          <w:szCs w:val="32"/>
        </w:rPr>
        <w:t>分，得分率为</w:t>
      </w:r>
      <w:r>
        <w:rPr>
          <w:rStyle w:val="18"/>
          <w:rFonts w:hint="eastAsia" w:eastAsia="仿宋_GB2312" w:cs="Times New Roman"/>
          <w:b w:val="0"/>
          <w:bCs w:val="0"/>
          <w:spacing w:val="-4"/>
          <w:sz w:val="32"/>
          <w:szCs w:val="32"/>
          <w:lang w:val="en-US" w:eastAsia="zh-CN"/>
        </w:rPr>
        <w:t>100</w:t>
      </w:r>
      <w:r>
        <w:rPr>
          <w:rStyle w:val="18"/>
          <w:rFonts w:hint="default" w:ascii="Times New Roman" w:hAnsi="Times New Roman" w:eastAsia="仿宋_GB2312" w:cs="Times New Roman"/>
          <w:b w:val="0"/>
          <w:bCs w:val="0"/>
          <w:spacing w:val="-4"/>
          <w:sz w:val="32"/>
          <w:szCs w:val="32"/>
        </w:rPr>
        <w:t>%。</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1.对于“产出数量”</w:t>
      </w:r>
      <w:r>
        <w:rPr>
          <w:rStyle w:val="18"/>
          <w:rFonts w:hint="default" w:ascii="Times New Roman" w:hAnsi="Times New Roman"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项目预期实施数量目标为实施22个节能减排项目，实际在资金计划下达中安排22个项目，与预期目标一致，根据评分标准，该指标不扣分，得</w:t>
      </w:r>
      <w:r>
        <w:rPr>
          <w:rStyle w:val="18"/>
          <w:rFonts w:hint="eastAsia" w:eastAsia="仿宋_GB2312" w:cs="Times New Roman"/>
          <w:b w:val="0"/>
          <w:bCs w:val="0"/>
          <w:spacing w:val="-4"/>
          <w:sz w:val="32"/>
          <w:szCs w:val="32"/>
          <w:lang w:val="en-US" w:eastAsia="zh-CN"/>
        </w:rPr>
        <w:t>15</w:t>
      </w:r>
      <w:r>
        <w:rPr>
          <w:rStyle w:val="18"/>
          <w:rFonts w:hint="default" w:ascii="Times New Roman" w:hAnsi="Times New Roman" w:eastAsia="仿宋_GB2312" w:cs="Times New Roman"/>
          <w:b w:val="0"/>
          <w:bCs w:val="0"/>
          <w:spacing w:val="-4"/>
          <w:sz w:val="32"/>
          <w:szCs w:val="32"/>
        </w:rPr>
        <w:t>分</w:t>
      </w:r>
      <w:r>
        <w:rPr>
          <w:rStyle w:val="18"/>
          <w:rFonts w:hint="default" w:ascii="Times New Roman" w:hAnsi="Times New Roman"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2.对于“产出质量”：</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已完工项目验收合格率100%，与预期目标一致，根据评分标准，该指标不扣分，得</w:t>
      </w:r>
      <w:r>
        <w:rPr>
          <w:rStyle w:val="18"/>
          <w:rFonts w:hint="eastAsia" w:eastAsia="仿宋_GB2312" w:cs="Times New Roman"/>
          <w:b w:val="0"/>
          <w:bCs w:val="0"/>
          <w:spacing w:val="-4"/>
          <w:sz w:val="32"/>
          <w:szCs w:val="32"/>
          <w:lang w:val="en-US" w:eastAsia="zh-CN"/>
        </w:rPr>
        <w:t>15</w:t>
      </w:r>
      <w:r>
        <w:rPr>
          <w:rStyle w:val="18"/>
          <w:rFonts w:hint="default" w:ascii="Times New Roman" w:hAnsi="Times New Roman" w:eastAsia="仿宋_GB2312" w:cs="Times New Roman"/>
          <w:b w:val="0"/>
          <w:bCs w:val="0"/>
          <w:spacing w:val="-4"/>
          <w:sz w:val="32"/>
          <w:szCs w:val="32"/>
        </w:rPr>
        <w:t>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Fonts w:hint="default" w:ascii="Times New Roman" w:hAnsi="Times New Roman" w:eastAsia="楷体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3.对于“产出时效”：</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资金及时到位率为100%，与预期目标指标一致，根据评分标准，该指标不扣分，得</w:t>
      </w:r>
      <w:r>
        <w:rPr>
          <w:rStyle w:val="18"/>
          <w:rFonts w:hint="eastAsia" w:eastAsia="仿宋_GB2312" w:cs="Times New Roman"/>
          <w:b w:val="0"/>
          <w:bCs w:val="0"/>
          <w:spacing w:val="-4"/>
          <w:sz w:val="32"/>
          <w:szCs w:val="32"/>
          <w:lang w:val="en-US" w:eastAsia="zh-CN"/>
        </w:rPr>
        <w:t>10</w:t>
      </w:r>
      <w:r>
        <w:rPr>
          <w:rStyle w:val="18"/>
          <w:rFonts w:hint="default" w:ascii="Times New Roman" w:hAnsi="Times New Roman" w:eastAsia="仿宋_GB2312" w:cs="Times New Roman"/>
          <w:b w:val="0"/>
          <w:bCs w:val="0"/>
          <w:spacing w:val="-4"/>
          <w:sz w:val="32"/>
          <w:szCs w:val="32"/>
        </w:rPr>
        <w:t>分</w:t>
      </w:r>
      <w:r>
        <w:rPr>
          <w:rStyle w:val="18"/>
          <w:rFonts w:hint="default" w:ascii="Times New Roman" w:hAnsi="Times New Roman"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项目按计划开工率为95.5%，预期目标90%，根据评分标准，该指标不扣分，得</w:t>
      </w:r>
      <w:r>
        <w:rPr>
          <w:rStyle w:val="18"/>
          <w:rFonts w:hint="eastAsia" w:eastAsia="仿宋_GB2312" w:cs="Times New Roman"/>
          <w:b w:val="0"/>
          <w:bCs w:val="0"/>
          <w:spacing w:val="-4"/>
          <w:sz w:val="32"/>
          <w:szCs w:val="32"/>
          <w:lang w:val="en-US" w:eastAsia="zh-CN"/>
        </w:rPr>
        <w:t>10</w:t>
      </w:r>
      <w:r>
        <w:rPr>
          <w:rStyle w:val="18"/>
          <w:rFonts w:hint="default" w:ascii="Times New Roman" w:hAnsi="Times New Roman" w:eastAsia="仿宋_GB2312" w:cs="Times New Roman"/>
          <w:b w:val="0"/>
          <w:bCs w:val="0"/>
          <w:spacing w:val="-4"/>
          <w:sz w:val="32"/>
          <w:szCs w:val="32"/>
        </w:rPr>
        <w:t>分。</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合计得</w:t>
      </w:r>
      <w:r>
        <w:rPr>
          <w:rStyle w:val="18"/>
          <w:rFonts w:hint="eastAsia" w:eastAsia="仿宋_GB2312" w:cs="Times New Roman"/>
          <w:b w:val="0"/>
          <w:bCs w:val="0"/>
          <w:spacing w:val="-4"/>
          <w:sz w:val="32"/>
          <w:szCs w:val="32"/>
          <w:lang w:val="en-US" w:eastAsia="zh-CN"/>
        </w:rPr>
        <w:t>50</w:t>
      </w:r>
      <w:r>
        <w:rPr>
          <w:rStyle w:val="18"/>
          <w:rFonts w:hint="default" w:ascii="Times New Roman" w:hAnsi="Times New Roman" w:eastAsia="仿宋_GB2312" w:cs="Times New Roman"/>
          <w:b w:val="0"/>
          <w:bCs w:val="0"/>
          <w:spacing w:val="-4"/>
          <w:sz w:val="32"/>
          <w:szCs w:val="32"/>
        </w:rPr>
        <w:t>分。</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eastAsia" w:eastAsia="仿宋_GB2312" w:cs="Times New Roman"/>
          <w:b w:val="0"/>
          <w:bCs w:val="0"/>
          <w:spacing w:val="-4"/>
          <w:sz w:val="32"/>
          <w:szCs w:val="32"/>
          <w:lang w:val="en-US" w:eastAsia="zh-CN"/>
        </w:rPr>
        <w:t xml:space="preserve">  </w:t>
      </w:r>
      <w:r>
        <w:rPr>
          <w:rFonts w:hint="default" w:ascii="Times New Roman" w:hAnsi="Times New Roman" w:eastAsia="仿宋_GB2312" w:cs="Times New Roman"/>
          <w:b w:val="0"/>
          <w:bCs w:val="0"/>
          <w:spacing w:val="-4"/>
          <w:sz w:val="32"/>
          <w:szCs w:val="32"/>
        </w:rPr>
        <w:t>（</w:t>
      </w:r>
      <w:r>
        <w:rPr>
          <w:rFonts w:hint="default" w:ascii="Times New Roman" w:hAnsi="Times New Roman" w:eastAsia="楷体_GB2312" w:cs="Times New Roman"/>
          <w:b w:val="0"/>
          <w:bCs w:val="0"/>
          <w:spacing w:val="-4"/>
          <w:sz w:val="32"/>
          <w:szCs w:val="32"/>
        </w:rPr>
        <w:t>四）项目效益情况</w:t>
      </w:r>
    </w:p>
    <w:p>
      <w:pPr>
        <w:keepNext w:val="0"/>
        <w:keepLines w:val="0"/>
        <w:widowControl w:val="0"/>
        <w:suppressLineNumbers w:val="0"/>
        <w:spacing w:before="0" w:beforeAutospacing="0" w:after="0" w:afterAutospacing="0"/>
        <w:ind w:left="0" w:right="0"/>
        <w:jc w:val="both"/>
        <w:rPr>
          <w:rStyle w:val="18"/>
          <w:rFonts w:hint="default" w:ascii="Times New Roman" w:hAnsi="Times New Roman" w:eastAsia="仿宋_GB2312" w:cs="Times New Roman"/>
          <w:b w:val="0"/>
          <w:bCs w:val="0"/>
          <w:spacing w:val="-4"/>
          <w:sz w:val="32"/>
          <w:szCs w:val="32"/>
        </w:rPr>
      </w:pPr>
      <w:r>
        <w:rPr>
          <w:rStyle w:val="46"/>
          <w:rFonts w:hint="eastAsia" w:ascii="仿宋_GB2312" w:eastAsia="仿宋_GB2312" w:cs="仿宋_GB2312"/>
          <w:b w:val="0"/>
          <w:bCs w:val="0"/>
          <w:spacing w:val="0"/>
          <w:kern w:val="2"/>
          <w:sz w:val="32"/>
          <w:szCs w:val="32"/>
          <w:lang w:val="en-US" w:eastAsia="zh-CN" w:bidi="ar"/>
        </w:rPr>
        <w:t xml:space="preserve">    </w:t>
      </w:r>
      <w:r>
        <w:rPr>
          <w:rStyle w:val="46"/>
          <w:rFonts w:hint="eastAsia" w:ascii="仿宋_GB2312" w:hAnsi="Times New Roman" w:eastAsia="仿宋_GB2312" w:cs="仿宋_GB2312"/>
          <w:b w:val="0"/>
          <w:bCs w:val="0"/>
          <w:spacing w:val="0"/>
          <w:kern w:val="2"/>
          <w:sz w:val="32"/>
          <w:szCs w:val="32"/>
          <w:lang w:val="en-US" w:eastAsia="zh-CN" w:bidi="ar"/>
        </w:rPr>
        <w:t>项目</w:t>
      </w:r>
      <w:r>
        <w:rPr>
          <w:rStyle w:val="46"/>
          <w:rFonts w:hint="eastAsia" w:ascii="仿宋_GB2312" w:eastAsia="仿宋_GB2312" w:cs="仿宋_GB2312"/>
          <w:b w:val="0"/>
          <w:bCs w:val="0"/>
          <w:spacing w:val="0"/>
          <w:kern w:val="2"/>
          <w:sz w:val="32"/>
          <w:szCs w:val="32"/>
          <w:lang w:val="en-US" w:eastAsia="zh-CN" w:bidi="ar"/>
        </w:rPr>
        <w:t>效益</w:t>
      </w:r>
      <w:r>
        <w:rPr>
          <w:rStyle w:val="46"/>
          <w:rFonts w:hint="eastAsia" w:ascii="仿宋_GB2312" w:hAnsi="Times New Roman" w:eastAsia="仿宋_GB2312" w:cs="仿宋_GB2312"/>
          <w:b w:val="0"/>
          <w:bCs w:val="0"/>
          <w:spacing w:val="0"/>
          <w:kern w:val="2"/>
          <w:sz w:val="32"/>
          <w:szCs w:val="32"/>
          <w:lang w:val="en-US" w:eastAsia="zh-CN" w:bidi="ar"/>
        </w:rPr>
        <w:t>类指标包括</w:t>
      </w:r>
      <w:r>
        <w:rPr>
          <w:rStyle w:val="18"/>
          <w:rFonts w:hint="eastAsia" w:eastAsia="仿宋_GB2312" w:cs="Times New Roman"/>
          <w:b w:val="0"/>
          <w:bCs w:val="0"/>
          <w:spacing w:val="-4"/>
          <w:sz w:val="32"/>
          <w:szCs w:val="32"/>
          <w:lang w:eastAsia="zh-CN"/>
        </w:rPr>
        <w:t>生态</w:t>
      </w:r>
      <w:r>
        <w:rPr>
          <w:rStyle w:val="18"/>
          <w:rFonts w:hint="default" w:ascii="Times New Roman" w:hAnsi="Times New Roman" w:eastAsia="仿宋_GB2312" w:cs="Times New Roman"/>
          <w:b w:val="0"/>
          <w:bCs w:val="0"/>
          <w:spacing w:val="-4"/>
          <w:sz w:val="32"/>
          <w:szCs w:val="32"/>
        </w:rPr>
        <w:t>效益指标</w:t>
      </w:r>
      <w:r>
        <w:rPr>
          <w:rStyle w:val="18"/>
          <w:rFonts w:hint="eastAsia" w:eastAsia="仿宋_GB2312" w:cs="Times New Roman"/>
          <w:b w:val="0"/>
          <w:bCs w:val="0"/>
          <w:spacing w:val="-4"/>
          <w:sz w:val="32"/>
          <w:szCs w:val="32"/>
          <w:lang w:eastAsia="zh-CN"/>
        </w:rPr>
        <w:t>的</w:t>
      </w:r>
      <w:r>
        <w:rPr>
          <w:rStyle w:val="46"/>
          <w:rFonts w:hint="eastAsia" w:ascii="仿宋_GB2312" w:hAnsi="Times New Roman" w:eastAsia="仿宋_GB2312" w:cs="仿宋_GB2312"/>
          <w:b w:val="0"/>
          <w:bCs w:val="0"/>
          <w:spacing w:val="0"/>
          <w:kern w:val="2"/>
          <w:sz w:val="32"/>
          <w:szCs w:val="32"/>
          <w:lang w:val="en-US" w:eastAsia="zh-CN" w:bidi="ar"/>
        </w:rPr>
        <w:t>内容，</w:t>
      </w:r>
      <w:r>
        <w:rPr>
          <w:rStyle w:val="46"/>
          <w:rFonts w:hint="default" w:ascii="Times New Roman" w:hAnsi="Times New Roman" w:eastAsia="仿宋_GB2312" w:cs="Times New Roman"/>
          <w:b w:val="0"/>
          <w:bCs w:val="0"/>
          <w:spacing w:val="0"/>
          <w:kern w:val="2"/>
          <w:sz w:val="32"/>
          <w:szCs w:val="32"/>
          <w:lang w:val="en-US" w:eastAsia="zh-CN" w:bidi="ar"/>
        </w:rPr>
        <w:t>由2</w:t>
      </w:r>
      <w:r>
        <w:rPr>
          <w:rStyle w:val="46"/>
          <w:rFonts w:hint="eastAsia" w:ascii="仿宋_GB2312" w:hAnsi="Times New Roman" w:eastAsia="仿宋_GB2312" w:cs="仿宋_GB2312"/>
          <w:b w:val="0"/>
          <w:bCs w:val="0"/>
          <w:spacing w:val="0"/>
          <w:kern w:val="2"/>
          <w:sz w:val="32"/>
          <w:szCs w:val="32"/>
          <w:lang w:val="en-US" w:eastAsia="zh-CN" w:bidi="ar"/>
        </w:rPr>
        <w:t>个三级指标构成，权重分</w:t>
      </w:r>
      <w:r>
        <w:rPr>
          <w:rStyle w:val="46"/>
          <w:rFonts w:hint="default" w:ascii="Times New Roman" w:hAnsi="Times New Roman" w:eastAsia="仿宋_GB2312" w:cs="Times New Roman"/>
          <w:b w:val="0"/>
          <w:bCs w:val="0"/>
          <w:spacing w:val="0"/>
          <w:kern w:val="2"/>
          <w:sz w:val="32"/>
          <w:szCs w:val="32"/>
          <w:lang w:val="en-US" w:eastAsia="zh-CN" w:bidi="ar"/>
        </w:rPr>
        <w:t>为30分，实际得分30分</w:t>
      </w:r>
      <w:r>
        <w:rPr>
          <w:rStyle w:val="46"/>
          <w:rFonts w:hint="eastAsia" w:ascii="仿宋_GB2312" w:hAnsi="Times New Roman" w:eastAsia="仿宋_GB2312" w:cs="仿宋_GB2312"/>
          <w:b w:val="0"/>
          <w:bCs w:val="0"/>
          <w:spacing w:val="0"/>
          <w:kern w:val="2"/>
          <w:sz w:val="32"/>
          <w:szCs w:val="32"/>
          <w:lang w:val="en-US" w:eastAsia="zh-CN" w:bidi="ar"/>
        </w:rPr>
        <w:t>，得分率为</w:t>
      </w:r>
      <w:r>
        <w:rPr>
          <w:rStyle w:val="46"/>
          <w:rFonts w:hint="default" w:ascii="Times New Roman" w:hAnsi="Times New Roman" w:eastAsia="仿宋_GB2312" w:cs="Times New Roman"/>
          <w:b w:val="0"/>
          <w:bCs w:val="0"/>
          <w:spacing w:val="0"/>
          <w:kern w:val="2"/>
          <w:sz w:val="32"/>
          <w:szCs w:val="32"/>
          <w:lang w:val="en-US" w:eastAsia="zh-CN" w:bidi="ar"/>
        </w:rPr>
        <w:t>100%</w:t>
      </w:r>
      <w:r>
        <w:rPr>
          <w:rStyle w:val="46"/>
          <w:rFonts w:hint="eastAsia" w:ascii="仿宋_GB2312" w:hAnsi="Times New Roman" w:eastAsia="仿宋_GB2312" w:cs="仿宋_GB2312"/>
          <w:b w:val="0"/>
          <w:bCs w:val="0"/>
          <w:spacing w:val="0"/>
          <w:kern w:val="2"/>
          <w:sz w:val="32"/>
          <w:szCs w:val="32"/>
          <w:lang w:val="en-US" w:eastAsia="zh-CN" w:bidi="ar"/>
        </w:rPr>
        <w:t>。</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对于“</w:t>
      </w:r>
      <w:r>
        <w:rPr>
          <w:rStyle w:val="18"/>
          <w:rFonts w:hint="eastAsia" w:eastAsia="仿宋_GB2312" w:cs="Times New Roman"/>
          <w:b w:val="0"/>
          <w:bCs w:val="0"/>
          <w:spacing w:val="-4"/>
          <w:sz w:val="32"/>
          <w:szCs w:val="32"/>
          <w:lang w:eastAsia="zh-CN"/>
        </w:rPr>
        <w:t>生态</w:t>
      </w:r>
      <w:r>
        <w:rPr>
          <w:rStyle w:val="18"/>
          <w:rFonts w:hint="default" w:ascii="Times New Roman" w:hAnsi="Times New Roman" w:eastAsia="仿宋_GB2312" w:cs="Times New Roman"/>
          <w:b w:val="0"/>
          <w:bCs w:val="0"/>
          <w:spacing w:val="-4"/>
          <w:sz w:val="32"/>
          <w:szCs w:val="32"/>
        </w:rPr>
        <w:t>效益指标”：按照我委根据统计局有关数据测算形成并上报自治区党委《关于审定〈新疆维吾尔自治区党委 人民政府关于2023年度推进碳达峰碳中和工作情况的报告（代拟稿）〉的请示》，我区2023年单位GDP能源资源消耗水平持续降低，为完成“十四五”国家下达我区能耗强度降低目标任务打下良好基础。该指标不扣分，得</w:t>
      </w:r>
      <w:r>
        <w:rPr>
          <w:rStyle w:val="18"/>
          <w:rFonts w:hint="eastAsia" w:eastAsia="仿宋_GB2312" w:cs="Times New Roman"/>
          <w:b w:val="0"/>
          <w:bCs w:val="0"/>
          <w:spacing w:val="-4"/>
          <w:sz w:val="32"/>
          <w:szCs w:val="32"/>
          <w:lang w:val="en-US" w:eastAsia="zh-CN"/>
        </w:rPr>
        <w:t>15</w:t>
      </w:r>
      <w:r>
        <w:rPr>
          <w:rStyle w:val="18"/>
          <w:rFonts w:hint="default" w:ascii="Times New Roman" w:hAnsi="Times New Roman" w:eastAsia="仿宋_GB2312" w:cs="Times New Roman"/>
          <w:b w:val="0"/>
          <w:bCs w:val="0"/>
          <w:spacing w:val="-4"/>
          <w:sz w:val="32"/>
          <w:szCs w:val="32"/>
        </w:rPr>
        <w:t>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对于“可</w:t>
      </w:r>
      <w:r>
        <w:rPr>
          <w:rStyle w:val="18"/>
          <w:rFonts w:hint="eastAsia" w:eastAsia="仿宋_GB2312" w:cs="Times New Roman"/>
          <w:b w:val="0"/>
          <w:bCs w:val="0"/>
          <w:spacing w:val="-4"/>
          <w:sz w:val="32"/>
          <w:szCs w:val="32"/>
          <w:lang w:eastAsia="zh-CN"/>
        </w:rPr>
        <w:t>生态</w:t>
      </w:r>
      <w:r>
        <w:rPr>
          <w:rStyle w:val="18"/>
          <w:rFonts w:hint="default" w:ascii="Times New Roman" w:hAnsi="Times New Roman" w:eastAsia="仿宋_GB2312" w:cs="Times New Roman"/>
          <w:b w:val="0"/>
          <w:bCs w:val="0"/>
          <w:spacing w:val="-4"/>
          <w:sz w:val="32"/>
          <w:szCs w:val="32"/>
        </w:rPr>
        <w:t>效益指标”：我区较好的完成了2023年能耗强度下降任务，有效促进我区经济社会可持续发展，与预期指标一致，根据评分标准，该指标不扣分，得</w:t>
      </w:r>
      <w:r>
        <w:rPr>
          <w:rStyle w:val="18"/>
          <w:rFonts w:hint="eastAsia" w:eastAsia="仿宋_GB2312" w:cs="Times New Roman"/>
          <w:b w:val="0"/>
          <w:bCs w:val="0"/>
          <w:spacing w:val="-4"/>
          <w:sz w:val="32"/>
          <w:szCs w:val="32"/>
          <w:lang w:val="en-US" w:eastAsia="zh-CN"/>
        </w:rPr>
        <w:t>15</w:t>
      </w:r>
      <w:r>
        <w:rPr>
          <w:rStyle w:val="18"/>
          <w:rFonts w:hint="default" w:ascii="Times New Roman" w:hAnsi="Times New Roman" w:eastAsia="仿宋_GB2312" w:cs="Times New Roman"/>
          <w:b w:val="0"/>
          <w:bCs w:val="0"/>
          <w:spacing w:val="-4"/>
          <w:sz w:val="32"/>
          <w:szCs w:val="32"/>
        </w:rPr>
        <w:t>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Fonts w:hint="default" w:ascii="Times New Roman" w:hAnsi="Times New Roman" w:eastAsia="楷体_GB2312" w:cs="Times New Roman"/>
          <w:b w:val="0"/>
          <w:bCs w:val="0"/>
          <w:spacing w:val="-4"/>
          <w:sz w:val="32"/>
          <w:szCs w:val="32"/>
        </w:rPr>
      </w:pPr>
      <w:r>
        <w:rPr>
          <w:rFonts w:hint="default" w:ascii="Times New Roman" w:hAnsi="Times New Roman" w:eastAsia="仿宋_GB2312" w:cs="Times New Roman"/>
          <w:b w:val="0"/>
          <w:bCs w:val="0"/>
          <w:spacing w:val="-4"/>
          <w:sz w:val="32"/>
          <w:szCs w:val="32"/>
        </w:rPr>
        <w:t>（</w:t>
      </w:r>
      <w:r>
        <w:rPr>
          <w:rFonts w:hint="default" w:ascii="Times New Roman" w:hAnsi="Times New Roman" w:eastAsia="楷体_GB2312" w:cs="Times New Roman"/>
          <w:b w:val="0"/>
          <w:bCs w:val="0"/>
          <w:spacing w:val="-4"/>
          <w:sz w:val="32"/>
          <w:szCs w:val="32"/>
        </w:rPr>
        <w:t>四）项目</w:t>
      </w:r>
      <w:r>
        <w:rPr>
          <w:rFonts w:hint="eastAsia" w:eastAsia="楷体_GB2312" w:cs="Times New Roman"/>
          <w:b w:val="0"/>
          <w:bCs w:val="0"/>
          <w:spacing w:val="-4"/>
          <w:sz w:val="32"/>
          <w:szCs w:val="32"/>
          <w:lang w:eastAsia="zh-CN"/>
        </w:rPr>
        <w:t>满意度</w:t>
      </w:r>
      <w:r>
        <w:rPr>
          <w:rFonts w:hint="default" w:ascii="Times New Roman" w:hAnsi="Times New Roman" w:eastAsia="楷体_GB2312" w:cs="Times New Roman"/>
          <w:b w:val="0"/>
          <w:bCs w:val="0"/>
          <w:spacing w:val="-4"/>
          <w:sz w:val="32"/>
          <w:szCs w:val="32"/>
        </w:rPr>
        <w:t>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Style w:val="18"/>
          <w:rFonts w:hint="default" w:ascii="Times New Roman" w:hAnsi="Times New Roman" w:eastAsia="仿宋_GB2312" w:cs="Times New Roman"/>
          <w:b w:val="0"/>
          <w:bCs w:val="0"/>
          <w:spacing w:val="-4"/>
          <w:sz w:val="32"/>
          <w:szCs w:val="32"/>
        </w:rPr>
      </w:pPr>
      <w:r>
        <w:rPr>
          <w:rStyle w:val="46"/>
          <w:rFonts w:hint="eastAsia" w:ascii="仿宋_GB2312" w:hAnsi="Times New Roman" w:eastAsia="仿宋_GB2312" w:cs="仿宋_GB2312"/>
          <w:b w:val="0"/>
          <w:bCs w:val="0"/>
          <w:spacing w:val="0"/>
          <w:kern w:val="2"/>
          <w:sz w:val="32"/>
          <w:szCs w:val="32"/>
          <w:lang w:val="en-US" w:eastAsia="zh-CN" w:bidi="ar"/>
        </w:rPr>
        <w:t>项目</w:t>
      </w:r>
      <w:r>
        <w:rPr>
          <w:rStyle w:val="46"/>
          <w:rFonts w:hint="eastAsia" w:ascii="仿宋_GB2312" w:eastAsia="仿宋_GB2312" w:cs="仿宋_GB2312"/>
          <w:b w:val="0"/>
          <w:bCs w:val="0"/>
          <w:spacing w:val="0"/>
          <w:kern w:val="2"/>
          <w:sz w:val="32"/>
          <w:szCs w:val="32"/>
          <w:lang w:val="en-US" w:eastAsia="zh-CN" w:bidi="ar"/>
        </w:rPr>
        <w:t>满意度</w:t>
      </w:r>
      <w:r>
        <w:rPr>
          <w:rStyle w:val="46"/>
          <w:rFonts w:hint="eastAsia" w:ascii="仿宋_GB2312" w:hAnsi="Times New Roman" w:eastAsia="仿宋_GB2312" w:cs="仿宋_GB2312"/>
          <w:b w:val="0"/>
          <w:bCs w:val="0"/>
          <w:spacing w:val="0"/>
          <w:kern w:val="2"/>
          <w:sz w:val="32"/>
          <w:szCs w:val="32"/>
          <w:lang w:val="en-US" w:eastAsia="zh-CN" w:bidi="ar"/>
        </w:rPr>
        <w:t>指标包括</w:t>
      </w:r>
      <w:r>
        <w:rPr>
          <w:rStyle w:val="18"/>
          <w:rFonts w:hint="eastAsia" w:eastAsia="仿宋_GB2312" w:cs="Times New Roman"/>
          <w:b w:val="0"/>
          <w:bCs w:val="0"/>
          <w:spacing w:val="-4"/>
          <w:sz w:val="32"/>
          <w:szCs w:val="32"/>
          <w:lang w:eastAsia="zh-CN"/>
        </w:rPr>
        <w:t>满意度的</w:t>
      </w:r>
      <w:r>
        <w:rPr>
          <w:rStyle w:val="46"/>
          <w:rFonts w:hint="eastAsia" w:ascii="仿宋_GB2312" w:hAnsi="Times New Roman" w:eastAsia="仿宋_GB2312" w:cs="仿宋_GB2312"/>
          <w:b w:val="0"/>
          <w:bCs w:val="0"/>
          <w:spacing w:val="0"/>
          <w:kern w:val="2"/>
          <w:sz w:val="32"/>
          <w:szCs w:val="32"/>
          <w:lang w:val="en-US" w:eastAsia="zh-CN" w:bidi="ar"/>
        </w:rPr>
        <w:t>内容，由</w:t>
      </w:r>
      <w:r>
        <w:rPr>
          <w:rStyle w:val="46"/>
          <w:rFonts w:hint="default" w:ascii="Times New Roman" w:hAnsi="Times New Roman" w:eastAsia="仿宋_GB2312" w:cs="Times New Roman"/>
          <w:b w:val="0"/>
          <w:bCs w:val="0"/>
          <w:spacing w:val="0"/>
          <w:kern w:val="2"/>
          <w:sz w:val="32"/>
          <w:szCs w:val="32"/>
          <w:lang w:val="en-US" w:eastAsia="zh-CN" w:bidi="ar"/>
        </w:rPr>
        <w:t>1</w:t>
      </w:r>
      <w:r>
        <w:rPr>
          <w:rStyle w:val="46"/>
          <w:rFonts w:hint="eastAsia" w:ascii="仿宋_GB2312" w:hAnsi="Times New Roman" w:eastAsia="仿宋_GB2312" w:cs="仿宋_GB2312"/>
          <w:b w:val="0"/>
          <w:bCs w:val="0"/>
          <w:spacing w:val="0"/>
          <w:kern w:val="2"/>
          <w:sz w:val="32"/>
          <w:szCs w:val="32"/>
          <w:lang w:val="en-US" w:eastAsia="zh-CN" w:bidi="ar"/>
        </w:rPr>
        <w:t>个三级指标构成，权重分</w:t>
      </w:r>
      <w:r>
        <w:rPr>
          <w:rStyle w:val="46"/>
          <w:rFonts w:hint="default" w:ascii="Times New Roman" w:hAnsi="Times New Roman" w:eastAsia="仿宋_GB2312" w:cs="Times New Roman"/>
          <w:b w:val="0"/>
          <w:bCs w:val="0"/>
          <w:spacing w:val="0"/>
          <w:kern w:val="2"/>
          <w:sz w:val="32"/>
          <w:szCs w:val="32"/>
          <w:lang w:val="en-US" w:eastAsia="zh-CN" w:bidi="ar"/>
        </w:rPr>
        <w:t>为10</w:t>
      </w:r>
      <w:r>
        <w:rPr>
          <w:rStyle w:val="46"/>
          <w:rFonts w:hint="default" w:ascii="Times New Roman" w:hAnsi="Times New Roman" w:eastAsia="仿宋_GB2312" w:cs="Times New Roman"/>
          <w:b w:val="0"/>
          <w:bCs w:val="0"/>
          <w:spacing w:val="0"/>
          <w:kern w:val="2"/>
          <w:sz w:val="32"/>
          <w:szCs w:val="32"/>
          <w:lang w:val="en-US" w:eastAsia="zh-CN" w:bidi="ar"/>
        </w:rPr>
        <w:t>分，实际得分10分</w:t>
      </w:r>
      <w:r>
        <w:rPr>
          <w:rStyle w:val="46"/>
          <w:rFonts w:hint="eastAsia" w:ascii="仿宋_GB2312" w:hAnsi="Times New Roman" w:eastAsia="仿宋_GB2312" w:cs="仿宋_GB2312"/>
          <w:b w:val="0"/>
          <w:bCs w:val="0"/>
          <w:spacing w:val="0"/>
          <w:kern w:val="2"/>
          <w:sz w:val="32"/>
          <w:szCs w:val="32"/>
          <w:lang w:val="en-US" w:eastAsia="zh-CN" w:bidi="ar"/>
        </w:rPr>
        <w:t>，得分率为</w:t>
      </w:r>
      <w:r>
        <w:rPr>
          <w:rStyle w:val="46"/>
          <w:rFonts w:hint="default" w:ascii="Times New Roman" w:hAnsi="Times New Roman" w:eastAsia="仿宋_GB2312" w:cs="Times New Roman"/>
          <w:b w:val="0"/>
          <w:bCs w:val="0"/>
          <w:spacing w:val="0"/>
          <w:kern w:val="2"/>
          <w:sz w:val="32"/>
          <w:szCs w:val="32"/>
          <w:lang w:val="en-US" w:eastAsia="zh-CN" w:bidi="ar"/>
        </w:rPr>
        <w:t>100%</w:t>
      </w:r>
      <w:r>
        <w:rPr>
          <w:rStyle w:val="46"/>
          <w:rFonts w:hint="eastAsia" w:ascii="仿宋_GB2312" w:hAnsi="Times New Roman" w:eastAsia="仿宋_GB2312" w:cs="仿宋_GB2312"/>
          <w:b w:val="0"/>
          <w:bCs w:val="0"/>
          <w:spacing w:val="0"/>
          <w:kern w:val="2"/>
          <w:sz w:val="32"/>
          <w:szCs w:val="32"/>
          <w:lang w:val="en-US" w:eastAsia="zh-CN" w:bidi="ar"/>
        </w:rPr>
        <w:t>。</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对于“满意度指标：各受益项目单位满意度100%，与预期目标一致，根据评分标准，该指标不扣分,得10分。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bCs w:val="0"/>
          <w:spacing w:val="-4"/>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bCs w:val="0"/>
          <w:spacing w:val="-4"/>
          <w:sz w:val="32"/>
          <w:szCs w:val="32"/>
        </w:rPr>
      </w:pPr>
      <w:bookmarkStart w:id="0" w:name="_GoBack"/>
      <w:bookmarkEnd w:id="0"/>
      <w:r>
        <w:rPr>
          <w:rStyle w:val="18"/>
          <w:rFonts w:hint="default" w:ascii="Times New Roman" w:hAnsi="Times New Roman" w:eastAsia="黑体" w:cs="Times New Roman"/>
          <w:b w:val="0"/>
          <w:bCs w:val="0"/>
          <w:spacing w:val="-4"/>
          <w:sz w:val="32"/>
          <w:szCs w:val="32"/>
          <w:lang w:eastAsia="zh-CN"/>
        </w:rPr>
        <w:t>五</w:t>
      </w:r>
      <w:r>
        <w:rPr>
          <w:rStyle w:val="18"/>
          <w:rFonts w:hint="default" w:ascii="Times New Roman" w:hAnsi="Times New Roman" w:eastAsia="黑体" w:cs="Times New Roman"/>
          <w:b w:val="0"/>
          <w:bCs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楷体_GB2312" w:cs="Times New Roman"/>
          <w:b w:val="0"/>
          <w:bCs w:val="0"/>
          <w:spacing w:val="-4"/>
          <w:sz w:val="32"/>
          <w:szCs w:val="32"/>
        </w:rPr>
        <w:t>（一）主要经验及做法</w:t>
      </w:r>
      <w:r>
        <w:rPr>
          <w:rStyle w:val="18"/>
          <w:rFonts w:hint="default" w:ascii="Times New Roman" w:hAnsi="Times New Roman" w:eastAsia="楷体_GB2312" w:cs="Times New Roman"/>
          <w:b w:val="0"/>
          <w:bCs w:val="0"/>
          <w:spacing w:val="-4"/>
          <w:sz w:val="32"/>
          <w:szCs w:val="32"/>
        </w:rPr>
        <w:cr/>
      </w:r>
      <w:r>
        <w:rPr>
          <w:rStyle w:val="18"/>
          <w:rFonts w:hint="default" w:ascii="Times New Roman" w:hAnsi="Times New Roman" w:eastAsia="楷体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一是本项目能够严格按照《自治区节能减排专项资金暂行管理办法》执行，项目执行情况较好</w:t>
      </w:r>
      <w:r>
        <w:rPr>
          <w:rStyle w:val="18"/>
          <w:rFonts w:hint="eastAsia"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t>二是加强组织领导，本项目绩效评价工作，由负责处室处长挂帅，分管副处长具体负责，从项目到资金，均能够很好的执行</w:t>
      </w:r>
      <w:r>
        <w:rPr>
          <w:rStyle w:val="18"/>
          <w:rFonts w:hint="eastAsia" w:eastAsia="仿宋_GB2312" w:cs="Times New Roman"/>
          <w:b w:val="0"/>
          <w:bCs w:val="0"/>
          <w:spacing w:val="-4"/>
          <w:sz w:val="32"/>
          <w:szCs w:val="32"/>
          <w:lang w:eastAsia="zh-CN"/>
        </w:rPr>
        <w:t>；</w:t>
      </w:r>
      <w:r>
        <w:rPr>
          <w:rStyle w:val="18"/>
          <w:rFonts w:hint="default" w:ascii="Times New Roman" w:hAnsi="Times New Roman" w:eastAsia="仿宋_GB2312" w:cs="Times New Roman"/>
          <w:b w:val="0"/>
          <w:bCs w:val="0"/>
          <w:spacing w:val="-4"/>
          <w:sz w:val="32"/>
          <w:szCs w:val="32"/>
        </w:rPr>
        <w:t>三是加强沟通协调，我</w:t>
      </w:r>
      <w:r>
        <w:rPr>
          <w:rStyle w:val="18"/>
          <w:rFonts w:hint="default" w:ascii="Times New Roman" w:hAnsi="Times New Roman" w:eastAsia="仿宋_GB2312" w:cs="Times New Roman"/>
          <w:b w:val="0"/>
          <w:bCs w:val="0"/>
          <w:spacing w:val="-4"/>
          <w:sz w:val="32"/>
          <w:szCs w:val="32"/>
          <w:lang w:eastAsia="zh-CN"/>
        </w:rPr>
        <w:t>委</w:t>
      </w:r>
      <w:r>
        <w:rPr>
          <w:rStyle w:val="18"/>
          <w:rFonts w:hint="default" w:ascii="Times New Roman" w:hAnsi="Times New Roman" w:eastAsia="仿宋_GB2312" w:cs="Times New Roman"/>
          <w:b w:val="0"/>
          <w:bCs w:val="0"/>
          <w:spacing w:val="-4"/>
          <w:sz w:val="32"/>
          <w:szCs w:val="32"/>
        </w:rPr>
        <w:t>加强与各资金使用单位的沟通，及时对接协调推进项目进度，确保项目按期完工。</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楷体_GB2312" w:cs="Times New Roman"/>
          <w:b w:val="0"/>
          <w:bCs w:val="0"/>
          <w:spacing w:val="-4"/>
          <w:sz w:val="32"/>
          <w:szCs w:val="32"/>
          <w:lang w:val="en-US" w:eastAsia="zh-CN"/>
        </w:rPr>
        <w:t xml:space="preserve">  </w:t>
      </w:r>
      <w:r>
        <w:rPr>
          <w:rStyle w:val="18"/>
          <w:rFonts w:hint="default" w:ascii="Times New Roman" w:hAnsi="Times New Roman" w:eastAsia="楷体_GB2312" w:cs="Times New Roman"/>
          <w:b w:val="0"/>
          <w:bCs w:val="0"/>
          <w:spacing w:val="-4"/>
          <w:sz w:val="32"/>
          <w:szCs w:val="32"/>
        </w:rPr>
        <w:t>（二）存在问题及原因分析</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一是对各项指标和指标值要进一步优化、完善，主要在细化、量化上改进。二是现场评价的工作量少，后续效益评价具体措施和方法较少。</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bCs w:val="0"/>
          <w:spacing w:val="-4"/>
          <w:sz w:val="32"/>
          <w:szCs w:val="32"/>
        </w:rPr>
      </w:pPr>
      <w:r>
        <w:rPr>
          <w:rStyle w:val="18"/>
          <w:rFonts w:hint="default" w:ascii="Times New Roman" w:hAnsi="Times New Roman" w:eastAsia="黑体" w:cs="Times New Roman"/>
          <w:b w:val="0"/>
          <w:bCs w:val="0"/>
          <w:spacing w:val="-4"/>
          <w:sz w:val="32"/>
          <w:szCs w:val="32"/>
          <w:lang w:eastAsia="zh-CN"/>
        </w:rPr>
        <w:t>六</w:t>
      </w:r>
      <w:r>
        <w:rPr>
          <w:rStyle w:val="18"/>
          <w:rFonts w:hint="default" w:ascii="Times New Roman" w:hAnsi="Times New Roman" w:eastAsia="黑体" w:cs="Times New Roman"/>
          <w:b w:val="0"/>
          <w:bCs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对于跨年实施项目，建议适当对绩效评价工作开展的时间向后调整。</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bCs w:val="0"/>
          <w:spacing w:val="-4"/>
          <w:sz w:val="32"/>
          <w:szCs w:val="32"/>
        </w:rPr>
      </w:pPr>
      <w:r>
        <w:rPr>
          <w:rStyle w:val="18"/>
          <w:rFonts w:hint="default" w:ascii="Times New Roman" w:hAnsi="Times New Roman" w:eastAsia="黑体" w:cs="Times New Roman"/>
          <w:b w:val="0"/>
          <w:bCs w:val="0"/>
          <w:spacing w:val="-4"/>
          <w:sz w:val="32"/>
          <w:szCs w:val="32"/>
          <w:lang w:eastAsia="zh-CN"/>
        </w:rPr>
        <w:t>七</w:t>
      </w:r>
      <w:r>
        <w:rPr>
          <w:rStyle w:val="18"/>
          <w:rFonts w:hint="default" w:ascii="Times New Roman" w:hAnsi="Times New Roman" w:eastAsia="黑体" w:cs="Times New Roman"/>
          <w:b w:val="0"/>
          <w:bCs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我</w:t>
      </w:r>
      <w:r>
        <w:rPr>
          <w:rStyle w:val="18"/>
          <w:rFonts w:hint="default" w:ascii="Times New Roman" w:hAnsi="Times New Roman" w:eastAsia="仿宋_GB2312" w:cs="Times New Roman"/>
          <w:b w:val="0"/>
          <w:bCs w:val="0"/>
          <w:spacing w:val="-4"/>
          <w:sz w:val="32"/>
          <w:szCs w:val="32"/>
          <w:lang w:eastAsia="zh-CN"/>
        </w:rPr>
        <w:t>委</w:t>
      </w:r>
      <w:r>
        <w:rPr>
          <w:rStyle w:val="18"/>
          <w:rFonts w:hint="default" w:ascii="Times New Roman" w:hAnsi="Times New Roman" w:eastAsia="仿宋_GB2312" w:cs="Times New Roman"/>
          <w:b w:val="0"/>
          <w:bCs w:val="0"/>
          <w:spacing w:val="-4"/>
          <w:sz w:val="32"/>
          <w:szCs w:val="32"/>
        </w:rPr>
        <w:t>对上述项目支出绩效评价报告内反映内容的真实性、完整性负责，接受上级部门及社会公众监督。</w:t>
      </w:r>
    </w:p>
    <w:p>
      <w:pPr>
        <w:spacing w:line="540" w:lineRule="exact"/>
        <w:rPr>
          <w:rStyle w:val="18"/>
          <w:rFonts w:hint="default" w:ascii="Times New Roman" w:hAnsi="Times New Roman" w:eastAsia="仿宋" w:cs="Times New Roman"/>
          <w:b w:val="0"/>
          <w:bCs w:val="0"/>
          <w:spacing w:val="-4"/>
          <w:sz w:val="32"/>
          <w:szCs w:val="32"/>
        </w:rPr>
      </w:pPr>
    </w:p>
    <w:p>
      <w:pPr>
        <w:spacing w:line="540" w:lineRule="exact"/>
        <w:ind w:firstLine="567"/>
        <w:rPr>
          <w:rStyle w:val="18"/>
          <w:rFonts w:hint="default" w:ascii="Times New Roman" w:hAnsi="Times New Roman" w:eastAsia="仿宋" w:cs="Times New Roman"/>
          <w:b w:val="0"/>
          <w:bCs w:val="0"/>
          <w:spacing w:val="-4"/>
          <w:sz w:val="32"/>
          <w:szCs w:val="32"/>
        </w:rPr>
      </w:pPr>
    </w:p>
    <w:p>
      <w:pPr>
        <w:spacing w:line="540" w:lineRule="exact"/>
        <w:ind w:firstLine="567"/>
        <w:rPr>
          <w:rStyle w:val="18"/>
          <w:rFonts w:hint="default" w:ascii="Times New Roman" w:hAnsi="Times New Roman" w:eastAsia="仿宋" w:cs="Times New Roman"/>
          <w:b w:val="0"/>
          <w:bCs w:val="0"/>
          <w:spacing w:val="-4"/>
          <w:sz w:val="32"/>
          <w:szCs w:val="32"/>
        </w:rPr>
      </w:pPr>
    </w:p>
    <w:p>
      <w:pPr>
        <w:spacing w:line="540" w:lineRule="exact"/>
        <w:rPr>
          <w:rStyle w:val="18"/>
          <w:rFonts w:hint="default" w:ascii="Times New Roman" w:hAnsi="Times New Roman" w:eastAsia="仿宋" w:cs="Times New Roman"/>
          <w:b w:val="0"/>
          <w:bCs w:val="0"/>
          <w:spacing w:val="-4"/>
          <w:sz w:val="32"/>
          <w:szCs w:val="32"/>
        </w:rPr>
      </w:pPr>
    </w:p>
    <w:sectPr>
      <w:footerReference r:id="rId3" w:type="default"/>
      <w:pgSz w:w="11906" w:h="16838"/>
      <w:pgMar w:top="2098" w:right="1531" w:bottom="1928"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EDFC5AF"/>
    <w:rsid w:val="35A646B4"/>
    <w:rsid w:val="4C3D1751"/>
    <w:rsid w:val="4D2606A1"/>
    <w:rsid w:val="4FB6987C"/>
    <w:rsid w:val="5A5B1637"/>
    <w:rsid w:val="5E5DDF3C"/>
    <w:rsid w:val="6EDE5564"/>
    <w:rsid w:val="9C3C5440"/>
    <w:rsid w:val="9DBE4C83"/>
    <w:rsid w:val="BBAF0BBA"/>
    <w:rsid w:val="BCFF81DB"/>
    <w:rsid w:val="BFF01C62"/>
    <w:rsid w:val="DDFDB860"/>
    <w:rsid w:val="FC6F2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 w:type="character" w:customStyle="1" w:styleId="46">
    <w:name w:val="15"/>
    <w:basedOn w:val="17"/>
    <w:uiPriority w:val="0"/>
    <w:rPr>
      <w:rFonts w:hint="default" w:ascii="Calibri" w:hAnsi="Calibri" w:cs="Calibri"/>
      <w:b/>
      <w:bCs/>
    </w:rPr>
  </w:style>
  <w:style w:type="character" w:customStyle="1" w:styleId="47">
    <w:name w:val="10"/>
    <w:basedOn w:val="17"/>
    <w:uiPriority w:val="0"/>
    <w:rPr>
      <w:rFonts w:hint="default" w:ascii="Calibri" w:hAnsi="Calibri" w:cs="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113</Words>
  <Characters>648</Characters>
  <Lines>1</Lines>
  <Paragraphs>1</Paragraphs>
  <TotalTime>0</TotalTime>
  <ScaleCrop>false</ScaleCrop>
  <LinksUpToDate>false</LinksUpToDate>
  <CharactersWithSpaces>760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2018-08-16T10:06:00Z</dcterms:created>
  <dc:creator>赵 恺（预算处）</dc:creator>
  <cp:lastModifiedBy>fgw</cp:lastModifiedBy>
  <cp:lastPrinted>2019-01-01T18:56:00Z</cp:lastPrinted>
  <dcterms:modified xsi:type="dcterms:W3CDTF">2024-08-02T20:45:47Z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160D1BA1944349B08C48068401F6E698</vt:lpwstr>
  </property>
</Properties>
</file>