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7A732">
      <w:pPr>
        <w:snapToGrid w:val="0"/>
        <w:jc w:val="left"/>
        <w:rPr>
          <w:rFonts w:asciiTheme="minorEastAsia" w:hAnsiTheme="minorEastAsia" w:eastAsiaTheme="minorEastAsia" w:cstheme="minorEastAsia"/>
          <w:color w:val="333333"/>
          <w:sz w:val="24"/>
          <w:lang w:bidi="ar"/>
        </w:rPr>
      </w:pPr>
      <w:r>
        <w:rPr>
          <w:rFonts w:hint="eastAsia" w:asciiTheme="minorEastAsia" w:hAnsiTheme="minorEastAsia" w:eastAsiaTheme="minorEastAsia" w:cstheme="minorEastAsia"/>
          <w:color w:val="333333"/>
          <w:sz w:val="24"/>
          <w:lang w:bidi="ar"/>
        </w:rPr>
        <w:t>附件2</w:t>
      </w:r>
    </w:p>
    <w:p w14:paraId="1A6D8A77">
      <w:pPr>
        <w:tabs>
          <w:tab w:val="left" w:pos="1680"/>
        </w:tabs>
        <w:spacing w:before="120" w:after="120" w:line="480" w:lineRule="auto"/>
        <w:ind w:firstLine="2008" w:firstLineChars="500"/>
        <w:jc w:val="both"/>
        <w:outlineLvl w:val="0"/>
        <w:rPr>
          <w:rFonts w:hint="eastAsia" w:ascii="方正小标宋_GBK" w:hAnsi="方正小标宋_GBK" w:eastAsia="方正小标宋_GBK" w:cs="方正小标宋_GBK"/>
          <w:b/>
          <w:sz w:val="40"/>
          <w:szCs w:val="40"/>
        </w:rPr>
      </w:pPr>
      <w:r>
        <w:rPr>
          <w:rFonts w:hint="eastAsia" w:ascii="方正小标宋_GBK" w:hAnsi="方正小标宋_GBK" w:eastAsia="方正小标宋_GBK" w:cs="方正小标宋_GBK"/>
          <w:b/>
          <w:sz w:val="40"/>
          <w:szCs w:val="40"/>
        </w:rPr>
        <w:t>项目支出绩效评价报告</w:t>
      </w:r>
    </w:p>
    <w:p w14:paraId="04707154">
      <w:pPr>
        <w:spacing w:line="480" w:lineRule="auto"/>
        <w:ind w:firstLine="0" w:firstLineChars="0"/>
        <w:jc w:val="center"/>
        <w:rPr>
          <w:rFonts w:hint="eastAsia" w:ascii="仿宋_GB2312" w:hAnsi="仿宋_GB2312" w:cs="仿宋_GB2312"/>
          <w:b/>
          <w:kern w:val="0"/>
          <w:sz w:val="32"/>
          <w:szCs w:val="32"/>
          <w:lang w:bidi="en-US"/>
        </w:rPr>
      </w:pPr>
    </w:p>
    <w:p w14:paraId="06FC2126">
      <w:pPr>
        <w:spacing w:line="480" w:lineRule="auto"/>
        <w:ind w:firstLine="0" w:firstLineChars="0"/>
        <w:jc w:val="center"/>
        <w:rPr>
          <w:rFonts w:hint="eastAsia" w:ascii="仿宋_GB2312" w:hAnsi="仿宋_GB2312" w:cs="仿宋_GB2312"/>
          <w:b/>
          <w:kern w:val="0"/>
          <w:sz w:val="32"/>
          <w:szCs w:val="32"/>
          <w:lang w:bidi="en-US"/>
        </w:rPr>
      </w:pPr>
    </w:p>
    <w:p w14:paraId="4D61ACF8">
      <w:pPr>
        <w:spacing w:line="480" w:lineRule="auto"/>
        <w:ind w:firstLine="0" w:firstLineChars="0"/>
        <w:jc w:val="center"/>
        <w:rPr>
          <w:rFonts w:hint="eastAsia" w:ascii="仿宋_GB2312" w:hAnsi="仿宋_GB2312" w:cs="仿宋_GB2312"/>
          <w:b/>
          <w:kern w:val="0"/>
          <w:sz w:val="32"/>
          <w:szCs w:val="32"/>
          <w:lang w:bidi="en-US"/>
        </w:rPr>
      </w:pPr>
    </w:p>
    <w:p w14:paraId="2B6A0383">
      <w:pPr>
        <w:spacing w:line="480" w:lineRule="auto"/>
        <w:ind w:firstLine="0" w:firstLineChars="0"/>
        <w:jc w:val="center"/>
        <w:rPr>
          <w:rFonts w:hint="eastAsia" w:ascii="仿宋_GB2312" w:hAnsi="仿宋_GB2312" w:cs="仿宋_GB2312"/>
          <w:b/>
          <w:kern w:val="0"/>
          <w:sz w:val="32"/>
          <w:szCs w:val="32"/>
          <w:lang w:bidi="en-US"/>
        </w:rPr>
      </w:pPr>
    </w:p>
    <w:p w14:paraId="4D6DB3BE">
      <w:pPr>
        <w:spacing w:line="480" w:lineRule="auto"/>
        <w:ind w:firstLine="0" w:firstLineChars="0"/>
        <w:jc w:val="center"/>
        <w:rPr>
          <w:rFonts w:hint="eastAsia" w:ascii="仿宋_GB2312" w:hAnsi="仿宋_GB2312" w:cs="仿宋_GB2312"/>
          <w:b/>
          <w:kern w:val="0"/>
          <w:sz w:val="32"/>
          <w:szCs w:val="32"/>
          <w:lang w:bidi="en-US"/>
        </w:rPr>
      </w:pPr>
    </w:p>
    <w:p w14:paraId="4A5BD0F9">
      <w:pPr>
        <w:spacing w:line="480" w:lineRule="auto"/>
        <w:ind w:firstLine="0" w:firstLineChars="0"/>
        <w:jc w:val="center"/>
        <w:rPr>
          <w:rFonts w:hint="eastAsia" w:ascii="仿宋_GB2312" w:hAnsi="仿宋_GB2312" w:cs="仿宋_GB2312"/>
          <w:b/>
          <w:kern w:val="0"/>
          <w:sz w:val="32"/>
          <w:szCs w:val="32"/>
          <w:lang w:bidi="en-US"/>
        </w:rPr>
      </w:pPr>
    </w:p>
    <w:p w14:paraId="14DA1AB1">
      <w:pPr>
        <w:pStyle w:val="2"/>
        <w:rPr>
          <w:rFonts w:hint="eastAsia" w:ascii="仿宋_GB2312" w:hAnsi="仿宋_GB2312" w:cs="仿宋_GB2312"/>
          <w:b/>
          <w:kern w:val="0"/>
          <w:sz w:val="32"/>
          <w:szCs w:val="32"/>
          <w:lang w:bidi="en-US"/>
        </w:rPr>
      </w:pPr>
    </w:p>
    <w:p w14:paraId="66B0693B">
      <w:pPr>
        <w:pStyle w:val="2"/>
        <w:rPr>
          <w:rFonts w:hint="eastAsia"/>
        </w:rPr>
      </w:pPr>
    </w:p>
    <w:p w14:paraId="44A8436C">
      <w:pPr>
        <w:spacing w:line="480" w:lineRule="auto"/>
        <w:ind w:left="1710" w:leftChars="570" w:firstLine="0" w:firstLineChars="0"/>
        <w:jc w:val="left"/>
        <w:rPr>
          <w:rFonts w:hint="eastAsia" w:ascii="仿宋_GB2312" w:hAnsi="仿宋_GB2312" w:cs="仿宋_GB2312"/>
          <w:kern w:val="0"/>
          <w:sz w:val="32"/>
          <w:szCs w:val="32"/>
          <w:lang w:bidi="en-US"/>
        </w:rPr>
      </w:pPr>
      <w:r>
        <w:rPr>
          <w:rFonts w:hint="eastAsia" w:ascii="仿宋_GB2312" w:hAnsi="仿宋_GB2312" w:cs="仿宋_GB2312"/>
          <w:kern w:val="0"/>
          <w:sz w:val="32"/>
          <w:szCs w:val="32"/>
          <w:lang w:bidi="en-US"/>
        </w:rPr>
        <w:t>项目名称：房租成本性支出及后勤保障专项经费</w:t>
      </w:r>
    </w:p>
    <w:p w14:paraId="792B8E36">
      <w:pPr>
        <w:spacing w:line="480" w:lineRule="auto"/>
        <w:ind w:left="1710" w:leftChars="570" w:firstLine="0" w:firstLineChars="0"/>
        <w:jc w:val="left"/>
        <w:rPr>
          <w:rFonts w:hint="eastAsia" w:ascii="仿宋_GB2312" w:hAnsi="仿宋_GB2312" w:cs="仿宋_GB2312"/>
          <w:color w:val="auto"/>
          <w:kern w:val="0"/>
          <w:sz w:val="32"/>
          <w:szCs w:val="32"/>
          <w:lang w:eastAsia="zh-CN" w:bidi="en-US"/>
        </w:rPr>
      </w:pPr>
      <w:r>
        <w:rPr>
          <w:rFonts w:hint="eastAsia" w:ascii="仿宋_GB2312" w:hAnsi="仿宋_GB2312" w:cs="仿宋_GB2312"/>
          <w:color w:val="auto"/>
          <w:kern w:val="0"/>
          <w:sz w:val="32"/>
          <w:szCs w:val="32"/>
          <w:lang w:bidi="en-US"/>
        </w:rPr>
        <w:t>项目单位：</w:t>
      </w:r>
      <w:r>
        <w:rPr>
          <w:rFonts w:hint="eastAsia" w:ascii="仿宋_GB2312" w:hAnsi="仿宋_GB2312" w:cs="仿宋_GB2312"/>
          <w:color w:val="auto"/>
          <w:kern w:val="0"/>
          <w:sz w:val="32"/>
          <w:szCs w:val="32"/>
          <w:lang w:eastAsia="zh-CN" w:bidi="en-US"/>
        </w:rPr>
        <w:t>新疆维吾尔自治区发展和改革委员会机关服务中心</w:t>
      </w:r>
    </w:p>
    <w:p w14:paraId="1F73217B">
      <w:pPr>
        <w:spacing w:line="480" w:lineRule="auto"/>
        <w:ind w:firstLine="1600" w:firstLineChars="500"/>
        <w:jc w:val="left"/>
        <w:rPr>
          <w:rFonts w:hint="eastAsia" w:ascii="仿宋_GB2312" w:hAnsi="仿宋_GB2312" w:cs="仿宋_GB2312"/>
          <w:color w:val="auto"/>
          <w:kern w:val="0"/>
          <w:sz w:val="32"/>
          <w:szCs w:val="32"/>
          <w:lang w:eastAsia="zh-CN" w:bidi="en-US"/>
        </w:rPr>
      </w:pPr>
      <w:r>
        <w:rPr>
          <w:rFonts w:hint="eastAsia" w:ascii="仿宋_GB2312" w:hAnsi="仿宋_GB2312" w:cs="仿宋_GB2312"/>
          <w:color w:val="auto"/>
          <w:kern w:val="0"/>
          <w:sz w:val="32"/>
          <w:szCs w:val="32"/>
          <w:lang w:bidi="en-US"/>
        </w:rPr>
        <w:t>主管部门：</w:t>
      </w:r>
      <w:r>
        <w:rPr>
          <w:rFonts w:hint="eastAsia" w:ascii="仿宋_GB2312" w:hAnsi="仿宋_GB2312" w:cs="仿宋_GB2312"/>
          <w:color w:val="auto"/>
          <w:kern w:val="0"/>
          <w:sz w:val="32"/>
          <w:szCs w:val="32"/>
          <w:lang w:eastAsia="zh-CN" w:bidi="en-US"/>
        </w:rPr>
        <w:t>新疆维吾尔自治区发展和改革委员会</w:t>
      </w:r>
    </w:p>
    <w:p w14:paraId="685288C8">
      <w:pPr>
        <w:spacing w:line="480" w:lineRule="auto"/>
        <w:ind w:firstLine="1600" w:firstLineChars="500"/>
        <w:jc w:val="left"/>
        <w:rPr>
          <w:rFonts w:hint="eastAsia" w:ascii="仿宋_GB2312" w:hAnsi="仿宋_GB2312" w:eastAsia="仿宋_GB2312" w:cs="仿宋_GB2312"/>
          <w:kern w:val="0"/>
          <w:sz w:val="32"/>
          <w:szCs w:val="32"/>
          <w:lang w:eastAsia="zh-CN" w:bidi="en-US"/>
        </w:rPr>
      </w:pPr>
      <w:r>
        <w:rPr>
          <w:rFonts w:hint="eastAsia" w:ascii="仿宋_GB2312" w:hAnsi="仿宋_GB2312" w:cs="仿宋_GB2312"/>
          <w:kern w:val="0"/>
          <w:sz w:val="32"/>
          <w:szCs w:val="32"/>
          <w:lang w:bidi="en-US"/>
        </w:rPr>
        <w:t>项目负责人：周云华</w:t>
      </w:r>
    </w:p>
    <w:p w14:paraId="1A87C1C9">
      <w:pPr>
        <w:spacing w:line="480" w:lineRule="auto"/>
        <w:ind w:firstLine="1600" w:firstLineChars="500"/>
        <w:jc w:val="left"/>
        <w:rPr>
          <w:rFonts w:ascii="仿宋_GB2312" w:hAnsi="仿宋_GB2312" w:cs="仿宋_GB2312"/>
          <w:kern w:val="0"/>
          <w:sz w:val="32"/>
          <w:szCs w:val="32"/>
          <w:lang w:bidi="en-US"/>
        </w:rPr>
      </w:pPr>
      <w:r>
        <w:rPr>
          <w:rFonts w:hint="eastAsia" w:ascii="仿宋_GB2312" w:hAnsi="仿宋_GB2312" w:cs="仿宋_GB2312"/>
          <w:kern w:val="0"/>
          <w:sz w:val="32"/>
          <w:szCs w:val="32"/>
          <w:lang w:bidi="en-US"/>
        </w:rPr>
        <w:t>填报时间：</w:t>
      </w:r>
      <w:r>
        <w:rPr>
          <w:rFonts w:hint="eastAsia" w:ascii="仿宋_GB2312" w:hAnsi="仿宋_GB2312" w:cs="仿宋_GB2312"/>
          <w:kern w:val="0"/>
          <w:sz w:val="32"/>
          <w:szCs w:val="32"/>
          <w:lang w:val="en-US" w:eastAsia="zh-CN" w:bidi="en-US"/>
        </w:rPr>
        <w:t>2024</w:t>
      </w:r>
      <w:r>
        <w:rPr>
          <w:rFonts w:hint="eastAsia" w:ascii="仿宋_GB2312" w:hAnsi="仿宋_GB2312" w:cs="仿宋_GB2312"/>
          <w:kern w:val="0"/>
          <w:sz w:val="32"/>
          <w:szCs w:val="32"/>
          <w:lang w:bidi="en-US"/>
        </w:rPr>
        <w:t>年</w:t>
      </w:r>
      <w:r>
        <w:rPr>
          <w:rFonts w:hint="eastAsia" w:ascii="仿宋_GB2312" w:hAnsi="仿宋_GB2312" w:cs="仿宋_GB2312"/>
          <w:kern w:val="0"/>
          <w:sz w:val="32"/>
          <w:szCs w:val="32"/>
          <w:lang w:val="en-US" w:eastAsia="zh-CN" w:bidi="en-US"/>
        </w:rPr>
        <w:t>4</w:t>
      </w:r>
      <w:r>
        <w:rPr>
          <w:rFonts w:hint="eastAsia" w:ascii="仿宋_GB2312" w:hAnsi="仿宋_GB2312" w:cs="仿宋_GB2312"/>
          <w:kern w:val="0"/>
          <w:sz w:val="32"/>
          <w:szCs w:val="32"/>
          <w:lang w:bidi="en-US"/>
        </w:rPr>
        <w:t>月</w:t>
      </w:r>
      <w:r>
        <w:rPr>
          <w:rFonts w:hint="eastAsia" w:ascii="仿宋_GB2312" w:hAnsi="仿宋_GB2312" w:cs="仿宋_GB2312"/>
          <w:kern w:val="0"/>
          <w:sz w:val="32"/>
          <w:szCs w:val="32"/>
          <w:lang w:val="en-US" w:eastAsia="zh-CN" w:bidi="en-US"/>
        </w:rPr>
        <w:t>1</w:t>
      </w:r>
      <w:r>
        <w:rPr>
          <w:rFonts w:hint="eastAsia" w:ascii="仿宋_GB2312" w:hAnsi="仿宋_GB2312" w:cs="仿宋_GB2312"/>
          <w:kern w:val="0"/>
          <w:sz w:val="32"/>
          <w:szCs w:val="32"/>
          <w:lang w:bidi="en-US"/>
        </w:rPr>
        <w:t>日</w:t>
      </w:r>
    </w:p>
    <w:p w14:paraId="46B50BA7">
      <w:pPr>
        <w:pStyle w:val="6"/>
        <w:ind w:firstLine="883"/>
        <w:rPr>
          <w:rFonts w:hint="eastAsia"/>
        </w:rPr>
      </w:pPr>
    </w:p>
    <w:p w14:paraId="461D2E58">
      <w:pPr>
        <w:jc w:val="center"/>
        <w:rPr>
          <w:rFonts w:ascii="FangSong_GB2312"/>
          <w:szCs w:val="30"/>
        </w:rPr>
      </w:pPr>
    </w:p>
    <w:p w14:paraId="5BECA0C5">
      <w:pPr>
        <w:spacing w:line="600" w:lineRule="exact"/>
        <w:ind w:firstLine="600" w:firstLineChars="200"/>
        <w:rPr>
          <w:rFonts w:ascii="黑体" w:hAnsi="黑体" w:eastAsia="黑体"/>
        </w:rPr>
      </w:pPr>
      <w:r>
        <w:rPr>
          <w:rFonts w:hint="eastAsia" w:ascii="黑体" w:hAnsi="黑体" w:eastAsia="黑体"/>
        </w:rPr>
        <w:t>一、基本情况</w:t>
      </w:r>
    </w:p>
    <w:p w14:paraId="05CF6BC7">
      <w:pPr>
        <w:spacing w:line="600" w:lineRule="exact"/>
        <w:ind w:firstLine="600" w:firstLineChars="200"/>
        <w:outlineLvl w:val="0"/>
        <w:rPr>
          <w:rFonts w:ascii="FangSong_GB2312"/>
        </w:rPr>
      </w:pPr>
      <w:r>
        <w:rPr>
          <w:rFonts w:hint="eastAsia" w:ascii="FangSong_GB2312"/>
        </w:rPr>
        <w:t>（一）项目概况。包括项目背景、主要内容及实施情况、资金投入和使用情况等。</w:t>
      </w:r>
    </w:p>
    <w:p w14:paraId="136FCAB7">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本项目的提出主要是针对我委办公楼、公房等基础设施陈旧，频繁出现跑冒滴漏现象，对委内职工集中反映的问题统筹安排，优先将必需更新及维修维护的水、电、暖气管道、阀门、公共照明等5项零星维修更换；对委办公楼、公共住宅区10000平方米管理面积的花草树木等进行修整，改善职工食堂伙食质量和就餐环境，对办公区公共住宅区加强安保巡查力度，不断提升全委干部职工办公及生活环境的满意度。</w:t>
      </w:r>
    </w:p>
    <w:p w14:paraId="4AFC8338">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2. 主要内容及实施情况</w:t>
      </w:r>
    </w:p>
    <w:p w14:paraId="0610A9E7">
      <w:pPr>
        <w:pStyle w:val="19"/>
        <w:spacing w:line="580" w:lineRule="exact"/>
        <w:ind w:firstLine="640"/>
        <w:rPr>
          <w:rFonts w:ascii="FangSong_GB2312" w:hAnsi="FangSong_GB2312" w:cs="FangSong_GB2312"/>
          <w:kern w:val="0"/>
          <w:sz w:val="32"/>
          <w:szCs w:val="32"/>
        </w:rPr>
      </w:pPr>
      <w:r>
        <w:rPr>
          <w:rFonts w:hint="eastAsia" w:ascii="FangSong_GB2312" w:hAnsi="FangSong_GB2312" w:cs="FangSong_GB2312"/>
          <w:kern w:val="0"/>
          <w:sz w:val="32"/>
          <w:szCs w:val="32"/>
        </w:rPr>
        <w:t>机关服务中心主要职能：机关办公与职工工作生活提供后勤服务、机关交通、文印、办公区环境卫生、会议招待、公房维修、物业管理、资产管理、职工餐饮、承办机关委托有关事项服务及相关社会服务。</w:t>
      </w:r>
    </w:p>
    <w:p w14:paraId="2C95E7D5">
      <w:pPr>
        <w:pStyle w:val="19"/>
        <w:spacing w:line="580" w:lineRule="exact"/>
        <w:ind w:firstLine="640"/>
        <w:rPr>
          <w:rFonts w:ascii="FangSong_GB2312" w:hAnsi="FangSong_GB2312" w:cs="FangSong_GB2312"/>
          <w:kern w:val="0"/>
          <w:sz w:val="32"/>
          <w:szCs w:val="32"/>
        </w:rPr>
      </w:pPr>
      <w:r>
        <w:rPr>
          <w:rFonts w:eastAsia="KaiTi_GB2312" w:cs="Times New Roman"/>
          <w:sz w:val="32"/>
          <w:szCs w:val="32"/>
        </w:rPr>
        <w:t>（</w:t>
      </w:r>
      <w:r>
        <w:rPr>
          <w:rFonts w:hint="eastAsia" w:eastAsia="KaiTi_GB2312"/>
          <w:sz w:val="32"/>
          <w:szCs w:val="32"/>
        </w:rPr>
        <w:t>一</w:t>
      </w:r>
      <w:r>
        <w:rPr>
          <w:rFonts w:eastAsia="KaiTi_GB2312" w:cs="Times New Roman"/>
          <w:sz w:val="32"/>
          <w:szCs w:val="32"/>
        </w:rPr>
        <w:t>）扎实推进委固定资产清理核销工作</w:t>
      </w:r>
    </w:p>
    <w:p w14:paraId="1A86FF12">
      <w:pPr>
        <w:spacing w:line="560" w:lineRule="exact"/>
        <w:ind w:firstLine="640" w:firstLineChars="200"/>
        <w:rPr>
          <w:sz w:val="32"/>
          <w:szCs w:val="32"/>
        </w:rPr>
      </w:pPr>
      <w:r>
        <w:rPr>
          <w:sz w:val="32"/>
          <w:szCs w:val="32"/>
        </w:rPr>
        <w:t>根据自治区财政厅、自治区机关事务管理局固定资产盘点核销相关要求，积极做好委机关固定资产盘点核销工作，指导督促委属二级局和事业单位固定资产盘点和数据汇总工作，为资产盘活和核销处置提供依据，确保固定资产账目清晰准确，为数据录入提供详实数据。</w:t>
      </w:r>
      <w:r>
        <w:rPr>
          <w:rFonts w:hint="eastAsia"/>
          <w:sz w:val="32"/>
          <w:szCs w:val="32"/>
        </w:rPr>
        <w:t>目前资产清查核销工作委托第三方正在实施中。</w:t>
      </w:r>
    </w:p>
    <w:p w14:paraId="28FB1706">
      <w:pPr>
        <w:spacing w:line="560" w:lineRule="exact"/>
        <w:ind w:firstLine="320" w:firstLineChars="100"/>
        <w:rPr>
          <w:rFonts w:eastAsia="KaiTi_GB2312"/>
          <w:sz w:val="32"/>
          <w:szCs w:val="32"/>
        </w:rPr>
      </w:pPr>
      <w:r>
        <w:rPr>
          <w:rFonts w:eastAsia="KaiTi_GB2312"/>
          <w:sz w:val="32"/>
          <w:szCs w:val="32"/>
        </w:rPr>
        <w:t>（</w:t>
      </w:r>
      <w:r>
        <w:rPr>
          <w:rFonts w:hint="eastAsia" w:eastAsia="KaiTi_GB2312"/>
          <w:sz w:val="32"/>
          <w:szCs w:val="32"/>
        </w:rPr>
        <w:t>二</w:t>
      </w:r>
      <w:r>
        <w:rPr>
          <w:rFonts w:eastAsia="KaiTi_GB2312"/>
          <w:sz w:val="32"/>
          <w:szCs w:val="32"/>
        </w:rPr>
        <w:t>）积极协助委办公楼搬迁</w:t>
      </w:r>
      <w:r>
        <w:rPr>
          <w:rFonts w:hint="eastAsia" w:eastAsia="KaiTi_GB2312"/>
          <w:sz w:val="32"/>
          <w:szCs w:val="32"/>
        </w:rPr>
        <w:t>各项</w:t>
      </w:r>
      <w:r>
        <w:rPr>
          <w:rFonts w:eastAsia="KaiTi_GB2312"/>
          <w:sz w:val="32"/>
          <w:szCs w:val="32"/>
        </w:rPr>
        <w:t>工作</w:t>
      </w:r>
    </w:p>
    <w:p w14:paraId="6367BF03">
      <w:pPr>
        <w:spacing w:line="560" w:lineRule="exact"/>
        <w:ind w:firstLine="640" w:firstLineChars="200"/>
        <w:rPr>
          <w:sz w:val="32"/>
          <w:szCs w:val="32"/>
        </w:rPr>
      </w:pPr>
      <w:r>
        <w:rPr>
          <w:sz w:val="32"/>
          <w:szCs w:val="32"/>
        </w:rPr>
        <w:t>积极配合委广场联合办公大楼搬迁协调组开展前期设计、造价、监理、委托招标；配合协调新办公楼节能改造、主体施工、信息化建设等工作。</w:t>
      </w:r>
      <w:r>
        <w:rPr>
          <w:rFonts w:hint="eastAsia"/>
          <w:sz w:val="32"/>
          <w:szCs w:val="32"/>
        </w:rPr>
        <w:t>会同委办公室协调办公楼搬迁各项工作，协调广场联合大厦物业对接水、电、空调、消防等事项，各处室搬迁后主动开展办公家具维修100余次，及时调整和增加保洁人员，为办公区配置保洁设备等，确保搬迁工作安全、有序、顺利完成。</w:t>
      </w:r>
    </w:p>
    <w:p w14:paraId="3B30A7CD">
      <w:pPr>
        <w:spacing w:line="560" w:lineRule="exact"/>
        <w:ind w:firstLine="640" w:firstLineChars="200"/>
        <w:rPr>
          <w:rFonts w:eastAsia="KaiTi_GB2312"/>
          <w:sz w:val="32"/>
          <w:szCs w:val="32"/>
        </w:rPr>
      </w:pPr>
      <w:r>
        <w:rPr>
          <w:rFonts w:eastAsia="KaiTi_GB2312"/>
          <w:sz w:val="32"/>
          <w:szCs w:val="32"/>
        </w:rPr>
        <w:t>（</w:t>
      </w:r>
      <w:r>
        <w:rPr>
          <w:rFonts w:hint="eastAsia" w:eastAsia="KaiTi_GB2312"/>
          <w:sz w:val="32"/>
          <w:szCs w:val="32"/>
        </w:rPr>
        <w:t>三</w:t>
      </w:r>
      <w:r>
        <w:rPr>
          <w:rFonts w:eastAsia="KaiTi_GB2312"/>
          <w:sz w:val="32"/>
          <w:szCs w:val="32"/>
        </w:rPr>
        <w:t>）全力做好干部职工日常伙食保障</w:t>
      </w:r>
    </w:p>
    <w:p w14:paraId="70C28623">
      <w:pPr>
        <w:spacing w:line="560" w:lineRule="exact"/>
        <w:ind w:firstLine="640" w:firstLineChars="200"/>
        <w:rPr>
          <w:sz w:val="32"/>
          <w:szCs w:val="32"/>
        </w:rPr>
      </w:pPr>
      <w:r>
        <w:rPr>
          <w:sz w:val="32"/>
          <w:szCs w:val="32"/>
        </w:rPr>
        <w:t>积极做好干部职工餐饮保障工作，增强反食品浪费理念，引导食品安全意识，科学配餐、营养搭配，不断提高厨艺，确保吃的健康、吃的放心、吃的满意。</w:t>
      </w:r>
      <w:r>
        <w:rPr>
          <w:rFonts w:hint="eastAsia"/>
          <w:sz w:val="32"/>
          <w:szCs w:val="32"/>
          <w:lang w:eastAsia="zh-CN"/>
        </w:rPr>
        <w:t>截至目前</w:t>
      </w:r>
      <w:r>
        <w:rPr>
          <w:rFonts w:hint="eastAsia"/>
          <w:sz w:val="32"/>
          <w:szCs w:val="32"/>
        </w:rPr>
        <w:t>，全年共计就餐60689人次。积极开展自治区机关事务管理局反食品浪费评估工作，参加全区反食品浪费评估检查工作，</w:t>
      </w:r>
      <w:r>
        <w:rPr>
          <w:sz w:val="32"/>
          <w:szCs w:val="32"/>
        </w:rPr>
        <w:t>2023年6月，机关食堂在迎接自治区机关事务管理局反</w:t>
      </w:r>
      <w:bookmarkStart w:id="5" w:name="_GoBack"/>
      <w:bookmarkEnd w:id="5"/>
      <w:r>
        <w:rPr>
          <w:sz w:val="32"/>
          <w:szCs w:val="32"/>
        </w:rPr>
        <w:t>食品浪费评估工作检查中，被评为优秀食堂。</w:t>
      </w:r>
    </w:p>
    <w:p w14:paraId="6E9D8AED">
      <w:pPr>
        <w:spacing w:line="560" w:lineRule="exact"/>
        <w:ind w:firstLine="640" w:firstLineChars="200"/>
        <w:rPr>
          <w:rFonts w:eastAsia="KaiTi_GB2312"/>
          <w:sz w:val="32"/>
          <w:szCs w:val="32"/>
        </w:rPr>
      </w:pPr>
      <w:r>
        <w:rPr>
          <w:rFonts w:eastAsia="KaiTi_GB2312"/>
          <w:sz w:val="32"/>
          <w:szCs w:val="32"/>
        </w:rPr>
        <w:t>（</w:t>
      </w:r>
      <w:r>
        <w:rPr>
          <w:rFonts w:hint="eastAsia" w:eastAsia="KaiTi_GB2312"/>
          <w:sz w:val="32"/>
          <w:szCs w:val="32"/>
        </w:rPr>
        <w:t>四</w:t>
      </w:r>
      <w:r>
        <w:rPr>
          <w:rFonts w:eastAsia="KaiTi_GB2312"/>
          <w:sz w:val="32"/>
          <w:szCs w:val="32"/>
        </w:rPr>
        <w:t>）常态化做好委机关日常维修、物业、车辆等保障工作</w:t>
      </w:r>
    </w:p>
    <w:p w14:paraId="4CAE22D2">
      <w:pPr>
        <w:spacing w:line="560" w:lineRule="exact"/>
        <w:ind w:firstLine="640" w:firstLineChars="200"/>
        <w:rPr>
          <w:rFonts w:ascii="FangSong_GB2312" w:hAnsi="FangSong_GB2312" w:cs="FangSong_GB2312"/>
          <w:sz w:val="32"/>
          <w:szCs w:val="32"/>
        </w:rPr>
      </w:pPr>
      <w:r>
        <w:rPr>
          <w:rFonts w:hint="eastAsia" w:eastAsia="KaiTi_GB2312"/>
          <w:sz w:val="32"/>
          <w:szCs w:val="32"/>
        </w:rPr>
        <w:t>一是维修项目。</w:t>
      </w:r>
      <w:r>
        <w:rPr>
          <w:rFonts w:hint="eastAsia" w:ascii="FangSong_GB2312" w:hAnsi="FangSong_GB2312" w:cs="FangSong_GB2312"/>
          <w:sz w:val="32"/>
          <w:szCs w:val="32"/>
        </w:rPr>
        <w:t>实施酒花大厦维修改造工程、幸福路北二巷9号屋面及二道湾路西一巷65号车库屋面维修项目、明德路38号单身宿舍电路维修改造项目、酒花大厦办公区节能改造项目。全年完成三个办公区零星维修200余次；</w:t>
      </w:r>
      <w:r>
        <w:rPr>
          <w:rFonts w:hint="eastAsia" w:ascii="KaiTi_GB2312" w:hAnsi="KaiTi_GB2312" w:eastAsia="KaiTi_GB2312" w:cs="KaiTi_GB2312"/>
          <w:sz w:val="32"/>
          <w:szCs w:val="32"/>
        </w:rPr>
        <w:t>二是物业保洁。</w:t>
      </w:r>
      <w:r>
        <w:rPr>
          <w:sz w:val="32"/>
          <w:szCs w:val="32"/>
        </w:rPr>
        <w:t>积极开展“无烟党政机关”创建工作，并通过天山区文明办检查验收；配合社区开展文明城市和文明单位创建工作，组织开展学雷锋、交通文明岗、树木</w:t>
      </w:r>
      <w:r>
        <w:rPr>
          <w:rFonts w:hint="eastAsia" w:ascii="FangSong_GB2312" w:hAnsi="FangSong_GB2312" w:cs="FangSong_GB2312"/>
          <w:sz w:val="32"/>
          <w:szCs w:val="32"/>
        </w:rPr>
        <w:t>为消除安全隐患，更换办公楼消防器材一批；开展年度办公区绿化工作、</w:t>
      </w:r>
      <w:r>
        <w:rPr>
          <w:sz w:val="32"/>
          <w:szCs w:val="32"/>
        </w:rPr>
        <w:t>防虫粉刷、卫生大扫除等工作</w:t>
      </w:r>
      <w:r>
        <w:rPr>
          <w:rFonts w:hint="eastAsia" w:ascii="FangSong_GB2312" w:hAnsi="FangSong_GB2312" w:cs="FangSong_GB2312"/>
          <w:sz w:val="32"/>
          <w:szCs w:val="32"/>
        </w:rPr>
        <w:t>，种植养护绿植</w:t>
      </w:r>
      <w:r>
        <w:rPr>
          <w:rFonts w:ascii="FangSong_GB2312" w:hAnsi="FangSong_GB2312" w:cs="FangSong_GB2312"/>
          <w:sz w:val="32"/>
          <w:szCs w:val="32"/>
          <w:lang w:val="en"/>
        </w:rPr>
        <w:t>2</w:t>
      </w:r>
      <w:r>
        <w:rPr>
          <w:rFonts w:hint="eastAsia" w:ascii="FangSong_GB2312" w:hAnsi="FangSong_GB2312" w:cs="FangSong_GB2312"/>
          <w:sz w:val="32"/>
          <w:szCs w:val="32"/>
        </w:rPr>
        <w:t>5</w:t>
      </w:r>
      <w:r>
        <w:rPr>
          <w:rFonts w:ascii="FangSong_GB2312" w:hAnsi="FangSong_GB2312" w:cs="FangSong_GB2312"/>
          <w:sz w:val="32"/>
          <w:szCs w:val="32"/>
          <w:lang w:val="en"/>
        </w:rPr>
        <w:t>00</w:t>
      </w:r>
      <w:r>
        <w:rPr>
          <w:rFonts w:hint="eastAsia" w:ascii="FangSong_GB2312" w:hAnsi="FangSong_GB2312" w:cs="FangSong_GB2312"/>
          <w:sz w:val="32"/>
          <w:szCs w:val="32"/>
          <w:lang w:val="en"/>
        </w:rPr>
        <w:t>㎡</w:t>
      </w:r>
      <w:r>
        <w:rPr>
          <w:rFonts w:hint="eastAsia" w:ascii="FangSong_GB2312" w:hAnsi="FangSong_GB2312" w:cs="FangSong_GB2312"/>
          <w:sz w:val="32"/>
          <w:szCs w:val="32"/>
        </w:rPr>
        <w:t>，花卉3000株。</w:t>
      </w:r>
      <w:r>
        <w:rPr>
          <w:rFonts w:hint="eastAsia" w:ascii="KaiTi_GB2312" w:hAnsi="KaiTi_GB2312" w:eastAsia="KaiTi_GB2312" w:cs="KaiTi_GB2312"/>
          <w:sz w:val="32"/>
          <w:szCs w:val="32"/>
        </w:rPr>
        <w:t>三是车辆保障。</w:t>
      </w:r>
      <w:r>
        <w:rPr>
          <w:rFonts w:hint="eastAsia" w:ascii="FangSong_GB2312" w:hAnsi="FangSong_GB2312" w:cs="FangSong_GB2312"/>
          <w:sz w:val="32"/>
          <w:szCs w:val="32"/>
        </w:rPr>
        <w:t>严格落实车辆定点加油和定点维修制度，机关公务用车保障全年安全无事故，安全行车30余万公里。</w:t>
      </w:r>
    </w:p>
    <w:p w14:paraId="3481C0C7">
      <w:pPr>
        <w:pStyle w:val="4"/>
        <w:spacing w:before="0" w:after="0" w:line="580" w:lineRule="exact"/>
        <w:ind w:firstLine="640"/>
        <w:rPr>
          <w:rFonts w:ascii="FangSong_GB2312" w:hAnsi="FangSong_GB2312" w:cs="FangSong_GB2312"/>
          <w:bCs w:val="0"/>
          <w:sz w:val="32"/>
        </w:rPr>
      </w:pPr>
      <w:r>
        <w:rPr>
          <w:rFonts w:hint="eastAsia" w:ascii="FangSong_GB2312" w:hAnsi="FangSong_GB2312" w:cs="FangSong_GB2312"/>
          <w:bCs w:val="0"/>
          <w:sz w:val="32"/>
        </w:rPr>
        <w:t>3.项目实施主体</w:t>
      </w:r>
    </w:p>
    <w:p w14:paraId="3B0EC27E">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新疆维吾尔自治区发展和改革委员会机关服务中心主要职能为：为委机关提供后勤保障工作。</w:t>
      </w:r>
    </w:p>
    <w:p w14:paraId="2A972277">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编制人数45人，其中：事业人员编制45人，实有在职人数31，离退休人员38人，其中：事业退休38人。</w:t>
      </w:r>
    </w:p>
    <w:p w14:paraId="3071816C">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4. 资金投入和使用情况</w:t>
      </w:r>
    </w:p>
    <w:p w14:paraId="2883E3ED">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根据自治区财政厅《关于批复自治区本级2023年部门预算的通知》（新财预【2023】1号）文件预算安排资金63万元，其中维修（护）费25万元、物业管理费补助费用22万元、其他商品服务16万元，截至2023年12月31日，实际支出63万元，预算执行率100%。</w:t>
      </w:r>
    </w:p>
    <w:p w14:paraId="7DD495D2">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（二）项目绩效目标。包括总体目标和阶段性目标。</w:t>
      </w:r>
    </w:p>
    <w:p w14:paraId="3FB8EE8B">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1.项目绩效总目标</w:t>
      </w:r>
    </w:p>
    <w:p w14:paraId="7BC881A2">
      <w:pPr>
        <w:pStyle w:val="17"/>
        <w:spacing w:line="580" w:lineRule="exact"/>
        <w:ind w:firstLine="640"/>
        <w:outlineLvl w:val="2"/>
        <w:rPr>
          <w:rFonts w:ascii="FangSong_GB2312" w:hAnsi="FangSong_GB2312" w:cs="FangSong_GB2312"/>
          <w:sz w:val="32"/>
          <w:szCs w:val="32"/>
        </w:rPr>
      </w:pPr>
      <w:r>
        <w:rPr>
          <w:rFonts w:hint="eastAsia" w:ascii="FangSong_GB2312" w:hAnsi="FangSong_GB2312" w:cs="FangSong_GB2312"/>
          <w:sz w:val="32"/>
          <w:szCs w:val="32"/>
        </w:rPr>
        <w:t>为了认真落实民生工程有关要求，针对我委办公楼、公房等基础设施陈旧，频繁出现跑冒滴漏现象，对委内职工反映集中的问题统筹安排，优先将必需更新及维修维护的水、电、暖气管道、阀门、公共照明等项目进行零星更换和维修；实施维护委内办公区花草绿化、办公区及职工餐厅垃圾清运、办公区下水疏通清理等物业服务；有效解决办公及公共住宅的环境，不断提升全委干部职工办公及生活环境的满意度。</w:t>
      </w:r>
    </w:p>
    <w:p w14:paraId="3D58E840">
      <w:pPr>
        <w:spacing w:line="600" w:lineRule="exact"/>
        <w:ind w:firstLine="640" w:firstLineChars="200"/>
        <w:rPr>
          <w:rFonts w:ascii="FangSong_GB2312" w:hAnsi="FangSong_GB2312" w:cs="FangSong_GB2312"/>
          <w:bCs/>
          <w:sz w:val="32"/>
          <w:szCs w:val="32"/>
        </w:rPr>
      </w:pPr>
      <w:r>
        <w:rPr>
          <w:rFonts w:hint="eastAsia" w:ascii="FangSong_GB2312" w:hAnsi="FangSong_GB2312" w:cs="FangSong_GB2312"/>
          <w:bCs/>
          <w:sz w:val="32"/>
          <w:szCs w:val="32"/>
        </w:rPr>
        <w:t>2.阶段性目标</w:t>
      </w:r>
      <w:r>
        <w:rPr>
          <w:rFonts w:ascii="FangSong_GB2312" w:hAnsi="FangSong_GB2312" w:cs="FangSong_GB2312"/>
          <w:bCs/>
          <w:sz w:val="32"/>
          <w:szCs w:val="32"/>
        </w:rPr>
        <w:tab/>
      </w:r>
    </w:p>
    <w:p w14:paraId="2BF7A205">
      <w:pPr>
        <w:spacing w:line="560" w:lineRule="exact"/>
        <w:ind w:firstLine="640" w:firstLineChars="200"/>
        <w:rPr>
          <w:sz w:val="32"/>
          <w:szCs w:val="32"/>
        </w:rPr>
      </w:pPr>
      <w:r>
        <w:rPr>
          <w:sz w:val="32"/>
          <w:szCs w:val="32"/>
        </w:rPr>
        <w:t>积极配合委广场联合办公大楼搬迁协调组开展前期设计、造价、监理、委托招标；配合协调新办公楼节能改造、主体施工、信息化建设等工作。</w:t>
      </w:r>
      <w:r>
        <w:rPr>
          <w:rFonts w:hint="eastAsia"/>
          <w:sz w:val="32"/>
          <w:szCs w:val="32"/>
        </w:rPr>
        <w:t>会同委办公室协调办公楼搬迁各项工作，协调广场联合大厦物业对接水、电、空调、消防等事项，各处室搬迁后主动开展办公家具维修100余次，及时调整和增加保洁人员，为办公区配置保洁设备等，确保搬迁工作安全、有序、顺利完成。</w:t>
      </w:r>
    </w:p>
    <w:p w14:paraId="0330D9D6">
      <w:pPr>
        <w:spacing w:line="600" w:lineRule="exact"/>
        <w:ind w:firstLine="600" w:firstLineChars="200"/>
        <w:rPr>
          <w:rFonts w:ascii="黑体" w:hAnsi="黑体" w:eastAsia="黑体"/>
        </w:rPr>
      </w:pPr>
      <w:r>
        <w:rPr>
          <w:rFonts w:hint="eastAsia" w:ascii="黑体" w:hAnsi="黑体" w:eastAsia="黑体"/>
        </w:rPr>
        <w:t>二、绩效评价工作开展情况</w:t>
      </w:r>
    </w:p>
    <w:p w14:paraId="09A31672">
      <w:pPr>
        <w:spacing w:line="600" w:lineRule="exact"/>
        <w:ind w:firstLine="640" w:firstLineChars="200"/>
        <w:rPr>
          <w:sz w:val="32"/>
          <w:szCs w:val="32"/>
        </w:rPr>
      </w:pPr>
      <w:r>
        <w:rPr>
          <w:rFonts w:hint="eastAsia"/>
          <w:sz w:val="32"/>
          <w:szCs w:val="32"/>
        </w:rPr>
        <w:t>（一）绩效评价目的、对象和范围。</w:t>
      </w:r>
    </w:p>
    <w:p w14:paraId="70A9FECD">
      <w:pPr>
        <w:pStyle w:val="17"/>
        <w:tabs>
          <w:tab w:val="left" w:pos="3600"/>
        </w:tabs>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1. 绩效评价目的</w:t>
      </w:r>
      <w:r>
        <w:rPr>
          <w:rFonts w:ascii="FangSong_GB2312" w:hAnsi="FangSong_GB2312" w:cs="FangSong_GB2312"/>
          <w:bCs/>
          <w:sz w:val="32"/>
          <w:szCs w:val="32"/>
        </w:rPr>
        <w:tab/>
      </w:r>
    </w:p>
    <w:p w14:paraId="2424C964">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2C488BE8">
      <w:pPr>
        <w:pStyle w:val="17"/>
        <w:spacing w:line="580" w:lineRule="exact"/>
        <w:ind w:firstLine="640"/>
        <w:rPr>
          <w:kern w:val="2"/>
          <w:sz w:val="32"/>
          <w:szCs w:val="32"/>
        </w:rPr>
      </w:pPr>
      <w:r>
        <w:rPr>
          <w:rFonts w:hint="eastAsia"/>
          <w:kern w:val="2"/>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14:paraId="26214466">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2. 绩效评价对象</w:t>
      </w:r>
    </w:p>
    <w:p w14:paraId="3B7DD5D0">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本次绩效评价遵循财政部《项目支出绩效评价管理办法》（财预〔2020〕10号）和自治区财政厅《自治区财政支出绩效评价管理暂行办法》（新财预〔2018〕189号）等相关政策文件与规定，以房租成本性支出及后勤保障专项经费项目支出为对象所对应的预算资金，以项目实施所带来的产出和效果为主要内容，以促进预算单位完成特定工作任务目标所组织开展的绩效评价。</w:t>
      </w:r>
    </w:p>
    <w:p w14:paraId="7D7B792D">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3. 绩效评价范围</w:t>
      </w:r>
    </w:p>
    <w:p w14:paraId="498F2DB1">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本次评价范围涵盖项目总体绩效目标、各项绩效指标完成情况以及预算执行情况。覆盖项目预算资金支出的所有内容进行评价。包括项目产出、项目实施和项目成果验收流程、项目达到的效益等。</w:t>
      </w:r>
    </w:p>
    <w:p w14:paraId="454B918D">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（二）绩效评价原则、评价指标体系（附表说明）、评价方法、评价标准等。</w:t>
      </w:r>
    </w:p>
    <w:p w14:paraId="346078C5">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1. 绩效评价原则</w:t>
      </w:r>
    </w:p>
    <w:p w14:paraId="741E6B4D">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本次绩效评价遵循的原则包括：</w:t>
      </w:r>
    </w:p>
    <w:p w14:paraId="33345E6B">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（1）科学公正。绩效评价应当运用科学合理的方法，按照规范的程序，对项目绩效进行客观、公正的反映。</w:t>
      </w:r>
    </w:p>
    <w:p w14:paraId="73798708">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610959E">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（3）激励约束。绩效评价结果应与预算安排、政策调整、改进管理实质性挂钩，体现奖优罚劣和激励相容导向，有效要安排、低效要压减、无效要问责。</w:t>
      </w:r>
    </w:p>
    <w:p w14:paraId="003A05FF">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（4）公开透明。绩效评价结果应依法依规公开，并自觉接受社会监督。</w:t>
      </w:r>
    </w:p>
    <w:p w14:paraId="730052D1">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2. 绩效评价指标体系</w:t>
      </w:r>
    </w:p>
    <w:p w14:paraId="38D6C919">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14:paraId="32650C96">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一级指标为：决策、过程、产出、效益。</w:t>
      </w:r>
    </w:p>
    <w:p w14:paraId="42E44A32">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二级指标为：项目立项、绩效目标、资金投入、资金管理、组织实施、产出数量、产出质量、产出时效、产出成本、项目效益。</w:t>
      </w:r>
    </w:p>
    <w:p w14:paraId="6D48829A">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4CACF018">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3. 绩效评价方法</w:t>
      </w:r>
    </w:p>
    <w:p w14:paraId="0A8ED6BF">
      <w:pPr>
        <w:pStyle w:val="19"/>
        <w:tabs>
          <w:tab w:val="left" w:pos="1559"/>
        </w:tabs>
        <w:adjustRightInd w:val="0"/>
        <w:snapToGrid w:val="0"/>
        <w:spacing w:line="580" w:lineRule="exact"/>
        <w:ind w:firstLine="640"/>
        <w:rPr>
          <w:rFonts w:ascii="FangSong_GB2312" w:hAnsi="FangSong_GB2312" w:cs="FangSong_GB2312"/>
          <w:bCs/>
          <w:sz w:val="32"/>
          <w:szCs w:val="32"/>
        </w:rPr>
      </w:pPr>
      <w:r>
        <w:rPr>
          <w:rFonts w:hint="eastAsia" w:ascii="FangSong_GB2312" w:hAnsi="FangSong_GB2312" w:cs="FangSong_GB2312"/>
          <w:bCs/>
          <w:sz w:val="32"/>
          <w:szCs w:val="32"/>
        </w:rPr>
        <w:t>本次评价采用定量与定性评价相结合的比较法，公众评判法，总分由各项指标得分汇总形成。</w:t>
      </w:r>
    </w:p>
    <w:p w14:paraId="1A1AD79C">
      <w:pPr>
        <w:pStyle w:val="19"/>
        <w:tabs>
          <w:tab w:val="left" w:pos="1559"/>
        </w:tabs>
        <w:adjustRightInd w:val="0"/>
        <w:snapToGrid w:val="0"/>
        <w:spacing w:line="580" w:lineRule="exact"/>
        <w:ind w:firstLine="640"/>
        <w:rPr>
          <w:rFonts w:ascii="FangSong_GB2312" w:hAnsi="FangSong_GB2312" w:cs="FangSong_GB2312"/>
          <w:bCs/>
          <w:sz w:val="32"/>
          <w:szCs w:val="32"/>
        </w:rPr>
      </w:pPr>
      <w:r>
        <w:rPr>
          <w:rFonts w:hint="eastAsia" w:ascii="FangSong_GB2312" w:hAnsi="FangSong_GB2312" w:cs="FangSong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39B70904">
      <w:pPr>
        <w:pStyle w:val="19"/>
        <w:tabs>
          <w:tab w:val="left" w:pos="1559"/>
        </w:tabs>
        <w:adjustRightInd w:val="0"/>
        <w:snapToGrid w:val="0"/>
        <w:spacing w:line="580" w:lineRule="exact"/>
        <w:ind w:firstLine="640"/>
        <w:rPr>
          <w:rFonts w:ascii="FangSong_GB2312" w:hAnsi="FangSong_GB2312" w:cs="FangSong_GB2312"/>
          <w:bCs/>
          <w:sz w:val="32"/>
          <w:szCs w:val="32"/>
        </w:rPr>
      </w:pPr>
      <w:r>
        <w:rPr>
          <w:rFonts w:hint="eastAsia" w:ascii="FangSong_GB2312" w:hAnsi="FangSong_GB2312" w:cs="FangSong_GB2312"/>
          <w:bCs/>
          <w:sz w:val="32"/>
          <w:szCs w:val="32"/>
        </w:rPr>
        <w:t>公众评判法：评价工作组采用实地调查的形式,充分了解掌握资金分配、资金管理、资金使用、制度建设、制度执行、项目实施效果等情况。采用问卷调查方式,对项目受益对象开展满意度调查,评价</w:t>
      </w:r>
      <w:r>
        <w:rPr>
          <w:rFonts w:hint="eastAsia" w:ascii="FangSong_GB2312" w:hAnsi="FangSong_GB2312" w:cs="FangSong_GB2312"/>
          <w:kern w:val="0"/>
          <w:sz w:val="32"/>
          <w:szCs w:val="32"/>
          <w:lang w:bidi="en-US"/>
        </w:rPr>
        <w:t>房租成本性支出及后勤保障专项经费</w:t>
      </w:r>
      <w:r>
        <w:rPr>
          <w:rFonts w:hint="eastAsia" w:ascii="FangSong_GB2312" w:hAnsi="FangSong_GB2312" w:cs="FangSong_GB2312"/>
          <w:bCs/>
          <w:sz w:val="32"/>
          <w:szCs w:val="32"/>
        </w:rPr>
        <w:t>项目产出的效益及满意度情况。</w:t>
      </w:r>
    </w:p>
    <w:p w14:paraId="34992AB6">
      <w:pPr>
        <w:pStyle w:val="17"/>
        <w:spacing w:line="580" w:lineRule="exact"/>
        <w:ind w:firstLine="640"/>
        <w:outlineLvl w:val="2"/>
        <w:rPr>
          <w:rFonts w:ascii="FangSong_GB2312" w:hAnsi="FangSong_GB2312" w:cs="FangSong_GB2312"/>
          <w:bCs/>
          <w:sz w:val="32"/>
          <w:szCs w:val="32"/>
        </w:rPr>
      </w:pPr>
      <w:r>
        <w:rPr>
          <w:rFonts w:hint="eastAsia" w:ascii="FangSong_GB2312" w:hAnsi="FangSong_GB2312" w:cs="FangSong_GB2312"/>
          <w:bCs/>
          <w:sz w:val="32"/>
          <w:szCs w:val="32"/>
        </w:rPr>
        <w:t>4. 绩效评价标准</w:t>
      </w:r>
    </w:p>
    <w:p w14:paraId="1C984138">
      <w:pPr>
        <w:spacing w:line="580" w:lineRule="exact"/>
        <w:ind w:firstLine="640"/>
        <w:rPr>
          <w:rFonts w:ascii="FangSong_GB2312" w:cs="FangSong_GB2312"/>
          <w:sz w:val="32"/>
          <w:szCs w:val="32"/>
        </w:rPr>
      </w:pPr>
      <w:r>
        <w:rPr>
          <w:rFonts w:hint="eastAsia" w:ascii="FangSong_GB2312" w:hAnsi="FangSong_GB2312" w:cs="FangSong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D08D3A0">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（三）绩效评价工作过程。</w:t>
      </w:r>
    </w:p>
    <w:p w14:paraId="331932C7">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第一阶段：前期准备。</w:t>
      </w:r>
    </w:p>
    <w:p w14:paraId="2A5495AC">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我单位绩效评价人员根据《项目支出绩效评价管理办法》（财预〔2020〕10号）文件精神认真学习相关要求与规定，成立绩效评价工作组，作为绩效评价工作具体实施机构。成员构成如下：</w:t>
      </w:r>
    </w:p>
    <w:p w14:paraId="3E21308D">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黄义平任评价组组长，绩效评价工作职责为负责全盘工作。</w:t>
      </w:r>
    </w:p>
    <w:p w14:paraId="5174EC5F">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曹王平任评价组副组长，绩效评价工作职责为对项目实施情况进行实地调查。</w:t>
      </w:r>
    </w:p>
    <w:p w14:paraId="42D8A581">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徐义洪、王文革、黎涛任评价组成员，绩效评价工作职责为负责资料审核等工作。</w:t>
      </w:r>
    </w:p>
    <w:p w14:paraId="77B61923">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第二阶段：组织实施。</w:t>
      </w:r>
    </w:p>
    <w:p w14:paraId="332D8CD9">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经评价组通过实地调研、查阅资料等方式，采用综合分析法对项目的决策、管理、绩效进行的综合评价分析。</w:t>
      </w:r>
    </w:p>
    <w:p w14:paraId="363F7992">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第三阶段：分析评价。</w:t>
      </w:r>
    </w:p>
    <w:p w14:paraId="371D00D1">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首先按照指标体系进行定量、定性分析。其次开展量化打分、综合评价工作，形成初步评价结论。最后归纳整体项目情况与存在问题，撰写部门绩效评价报告。</w:t>
      </w:r>
    </w:p>
    <w:p w14:paraId="34CF29E4">
      <w:pPr>
        <w:pStyle w:val="17"/>
        <w:spacing w:line="580" w:lineRule="exact"/>
        <w:ind w:firstLine="640"/>
        <w:rPr>
          <w:rFonts w:ascii="FangSong_GB2312" w:hAnsi="FangSong_GB2312" w:cs="FangSong_GB2312"/>
          <w:sz w:val="32"/>
          <w:szCs w:val="32"/>
        </w:rPr>
      </w:pPr>
      <w:bookmarkStart w:id="0" w:name="_Toc2618"/>
      <w:r>
        <w:rPr>
          <w:rFonts w:hint="eastAsia" w:ascii="FangSong_GB2312" w:hAnsi="FangSong_GB2312" w:cs="FangSong_GB2312"/>
          <w:sz w:val="32"/>
          <w:szCs w:val="32"/>
        </w:rPr>
        <w:t>第四阶段：撰写与提交评价报告</w:t>
      </w:r>
      <w:bookmarkEnd w:id="0"/>
    </w:p>
    <w:p w14:paraId="602E5B3B">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项目撰写绩效评价报告，按照财政厅大平台绩效系统中统一格式和文本框架撰写绩效评价报告。</w:t>
      </w:r>
    </w:p>
    <w:p w14:paraId="4A898F44">
      <w:pPr>
        <w:pStyle w:val="17"/>
        <w:spacing w:line="580" w:lineRule="exact"/>
        <w:ind w:firstLine="640"/>
        <w:rPr>
          <w:rFonts w:ascii="FangSong_GB2312" w:hAnsi="FangSong_GB2312" w:cs="FangSong_GB2312"/>
          <w:sz w:val="32"/>
          <w:szCs w:val="32"/>
        </w:rPr>
      </w:pPr>
      <w:bookmarkStart w:id="1" w:name="_Toc5055"/>
      <w:r>
        <w:rPr>
          <w:rFonts w:hint="eastAsia" w:ascii="FangSong_GB2312" w:hAnsi="FangSong_GB2312" w:cs="FangSong_GB2312"/>
          <w:sz w:val="32"/>
          <w:szCs w:val="32"/>
        </w:rPr>
        <w:t>第五阶段：归集档案</w:t>
      </w:r>
      <w:bookmarkEnd w:id="1"/>
    </w:p>
    <w:p w14:paraId="4532EA16">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建立和落实档案管理制度，将项目相关资料存档，包括但不限于：评价项目基本情况和相关文件、评价实施方案、项目支付资料等相关档案。</w:t>
      </w:r>
    </w:p>
    <w:p w14:paraId="19E73DD4">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三、综合评价情况及评价结论（附相关评分表）</w:t>
      </w:r>
    </w:p>
    <w:p w14:paraId="1A3585EC">
      <w:pPr>
        <w:pStyle w:val="21"/>
        <w:spacing w:line="580" w:lineRule="exact"/>
        <w:ind w:left="600"/>
        <w:rPr>
          <w:rFonts w:ascii="楷体" w:hAnsi="楷体" w:eastAsia="楷体" w:cs="FangSong_GB2312"/>
          <w:b w:val="0"/>
          <w:sz w:val="32"/>
        </w:rPr>
      </w:pPr>
      <w:bookmarkStart w:id="2" w:name="_Toc68364665"/>
      <w:r>
        <w:rPr>
          <w:rFonts w:hint="eastAsia" w:ascii="楷体" w:hAnsi="楷体" w:eastAsia="楷体" w:cs="FangSong_GB2312"/>
          <w:b w:val="0"/>
          <w:sz w:val="32"/>
        </w:rPr>
        <w:t>（一）综合评价情况</w:t>
      </w:r>
      <w:bookmarkEnd w:id="2"/>
    </w:p>
    <w:p w14:paraId="206D3479">
      <w:pPr>
        <w:pStyle w:val="17"/>
        <w:spacing w:line="580" w:lineRule="exact"/>
        <w:ind w:firstLine="640"/>
        <w:rPr>
          <w:rFonts w:ascii="FangSong_GB2312" w:hAnsi="FangSong_GB2312" w:cs="FangSong_GB2312"/>
          <w:sz w:val="32"/>
          <w:szCs w:val="32"/>
        </w:rPr>
      </w:pPr>
      <w:bookmarkStart w:id="3" w:name="_Toc68364666"/>
      <w:r>
        <w:rPr>
          <w:rFonts w:hint="eastAsia" w:ascii="FangSong_GB2312" w:hAnsi="FangSong_GB2312" w:cs="FangSong_GB2312"/>
          <w:sz w:val="32"/>
          <w:szCs w:val="32"/>
        </w:rPr>
        <w:t xml:space="preserve">房租成本性支出及后勤保障专项经费项目总体组织规范，完成了房租成本性支出及后勤保障专项经费项目的工作目标，有效规范了项目档案资料的整理，推动了房租成本性支出及后勤保障专项经费产生社会效益。 </w:t>
      </w:r>
    </w:p>
    <w:p w14:paraId="7BF9A110">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 xml:space="preserve">在项目决策方面，房租成本性支出及后勤保障专项经费项目立项依据充分，立项程序规范。 </w:t>
      </w:r>
    </w:p>
    <w:p w14:paraId="1C5E8259">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项目管理方面，2023年本项目预算安排 63万元，实际支出63万元，预算执行率100%。 项目资金使用合规，项目财务管理制度健全，财务监控到位，所有资金支付均按照国库集中支付制度严格执行，现有项目管理制度执行情况良好。</w:t>
      </w:r>
    </w:p>
    <w:p w14:paraId="5A224B12">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 xml:space="preserve">项目产出方面： </w:t>
      </w:r>
    </w:p>
    <w:p w14:paraId="79680444">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1、数量指标：</w:t>
      </w:r>
    </w:p>
    <w:p w14:paraId="6D98A9FB">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零星维修等物业服务工作，预期指标值为5项，实际完成值为5项，指标达到预期目标；</w:t>
      </w:r>
    </w:p>
    <w:p w14:paraId="536CDA27">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办公及宿舍物业管理面积，预期指标值为≥10000平方米，实际完成值为10000平方米，指标达到预期目标；</w:t>
      </w:r>
    </w:p>
    <w:p w14:paraId="6236DD23">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2、质量指标：</w:t>
      </w:r>
    </w:p>
    <w:p w14:paraId="3302DABF">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物业管理服务达标率，预期指标值为=100%，实际完成值为100%，指标达到预期目标。</w:t>
      </w:r>
    </w:p>
    <w:p w14:paraId="24AC478B">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零星维修等服务达标率，预期指标值为=100%，实际完成值为100%，指标达到预期目标。</w:t>
      </w:r>
    </w:p>
    <w:p w14:paraId="7BB45972">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3、时效指标：</w:t>
      </w:r>
    </w:p>
    <w:p w14:paraId="42FDE561">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后勤保障时间，预期指标值为=12月，实际完成值为12月，指标达到预期目标；</w:t>
      </w:r>
    </w:p>
    <w:p w14:paraId="7A37418B">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物业服务及时率，预期指标值为=100%，实际完成值为100%，指标达到预期目标；</w:t>
      </w:r>
    </w:p>
    <w:p w14:paraId="7D170585">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4、成本指标：</w:t>
      </w:r>
    </w:p>
    <w:p w14:paraId="2ED754AE">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零星维修等服务支出，预期指标值为≤25万元，实际完成值为25万元，指标达到预期目标。</w:t>
      </w:r>
    </w:p>
    <w:p w14:paraId="70E8BB92">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物业管理费补助费用，预期指标值为≤22万元，实际完成值为22万元，指标达到预期目标。</w:t>
      </w:r>
    </w:p>
    <w:p w14:paraId="5FBF882F">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其他商品服务支出 ，预期指标值为≤16万元，实际完成值为16万元，指标达到预期目标。</w:t>
      </w:r>
    </w:p>
    <w:p w14:paraId="48243BC5">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项目效益方面：</w:t>
      </w:r>
    </w:p>
    <w:p w14:paraId="4E540258">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社会效益指标：</w:t>
      </w:r>
    </w:p>
    <w:p w14:paraId="1B896D2E">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保障发改委后勤工作，预期指标值为有效保障，实际完成值为达成年度目标，指标达到预期目标；</w:t>
      </w:r>
    </w:p>
    <w:p w14:paraId="58094050">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改善办公及公共住宅的环境，预期指标值为有效改善，实际完成值为达成年度目标，指标达到预期目标；</w:t>
      </w:r>
    </w:p>
    <w:p w14:paraId="1D7F5065">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经问卷调查，项目受益群众满意度为100%，达到了预期目标。</w:t>
      </w:r>
    </w:p>
    <w:p w14:paraId="46349077">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项目资金总额，预期指标值为63万元，实际完成值为63万元，指标达到预期目标。</w:t>
      </w:r>
    </w:p>
    <w:p w14:paraId="70E3F0F6">
      <w:pPr>
        <w:pStyle w:val="17"/>
        <w:spacing w:line="580" w:lineRule="exact"/>
        <w:ind w:firstLine="640"/>
        <w:rPr>
          <w:rFonts w:ascii="楷体" w:hAnsi="楷体" w:eastAsia="楷体" w:cs="FangSong_GB2312"/>
          <w:sz w:val="32"/>
        </w:rPr>
      </w:pPr>
      <w:r>
        <w:rPr>
          <w:rFonts w:hint="eastAsia" w:ascii="楷体" w:hAnsi="楷体" w:eastAsia="楷体" w:cs="FangSong_GB2312"/>
          <w:sz w:val="32"/>
        </w:rPr>
        <w:t>（二）综合评价结论</w:t>
      </w:r>
    </w:p>
    <w:p w14:paraId="70B71743">
      <w:pPr>
        <w:spacing w:line="580" w:lineRule="exact"/>
        <w:ind w:firstLine="640"/>
        <w:rPr>
          <w:rFonts w:ascii="FangSong_GB2312" w:cs="FangSong_GB2312"/>
          <w:sz w:val="32"/>
          <w:szCs w:val="32"/>
        </w:rPr>
      </w:pPr>
      <w:r>
        <w:rPr>
          <w:rFonts w:hint="eastAsia" w:ascii="FangSong_GB2312" w:cs="FangSong_GB2312"/>
          <w:sz w:val="32"/>
          <w:szCs w:val="32"/>
        </w:rPr>
        <w:t>运用项目组制定评价指标体系及</w:t>
      </w:r>
      <w:r>
        <w:rPr>
          <w:rFonts w:hint="eastAsia" w:ascii="FangSong_GB2312" w:hAnsi="FangSong_GB2312" w:cs="FangSong_GB2312"/>
          <w:sz w:val="32"/>
          <w:szCs w:val="32"/>
        </w:rPr>
        <w:t>财政部《项目支出绩效评价管理办法》（财预〔2020〕10号）文件中的</w:t>
      </w:r>
      <w:r>
        <w:rPr>
          <w:rFonts w:hint="eastAsia" w:ascii="FangSong_GB2312" w:cs="FangSong_GB2312"/>
          <w:sz w:val="32"/>
          <w:szCs w:val="32"/>
        </w:rPr>
        <w:t>评价指标体系及评分标准，通过数据采集、调查访谈，综合分析对房租成本性支出及后勤保障专项经费项目进行客观评价，最终评分结果：总得分为100分，根据财预〔2021〕61号文的评分等级：90（含）-100分为优、80（含）-90分为良、60（含）-80分为中、60分以下为差，该项目得分等级为“优”。</w:t>
      </w:r>
    </w:p>
    <w:p w14:paraId="2C25414D">
      <w:pPr>
        <w:topLinePunct/>
        <w:spacing w:line="580" w:lineRule="exact"/>
        <w:jc w:val="center"/>
        <w:rPr>
          <w:b/>
          <w:bCs/>
          <w:szCs w:val="20"/>
        </w:rPr>
      </w:pPr>
      <w:r>
        <w:rPr>
          <w:rFonts w:hint="eastAsia"/>
          <w:b/>
          <w:bCs/>
          <w:szCs w:val="20"/>
        </w:rPr>
        <w:t>房租成本性支出及后勤保障专项经费项目绩效得分情况表</w:t>
      </w:r>
    </w:p>
    <w:tbl>
      <w:tblPr>
        <w:tblStyle w:val="11"/>
        <w:tblW w:w="8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266"/>
        <w:gridCol w:w="1639"/>
        <w:gridCol w:w="1560"/>
        <w:gridCol w:w="1440"/>
        <w:gridCol w:w="1740"/>
      </w:tblGrid>
      <w:tr w14:paraId="1808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1044" w:type="dxa"/>
            <w:tcBorders>
              <w:bottom w:val="single" w:color="auto" w:sz="4" w:space="0"/>
            </w:tcBorders>
            <w:shd w:val="clear" w:color="auto" w:fill="A6A6A6"/>
            <w:vAlign w:val="center"/>
          </w:tcPr>
          <w:p w14:paraId="3417B115">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指标</w:t>
            </w:r>
          </w:p>
        </w:tc>
        <w:tc>
          <w:tcPr>
            <w:tcW w:w="1266" w:type="dxa"/>
            <w:tcBorders>
              <w:bottom w:val="single" w:color="auto" w:sz="4" w:space="0"/>
            </w:tcBorders>
            <w:shd w:val="clear" w:color="auto" w:fill="A6A6A6"/>
            <w:vAlign w:val="center"/>
          </w:tcPr>
          <w:p w14:paraId="422AEEAF">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项目决策</w:t>
            </w:r>
          </w:p>
        </w:tc>
        <w:tc>
          <w:tcPr>
            <w:tcW w:w="1639" w:type="dxa"/>
            <w:tcBorders>
              <w:bottom w:val="single" w:color="auto" w:sz="4" w:space="0"/>
            </w:tcBorders>
            <w:shd w:val="clear" w:color="auto" w:fill="A6A6A6"/>
            <w:vAlign w:val="center"/>
          </w:tcPr>
          <w:p w14:paraId="3F626830">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项目过程</w:t>
            </w:r>
          </w:p>
        </w:tc>
        <w:tc>
          <w:tcPr>
            <w:tcW w:w="1560" w:type="dxa"/>
            <w:tcBorders>
              <w:bottom w:val="single" w:color="auto" w:sz="4" w:space="0"/>
            </w:tcBorders>
            <w:shd w:val="clear" w:color="auto" w:fill="A6A6A6"/>
            <w:vAlign w:val="center"/>
          </w:tcPr>
          <w:p w14:paraId="04F70DB1">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项目产出</w:t>
            </w:r>
          </w:p>
        </w:tc>
        <w:tc>
          <w:tcPr>
            <w:tcW w:w="1440" w:type="dxa"/>
            <w:tcBorders>
              <w:bottom w:val="single" w:color="auto" w:sz="4" w:space="0"/>
            </w:tcBorders>
            <w:shd w:val="clear" w:color="auto" w:fill="A6A6A6"/>
            <w:vAlign w:val="center"/>
          </w:tcPr>
          <w:p w14:paraId="09767ED5">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项目效益</w:t>
            </w:r>
          </w:p>
        </w:tc>
        <w:tc>
          <w:tcPr>
            <w:tcW w:w="1740" w:type="dxa"/>
            <w:tcBorders>
              <w:bottom w:val="single" w:color="auto" w:sz="4" w:space="0"/>
            </w:tcBorders>
            <w:shd w:val="clear" w:color="auto" w:fill="A6A6A6"/>
            <w:vAlign w:val="center"/>
          </w:tcPr>
          <w:p w14:paraId="6C279F10">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合计</w:t>
            </w:r>
          </w:p>
        </w:tc>
      </w:tr>
      <w:tr w14:paraId="5BE1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44" w:type="dxa"/>
            <w:vAlign w:val="center"/>
          </w:tcPr>
          <w:p w14:paraId="1C99BC7D">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权重</w:t>
            </w:r>
          </w:p>
        </w:tc>
        <w:tc>
          <w:tcPr>
            <w:tcW w:w="1266" w:type="dxa"/>
            <w:vAlign w:val="center"/>
          </w:tcPr>
          <w:p w14:paraId="7BEF1CB9">
            <w:pPr>
              <w:widowControl/>
              <w:spacing w:line="580" w:lineRule="exact"/>
              <w:jc w:val="center"/>
              <w:textAlignment w:val="top"/>
              <w:rPr>
                <w:rFonts w:ascii="仿宋" w:hAnsi="仿宋" w:eastAsia="仿宋" w:cs="仿宋"/>
                <w:bCs/>
                <w:sz w:val="24"/>
              </w:rPr>
            </w:pPr>
            <w:r>
              <w:rPr>
                <w:rFonts w:hint="eastAsia" w:ascii="仿宋" w:hAnsi="仿宋" w:eastAsia="仿宋" w:cs="仿宋"/>
                <w:kern w:val="0"/>
                <w:sz w:val="24"/>
                <w:lang w:bidi="ar"/>
              </w:rPr>
              <w:t>20</w:t>
            </w:r>
          </w:p>
        </w:tc>
        <w:tc>
          <w:tcPr>
            <w:tcW w:w="1639" w:type="dxa"/>
            <w:vAlign w:val="center"/>
          </w:tcPr>
          <w:p w14:paraId="3CCFE6BF">
            <w:pPr>
              <w:widowControl/>
              <w:spacing w:line="580" w:lineRule="exact"/>
              <w:jc w:val="center"/>
              <w:textAlignment w:val="top"/>
              <w:rPr>
                <w:rFonts w:ascii="仿宋" w:hAnsi="仿宋" w:eastAsia="仿宋" w:cs="仿宋"/>
                <w:bCs/>
                <w:sz w:val="24"/>
              </w:rPr>
            </w:pPr>
            <w:r>
              <w:rPr>
                <w:rFonts w:hint="eastAsia" w:ascii="仿宋" w:hAnsi="仿宋" w:eastAsia="仿宋" w:cs="仿宋"/>
                <w:kern w:val="0"/>
                <w:sz w:val="24"/>
                <w:lang w:bidi="ar"/>
              </w:rPr>
              <w:t>20</w:t>
            </w:r>
          </w:p>
        </w:tc>
        <w:tc>
          <w:tcPr>
            <w:tcW w:w="1560" w:type="dxa"/>
            <w:vAlign w:val="center"/>
          </w:tcPr>
          <w:p w14:paraId="559E9E76">
            <w:pPr>
              <w:widowControl/>
              <w:spacing w:line="580" w:lineRule="exact"/>
              <w:jc w:val="center"/>
              <w:textAlignment w:val="top"/>
              <w:rPr>
                <w:rFonts w:ascii="仿宋" w:hAnsi="仿宋" w:eastAsia="仿宋" w:cs="仿宋"/>
                <w:bCs/>
                <w:sz w:val="24"/>
              </w:rPr>
            </w:pPr>
            <w:r>
              <w:rPr>
                <w:rFonts w:hint="eastAsia" w:ascii="仿宋" w:hAnsi="仿宋" w:eastAsia="仿宋" w:cs="仿宋"/>
                <w:kern w:val="0"/>
                <w:sz w:val="24"/>
                <w:lang w:bidi="ar"/>
              </w:rPr>
              <w:t>40</w:t>
            </w:r>
          </w:p>
        </w:tc>
        <w:tc>
          <w:tcPr>
            <w:tcW w:w="1440" w:type="dxa"/>
            <w:vAlign w:val="center"/>
          </w:tcPr>
          <w:p w14:paraId="10FA7C74">
            <w:pPr>
              <w:widowControl/>
              <w:spacing w:line="580" w:lineRule="exact"/>
              <w:jc w:val="center"/>
              <w:textAlignment w:val="top"/>
              <w:rPr>
                <w:rFonts w:ascii="仿宋" w:hAnsi="仿宋" w:eastAsia="仿宋" w:cs="仿宋"/>
                <w:bCs/>
                <w:sz w:val="24"/>
              </w:rPr>
            </w:pPr>
            <w:r>
              <w:rPr>
                <w:rFonts w:hint="eastAsia" w:ascii="仿宋" w:hAnsi="仿宋" w:eastAsia="仿宋" w:cs="仿宋"/>
                <w:kern w:val="0"/>
                <w:sz w:val="24"/>
                <w:lang w:bidi="ar"/>
              </w:rPr>
              <w:t>20</w:t>
            </w:r>
          </w:p>
        </w:tc>
        <w:tc>
          <w:tcPr>
            <w:tcW w:w="1740" w:type="dxa"/>
            <w:vAlign w:val="center"/>
          </w:tcPr>
          <w:p w14:paraId="7291EF5D">
            <w:pPr>
              <w:widowControl/>
              <w:spacing w:line="580" w:lineRule="exact"/>
              <w:jc w:val="center"/>
              <w:textAlignment w:val="top"/>
              <w:rPr>
                <w:rFonts w:ascii="仿宋" w:hAnsi="仿宋" w:eastAsia="仿宋" w:cs="仿宋"/>
                <w:bCs/>
                <w:sz w:val="24"/>
              </w:rPr>
            </w:pPr>
            <w:r>
              <w:rPr>
                <w:rFonts w:hint="eastAsia" w:ascii="仿宋" w:hAnsi="仿宋" w:eastAsia="仿宋" w:cs="仿宋"/>
                <w:kern w:val="0"/>
                <w:sz w:val="24"/>
                <w:lang w:bidi="ar"/>
              </w:rPr>
              <w:t>100</w:t>
            </w:r>
          </w:p>
        </w:tc>
      </w:tr>
      <w:tr w14:paraId="6EBC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44" w:type="dxa"/>
            <w:vAlign w:val="center"/>
          </w:tcPr>
          <w:p w14:paraId="7EC7C62F">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分值</w:t>
            </w:r>
          </w:p>
        </w:tc>
        <w:tc>
          <w:tcPr>
            <w:tcW w:w="1266" w:type="dxa"/>
            <w:vAlign w:val="center"/>
          </w:tcPr>
          <w:p w14:paraId="5CAB2E20">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20</w:t>
            </w:r>
          </w:p>
        </w:tc>
        <w:tc>
          <w:tcPr>
            <w:tcW w:w="1639" w:type="dxa"/>
            <w:vAlign w:val="center"/>
          </w:tcPr>
          <w:p w14:paraId="487AA666">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20</w:t>
            </w:r>
          </w:p>
        </w:tc>
        <w:tc>
          <w:tcPr>
            <w:tcW w:w="1560" w:type="dxa"/>
            <w:vAlign w:val="center"/>
          </w:tcPr>
          <w:p w14:paraId="04096950">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40</w:t>
            </w:r>
          </w:p>
        </w:tc>
        <w:tc>
          <w:tcPr>
            <w:tcW w:w="1440" w:type="dxa"/>
            <w:vAlign w:val="center"/>
          </w:tcPr>
          <w:p w14:paraId="13E47FDF">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20</w:t>
            </w:r>
          </w:p>
        </w:tc>
        <w:tc>
          <w:tcPr>
            <w:tcW w:w="1740" w:type="dxa"/>
            <w:vAlign w:val="center"/>
          </w:tcPr>
          <w:p w14:paraId="04B92CD3">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100</w:t>
            </w:r>
          </w:p>
        </w:tc>
      </w:tr>
      <w:tr w14:paraId="2F81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044" w:type="dxa"/>
            <w:vAlign w:val="center"/>
          </w:tcPr>
          <w:p w14:paraId="2FA4ECC9">
            <w:pPr>
              <w:pStyle w:val="22"/>
              <w:topLinePunct/>
              <w:spacing w:before="0" w:after="0" w:line="580" w:lineRule="exact"/>
              <w:ind w:firstLine="0" w:firstLineChars="0"/>
              <w:rPr>
                <w:rFonts w:ascii="仿宋" w:hAnsi="仿宋" w:eastAsia="仿宋" w:cs="仿宋"/>
                <w:b w:val="0"/>
                <w:szCs w:val="24"/>
              </w:rPr>
            </w:pPr>
            <w:r>
              <w:rPr>
                <w:rFonts w:hint="eastAsia" w:ascii="仿宋" w:hAnsi="仿宋" w:eastAsia="仿宋" w:cs="仿宋"/>
                <w:b w:val="0"/>
                <w:szCs w:val="24"/>
              </w:rPr>
              <w:t>得分率</w:t>
            </w:r>
          </w:p>
        </w:tc>
        <w:tc>
          <w:tcPr>
            <w:tcW w:w="1266" w:type="dxa"/>
            <w:vAlign w:val="center"/>
          </w:tcPr>
          <w:p w14:paraId="780E2198">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100.00%</w:t>
            </w:r>
          </w:p>
        </w:tc>
        <w:tc>
          <w:tcPr>
            <w:tcW w:w="1639" w:type="dxa"/>
            <w:vAlign w:val="center"/>
          </w:tcPr>
          <w:p w14:paraId="686F8319">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100.00%</w:t>
            </w:r>
          </w:p>
        </w:tc>
        <w:tc>
          <w:tcPr>
            <w:tcW w:w="1560" w:type="dxa"/>
            <w:vAlign w:val="center"/>
          </w:tcPr>
          <w:p w14:paraId="4A5C18B7">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100.00%</w:t>
            </w:r>
          </w:p>
        </w:tc>
        <w:tc>
          <w:tcPr>
            <w:tcW w:w="1440" w:type="dxa"/>
            <w:vAlign w:val="center"/>
          </w:tcPr>
          <w:p w14:paraId="2DD8B634">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100.00%</w:t>
            </w:r>
          </w:p>
        </w:tc>
        <w:tc>
          <w:tcPr>
            <w:tcW w:w="1740" w:type="dxa"/>
            <w:vAlign w:val="center"/>
          </w:tcPr>
          <w:p w14:paraId="7E6A84EB">
            <w:pPr>
              <w:widowControl/>
              <w:spacing w:line="580" w:lineRule="exact"/>
              <w:jc w:val="center"/>
              <w:textAlignment w:val="top"/>
              <w:rPr>
                <w:rFonts w:ascii="仿宋" w:hAnsi="仿宋" w:eastAsia="仿宋" w:cs="仿宋"/>
                <w:kern w:val="0"/>
                <w:sz w:val="24"/>
                <w:lang w:bidi="ar"/>
              </w:rPr>
            </w:pPr>
            <w:r>
              <w:rPr>
                <w:rFonts w:hint="eastAsia" w:ascii="仿宋" w:hAnsi="仿宋" w:eastAsia="仿宋" w:cs="仿宋"/>
                <w:kern w:val="0"/>
                <w:sz w:val="24"/>
                <w:lang w:bidi="ar"/>
              </w:rPr>
              <w:t>100.00%</w:t>
            </w:r>
          </w:p>
        </w:tc>
      </w:tr>
      <w:bookmarkEnd w:id="3"/>
    </w:tbl>
    <w:p w14:paraId="326AFB69">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四、绩效评价指标分析</w:t>
      </w:r>
    </w:p>
    <w:p w14:paraId="67D9DAEA">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（一）项目决策情况。</w:t>
      </w:r>
    </w:p>
    <w:p w14:paraId="7B7B4329">
      <w:pPr>
        <w:overflowPunct w:val="0"/>
        <w:spacing w:line="580" w:lineRule="exact"/>
        <w:ind w:firstLine="640"/>
        <w:contextualSpacing/>
        <w:rPr>
          <w:rFonts w:ascii="FangSong_GB2312" w:hAnsi="FangSong_GB2312" w:cs="FangSong_GB2312"/>
          <w:sz w:val="32"/>
          <w:szCs w:val="32"/>
        </w:rPr>
      </w:pPr>
      <w:r>
        <w:rPr>
          <w:rFonts w:hint="eastAsia" w:ascii="FangSong_GB2312" w:hAnsi="FangSong_GB2312" w:cs="FangSong_GB2312"/>
          <w:sz w:val="32"/>
          <w:szCs w:val="32"/>
        </w:rPr>
        <w:t>项目决策类指标包括项目立项、绩效目标和资金投入三方面的内容，由6个三级指标构成，权重分为 20 分，实际得分20分，得分率为100%。</w:t>
      </w:r>
    </w:p>
    <w:p w14:paraId="7711F415">
      <w:pPr>
        <w:overflowPunct w:val="0"/>
        <w:spacing w:line="580" w:lineRule="exact"/>
        <w:ind w:firstLine="640"/>
        <w:contextualSpacing/>
        <w:rPr>
          <w:rFonts w:ascii="FangSong_GB2312" w:hAnsi="FangSong_GB2312" w:cs="FangSong_GB2312"/>
          <w:sz w:val="32"/>
          <w:szCs w:val="32"/>
        </w:rPr>
      </w:pPr>
      <w:r>
        <w:rPr>
          <w:rFonts w:hint="eastAsia" w:ascii="FangSong_GB2312" w:hAnsi="FangSong_GB2312" w:cs="FangSong_GB2312"/>
          <w:sz w:val="32"/>
          <w:szCs w:val="32"/>
        </w:rPr>
        <w:t>（1）立项依据充分性：本项目根据新党编委【2019】20号文件立项，旨在为委机关提供后勤保障工作，项目的立项符合相关法规政策及机关服务中心部门职责，立项依据充分；项目按照规定的程序申请设立；审批文件、材料符合相关要求。</w:t>
      </w:r>
    </w:p>
    <w:p w14:paraId="44939794">
      <w:pPr>
        <w:overflowPunct w:val="0"/>
        <w:spacing w:line="580" w:lineRule="exact"/>
        <w:ind w:firstLine="640"/>
        <w:contextualSpacing/>
        <w:rPr>
          <w:rFonts w:ascii="FangSong_GB2312" w:hAnsi="FangSong_GB2312" w:cs="FangSong_GB2312"/>
          <w:sz w:val="32"/>
          <w:szCs w:val="32"/>
        </w:rPr>
      </w:pPr>
      <w:r>
        <w:rPr>
          <w:rFonts w:hint="eastAsia" w:ascii="FangSong_GB2312" w:hAnsi="FangSong_GB2312" w:cs="FangSong_GB2312"/>
          <w:sz w:val="32"/>
          <w:szCs w:val="32"/>
        </w:rPr>
        <w:t>根据评分标准，该指标满分5分，指标不扣分，得分5分。</w:t>
      </w:r>
    </w:p>
    <w:p w14:paraId="508D1AF6">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2）立项程序规范性：根据决策依据编制工作计划和经费预算，经过与部门分管领导进行沟通、筛选确定经费预算计划，上党委会研究确定最终预算方案，该项目按照规定的程序申请设立；审批文件、材料符合相关要求。</w:t>
      </w:r>
    </w:p>
    <w:p w14:paraId="71C86F6D">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根据评分标准，该指标满分3分，指标不扣分，得分3分。</w:t>
      </w:r>
    </w:p>
    <w:p w14:paraId="1314E617">
      <w:pPr>
        <w:pStyle w:val="24"/>
        <w:topLinePunct/>
        <w:spacing w:after="0" w:line="580" w:lineRule="exact"/>
        <w:ind w:firstLine="640"/>
        <w:rPr>
          <w:rFonts w:ascii="FangSong_GB2312" w:hAnsi="FangSong_GB2312" w:eastAsia="FangSong_GB2312" w:cs="FangSong_GB2312"/>
          <w:kern w:val="2"/>
          <w:sz w:val="32"/>
          <w:szCs w:val="32"/>
        </w:rPr>
      </w:pPr>
      <w:r>
        <w:rPr>
          <w:rFonts w:hint="eastAsia" w:ascii="FangSong_GB2312" w:hAnsi="FangSong_GB2312" w:eastAsia="FangSong_GB2312" w:cs="FangSong_GB2312"/>
          <w:kern w:val="2"/>
          <w:sz w:val="32"/>
          <w:szCs w:val="32"/>
        </w:rPr>
        <w:t>（3）绩效目标合理性：该项目制定了实施方案，明确了总体思路及目标、并对任务进行了详细分解，对目标进行了细化，项目设置有绩效目标且绩效目标与机关服务中心实际工作内容具有相关性，与预算确定的资金量相匹配。</w:t>
      </w:r>
    </w:p>
    <w:p w14:paraId="7F4CE3AF">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根据评分标准，该指标满分3分，指标不扣分，得分3分。</w:t>
      </w:r>
    </w:p>
    <w:p w14:paraId="075F7B11">
      <w:pPr>
        <w:numPr>
          <w:ilvl w:val="0"/>
          <w:numId w:val="1"/>
        </w:numPr>
        <w:spacing w:line="580" w:lineRule="exact"/>
        <w:ind w:firstLine="640" w:firstLineChars="200"/>
        <w:rPr>
          <w:rFonts w:ascii="仿宋" w:hAnsi="仿宋" w:eastAsia="仿宋" w:cs="宋体"/>
          <w:sz w:val="32"/>
          <w:szCs w:val="32"/>
          <w:lang w:bidi="ar"/>
        </w:rPr>
      </w:pPr>
      <w:r>
        <w:rPr>
          <w:rFonts w:hint="eastAsia" w:ascii="FangSong_GB2312" w:hAnsi="FangSong_GB2312" w:cs="FangSong_GB2312"/>
          <w:sz w:val="32"/>
          <w:szCs w:val="32"/>
        </w:rPr>
        <w:t>绩效指标明确性：项目根据绩效目标细化分解设置了绩效指标，其中一级指标4个，二级指标6个，三级指标12个，其中量化指标10条，指标量化率为83.33%，能够清晰、可衡量的体现绩效目标的任务要求及效益效果，与绩效目标任务数相对应。</w:t>
      </w:r>
    </w:p>
    <w:p w14:paraId="7C8D597B">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根据评分标准，该指标满分2分，指标不扣分，得分2分。</w:t>
      </w:r>
    </w:p>
    <w:p w14:paraId="641AA83A">
      <w:pPr>
        <w:numPr>
          <w:ilvl w:val="0"/>
          <w:numId w:val="1"/>
        </w:numPr>
        <w:spacing w:line="580" w:lineRule="exact"/>
        <w:ind w:firstLine="640" w:firstLineChars="200"/>
        <w:rPr>
          <w:rFonts w:ascii="FangSong_GB2312" w:hAnsi="FangSong_GB2312" w:cs="FangSong_GB2312"/>
          <w:sz w:val="32"/>
          <w:szCs w:val="32"/>
        </w:rPr>
      </w:pPr>
      <w:r>
        <w:rPr>
          <w:rFonts w:hint="eastAsia" w:ascii="FangSong_GB2312" w:hAnsi="FangSong_GB2312" w:cs="FangSong_GB2312"/>
          <w:sz w:val="32"/>
          <w:szCs w:val="32"/>
        </w:rPr>
        <w:t>预算编制科学性： 该项目预算编制经过科学论证，内容与项目内容匹配，项目投资额与工作任务相匹配。</w:t>
      </w:r>
    </w:p>
    <w:p w14:paraId="4BAF59CD">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根据评分标准，该指标满分5分，指标不扣分，得分5分。</w:t>
      </w:r>
    </w:p>
    <w:p w14:paraId="400F814D">
      <w:pPr>
        <w:spacing w:line="580" w:lineRule="exact"/>
        <w:ind w:firstLine="627" w:firstLineChars="196"/>
        <w:jc w:val="left"/>
        <w:rPr>
          <w:rFonts w:ascii="FangSong_GB2312" w:hAnsi="FangSong_GB2312" w:cs="FangSong_GB2312"/>
          <w:sz w:val="32"/>
          <w:szCs w:val="32"/>
        </w:rPr>
      </w:pPr>
      <w:r>
        <w:rPr>
          <w:rFonts w:hint="eastAsia" w:ascii="仿宋" w:hAnsi="仿宋" w:eastAsia="仿宋" w:cs="FangSong_GB2312"/>
          <w:bCs/>
          <w:sz w:val="32"/>
          <w:szCs w:val="32"/>
        </w:rPr>
        <w:t>（6）</w:t>
      </w:r>
      <w:r>
        <w:rPr>
          <w:rFonts w:hint="eastAsia" w:ascii="FangSong_GB2312" w:hAnsi="FangSong_GB2312" w:cs="FangSong_GB2312"/>
          <w:sz w:val="32"/>
          <w:szCs w:val="32"/>
        </w:rPr>
        <w:t>资金分配合理性：资金分配与实际相适应，该项目预算资金63万元，其中</w:t>
      </w:r>
      <w:r>
        <w:rPr>
          <w:rFonts w:ascii="FangSong_GB2312" w:hAnsi="FangSong_GB2312" w:cs="FangSong_GB2312"/>
          <w:sz w:val="32"/>
          <w:szCs w:val="32"/>
        </w:rPr>
        <w:t>维修费25万元（</w:t>
      </w:r>
      <w:r>
        <w:rPr>
          <w:rFonts w:hint="eastAsia" w:ascii="FangSong_GB2312" w:hAnsi="FangSong_GB2312" w:cs="FangSong_GB2312"/>
          <w:sz w:val="32"/>
          <w:szCs w:val="32"/>
        </w:rPr>
        <w:t>包括招待所粉刷工程预计10万元；7间车库更换门工程预计7万元；零星维修预计8万元。</w:t>
      </w:r>
      <w:r>
        <w:rPr>
          <w:rFonts w:ascii="FangSong_GB2312" w:hAnsi="FangSong_GB2312" w:cs="FangSong_GB2312"/>
          <w:sz w:val="32"/>
          <w:szCs w:val="32"/>
        </w:rPr>
        <w:t>）</w:t>
      </w:r>
      <w:r>
        <w:rPr>
          <w:rFonts w:hint="eastAsia" w:ascii="FangSong_GB2312" w:hAnsi="FangSong_GB2312" w:cs="FangSong_GB2312"/>
          <w:sz w:val="32"/>
          <w:szCs w:val="32"/>
        </w:rPr>
        <w:t>，</w:t>
      </w:r>
      <w:r>
        <w:rPr>
          <w:rFonts w:ascii="FangSong_GB2312" w:hAnsi="FangSong_GB2312" w:cs="FangSong_GB2312"/>
          <w:sz w:val="32"/>
          <w:szCs w:val="32"/>
        </w:rPr>
        <w:t>物业管理费补助费用22万元（</w:t>
      </w:r>
      <w:r>
        <w:rPr>
          <w:rFonts w:hint="eastAsia" w:ascii="FangSong_GB2312" w:hAnsi="FangSong_GB2312" w:cs="FangSong_GB2312"/>
          <w:sz w:val="32"/>
          <w:szCs w:val="32"/>
        </w:rPr>
        <w:t>包括机关外围积雪外包费3.5万元；机关大院清雪费1.5万元；清理办公区废旧家具杂物2万元；机关大院下水井疏通费用1.5万元；办公区绿化费3万元；各门卫室通讯费1万元；维修绿化及清雪设备2万元；劳保用品1.5万元；防疫物资4万元；保洁用品2万元</w:t>
      </w:r>
      <w:r>
        <w:rPr>
          <w:rFonts w:ascii="FangSong_GB2312" w:hAnsi="FangSong_GB2312" w:cs="FangSong_GB2312"/>
          <w:sz w:val="32"/>
          <w:szCs w:val="32"/>
        </w:rPr>
        <w:t>）。其他商品和服务支出16万元。（</w:t>
      </w:r>
      <w:r>
        <w:rPr>
          <w:rFonts w:hint="eastAsia" w:ascii="FangSong_GB2312" w:hAnsi="FangSong_GB2312" w:cs="FangSong_GB2312"/>
          <w:sz w:val="32"/>
          <w:szCs w:val="32"/>
        </w:rPr>
        <w:t>包括保洁用纸5万元；党建宣传、节能型机关创建、垃圾分类、消防宣传等广告品印刷费5万元；保洁工具、清雪工具、垃圾袋等3万元；更换各值班室被 褥等1万元；办公楼、车队、食堂净水器维护保养1万元；会议保障用品1万元</w:t>
      </w:r>
      <w:r>
        <w:rPr>
          <w:rFonts w:ascii="FangSong_GB2312" w:hAnsi="FangSong_GB2312" w:cs="FangSong_GB2312"/>
          <w:sz w:val="32"/>
          <w:szCs w:val="32"/>
        </w:rPr>
        <w:t>）。</w:t>
      </w:r>
    </w:p>
    <w:p w14:paraId="3E358E6C">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根据评分标准，该指标满分2分，指标不扣分，得分2分。</w:t>
      </w:r>
    </w:p>
    <w:p w14:paraId="4D72CF0B">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（二）项目过程情况。</w:t>
      </w:r>
    </w:p>
    <w:p w14:paraId="5B8809E2">
      <w:pPr>
        <w:spacing w:line="580" w:lineRule="exact"/>
        <w:ind w:firstLine="640"/>
        <w:rPr>
          <w:rFonts w:ascii="FangSong_GB2312"/>
          <w:sz w:val="32"/>
          <w:szCs w:val="32"/>
        </w:rPr>
      </w:pPr>
      <w:r>
        <w:rPr>
          <w:rFonts w:hint="eastAsia" w:ascii="FangSong_GB2312" w:cs="FangSong_GB2312"/>
          <w:sz w:val="32"/>
          <w:szCs w:val="32"/>
        </w:rPr>
        <w:t>项目过程类指标包括资金管理和组织实施两方面的内容，由 5个三级指标构成，权重分为20分，实际得分20分，得分率为100%。</w:t>
      </w:r>
    </w:p>
    <w:p w14:paraId="31B6676C">
      <w:pPr>
        <w:pStyle w:val="24"/>
        <w:topLinePunct/>
        <w:spacing w:after="0" w:line="580" w:lineRule="exact"/>
        <w:ind w:firstLine="640"/>
        <w:rPr>
          <w:rFonts w:ascii="FangSong_GB2312" w:eastAsia="FangSong_GB2312" w:cs="FangSong_GB2312"/>
          <w:kern w:val="2"/>
          <w:sz w:val="32"/>
          <w:szCs w:val="32"/>
        </w:rPr>
      </w:pPr>
      <w:r>
        <w:rPr>
          <w:rFonts w:hint="eastAsia" w:ascii="FangSong_GB2312" w:cs="FangSong_GB2312"/>
          <w:bCs/>
          <w:sz w:val="32"/>
          <w:szCs w:val="32"/>
        </w:rPr>
        <w:t>（1）</w:t>
      </w:r>
      <w:r>
        <w:rPr>
          <w:rFonts w:hint="eastAsia" w:ascii="FangSong_GB2312" w:eastAsia="FangSong_GB2312" w:cs="FangSong_GB2312"/>
          <w:kern w:val="2"/>
          <w:sz w:val="32"/>
          <w:szCs w:val="32"/>
        </w:rPr>
        <w:t>资金到位率：财政资金足额拨付到位，牵头单位能够及时足额按照合同约定将专项资金拨付给联合体单位，项目预算总资金为63万元，实际到位资金63万元，资金到位率=63/63*100%=100%。</w:t>
      </w:r>
    </w:p>
    <w:p w14:paraId="684AA158">
      <w:pPr>
        <w:spacing w:line="580" w:lineRule="exact"/>
        <w:ind w:firstLine="640"/>
        <w:rPr>
          <w:rFonts w:ascii="FangSong_GB2312" w:cs="FangSong_GB2312"/>
          <w:sz w:val="32"/>
          <w:szCs w:val="32"/>
        </w:rPr>
      </w:pPr>
      <w:r>
        <w:rPr>
          <w:rFonts w:hint="eastAsia" w:ascii="FangSong_GB2312" w:hAnsi="仿宋" w:cs="宋体"/>
          <w:sz w:val="32"/>
          <w:szCs w:val="32"/>
          <w:lang w:bidi="ar"/>
        </w:rPr>
        <w:t>根据评分标准，该指标满分2分，指标不扣分，得分2分。</w:t>
      </w:r>
    </w:p>
    <w:p w14:paraId="48E6742C">
      <w:pPr>
        <w:numPr>
          <w:ilvl w:val="0"/>
          <w:numId w:val="2"/>
        </w:numPr>
        <w:spacing w:line="580" w:lineRule="exact"/>
        <w:ind w:firstLine="640" w:firstLineChars="200"/>
        <w:rPr>
          <w:rFonts w:ascii="FangSong_GB2312" w:cs="FangSong_GB2312"/>
          <w:sz w:val="32"/>
          <w:szCs w:val="32"/>
        </w:rPr>
      </w:pPr>
      <w:r>
        <w:rPr>
          <w:rFonts w:hint="eastAsia" w:ascii="FangSong_GB2312" w:cs="FangSong_GB2312"/>
          <w:bCs/>
          <w:sz w:val="32"/>
          <w:szCs w:val="32"/>
        </w:rPr>
        <w:t>预算执行率：</w:t>
      </w:r>
      <w:r>
        <w:rPr>
          <w:rFonts w:hint="eastAsia" w:ascii="FangSong_GB2312" w:cs="FangSong_GB2312"/>
          <w:sz w:val="32"/>
          <w:szCs w:val="32"/>
        </w:rPr>
        <w:t>项目实际支付资金63万元。预算执行率=执行预算金额/到位预算金额=63/63*100%=100%。</w:t>
      </w:r>
    </w:p>
    <w:p w14:paraId="1DFE7B4B">
      <w:pPr>
        <w:spacing w:line="580" w:lineRule="exact"/>
        <w:ind w:firstLine="640"/>
        <w:rPr>
          <w:rFonts w:ascii="FangSong_GB2312" w:cs="FangSong_GB2312"/>
          <w:sz w:val="32"/>
          <w:szCs w:val="32"/>
        </w:rPr>
      </w:pPr>
      <w:r>
        <w:rPr>
          <w:rFonts w:hint="eastAsia" w:ascii="FangSong_GB2312" w:hAnsi="仿宋" w:cs="宋体"/>
          <w:sz w:val="32"/>
          <w:szCs w:val="32"/>
          <w:lang w:bidi="ar"/>
        </w:rPr>
        <w:t>根据评分标准，该指标满分5分，指标不扣分，得分5分</w:t>
      </w:r>
      <w:r>
        <w:rPr>
          <w:rFonts w:hint="eastAsia" w:ascii="FangSong_GB2312" w:cs="FangSong_GB2312"/>
          <w:sz w:val="32"/>
          <w:szCs w:val="32"/>
        </w:rPr>
        <w:t>。</w:t>
      </w:r>
    </w:p>
    <w:p w14:paraId="383C2EC2">
      <w:pPr>
        <w:spacing w:line="580" w:lineRule="exact"/>
        <w:ind w:firstLine="640"/>
        <w:rPr>
          <w:rFonts w:ascii="FangSong_GB2312" w:cs="FangSong_GB2312"/>
          <w:bCs/>
          <w:sz w:val="32"/>
          <w:szCs w:val="32"/>
        </w:rPr>
      </w:pPr>
      <w:r>
        <w:rPr>
          <w:rFonts w:hint="eastAsia" w:ascii="FangSong_GB2312" w:cs="FangSong_GB2312"/>
          <w:bCs/>
          <w:sz w:val="32"/>
          <w:szCs w:val="32"/>
        </w:rPr>
        <w:t>（3）资金使用合规性：</w:t>
      </w:r>
      <w:r>
        <w:rPr>
          <w:rFonts w:hint="eastAsia" w:ascii="FangSong_GB2312" w:hAnsi="仿宋" w:cs="宋体"/>
          <w:sz w:val="32"/>
          <w:szCs w:val="32"/>
          <w:lang w:bidi="ar"/>
        </w:rPr>
        <w:t>我单位严格遵守资金使用相关规定、办法进行支付管理，按照《</w:t>
      </w:r>
      <w:r>
        <w:rPr>
          <w:rFonts w:hint="eastAsia" w:ascii="FangSong_GB2312" w:hAnsi="仿宋" w:cs="宋体"/>
          <w:sz w:val="32"/>
          <w:szCs w:val="32"/>
          <w:lang w:eastAsia="zh-CN" w:bidi="ar"/>
        </w:rPr>
        <w:t>新疆维吾尔自治区</w:t>
      </w:r>
      <w:r>
        <w:rPr>
          <w:rFonts w:hint="eastAsia" w:ascii="FangSong_GB2312" w:hAnsi="仿宋" w:cs="宋体"/>
          <w:sz w:val="32"/>
          <w:szCs w:val="32"/>
          <w:lang w:bidi="ar"/>
        </w:rPr>
        <w:t>发展和改革委员会机关财务管理办法》</w:t>
      </w:r>
      <w:r>
        <w:rPr>
          <w:rFonts w:ascii="FangSong_GB2312" w:hAnsi="仿宋" w:cs="宋体"/>
          <w:sz w:val="32"/>
          <w:szCs w:val="32"/>
          <w:lang w:bidi="ar"/>
        </w:rPr>
        <w:t>,</w:t>
      </w:r>
      <w:r>
        <w:rPr>
          <w:rFonts w:hint="eastAsia" w:ascii="FangSong_GB2312" w:hAnsi="仿宋" w:cs="宋体"/>
          <w:sz w:val="32"/>
          <w:szCs w:val="32"/>
          <w:lang w:bidi="ar"/>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本级资金安排项目按照单位内部制定的资金管理办法及其他相关</w:t>
      </w:r>
      <w:r>
        <w:rPr>
          <w:rFonts w:hint="eastAsia" w:ascii="FangSong_GB2312" w:cs="FangSong_GB2312"/>
          <w:bCs/>
          <w:sz w:val="32"/>
          <w:szCs w:val="32"/>
        </w:rPr>
        <w:t>管理办法进行管理并严格执行，实行专人管理、专户储存、专账核算、专项使用、专款专用，无擅自调项、扩项、缩项，及拆借、挪用、挤占和随意扣压；资金拨付动向，按预算专项资金的要求执行，未任意改变；特殊状况，按照请示审批执行。</w:t>
      </w:r>
    </w:p>
    <w:p w14:paraId="29ABB463">
      <w:pPr>
        <w:spacing w:line="580" w:lineRule="exact"/>
        <w:ind w:firstLine="640"/>
        <w:rPr>
          <w:rFonts w:ascii="FangSong_GB2312" w:cs="FangSong_GB2312"/>
          <w:bCs/>
          <w:sz w:val="32"/>
          <w:szCs w:val="32"/>
        </w:rPr>
      </w:pPr>
      <w:r>
        <w:rPr>
          <w:rFonts w:hint="eastAsia" w:ascii="FangSong_GB2312" w:cs="FangSong_GB2312"/>
          <w:bCs/>
          <w:sz w:val="32"/>
          <w:szCs w:val="32"/>
        </w:rPr>
        <w:t>根据评分标准，该指标不扣分，得5分。</w:t>
      </w:r>
    </w:p>
    <w:p w14:paraId="2D975C6B">
      <w:pPr>
        <w:spacing w:line="560" w:lineRule="exact"/>
        <w:ind w:firstLine="640" w:firstLineChars="200"/>
        <w:rPr>
          <w:rFonts w:ascii="FangSong_GB2312" w:hAnsi="FangSong_GB2312" w:cs="FangSong_GB2312"/>
          <w:sz w:val="32"/>
          <w:szCs w:val="32"/>
        </w:rPr>
      </w:pPr>
      <w:r>
        <w:rPr>
          <w:rFonts w:hint="eastAsia" w:ascii="FangSong_GB2312" w:cs="FangSong_GB2312"/>
          <w:sz w:val="32"/>
          <w:szCs w:val="32"/>
        </w:rPr>
        <w:t>（</w:t>
      </w:r>
      <w:r>
        <w:rPr>
          <w:rFonts w:hint="eastAsia" w:ascii="FangSong_GB2312" w:cs="FangSong_GB2312"/>
          <w:bCs/>
          <w:sz w:val="32"/>
          <w:szCs w:val="32"/>
        </w:rPr>
        <w:t>4）管理制度健全性：</w:t>
      </w:r>
      <w:r>
        <w:rPr>
          <w:rFonts w:hint="eastAsia"/>
          <w:sz w:val="32"/>
          <w:szCs w:val="32"/>
        </w:rPr>
        <w:t>我单位</w:t>
      </w:r>
      <w:r>
        <w:rPr>
          <w:rFonts w:hint="eastAsia" w:ascii="华文仿宋" w:hAnsi="华文仿宋" w:eastAsia="华文仿宋"/>
          <w:bCs/>
          <w:sz w:val="32"/>
          <w:szCs w:val="32"/>
        </w:rPr>
        <w:t>按照</w:t>
      </w:r>
      <w:r>
        <w:rPr>
          <w:rFonts w:hint="eastAsia"/>
          <w:sz w:val="32"/>
          <w:szCs w:val="32"/>
        </w:rPr>
        <w:t>中心制定的《物业管理办法》、《维修管理办法》等，</w:t>
      </w:r>
      <w:r>
        <w:rPr>
          <w:sz w:val="32"/>
          <w:szCs w:val="32"/>
        </w:rPr>
        <w:t>落实“一岗双责”，强化作风建设，</w:t>
      </w:r>
      <w:r>
        <w:rPr>
          <w:rFonts w:ascii="FangSong_GB2312" w:cs="FangSong_GB2312"/>
          <w:bCs/>
          <w:sz w:val="32"/>
          <w:szCs w:val="32"/>
        </w:rPr>
        <w:t>进一步规范后勤管理，</w:t>
      </w:r>
      <w:r>
        <w:rPr>
          <w:sz w:val="32"/>
          <w:szCs w:val="32"/>
        </w:rPr>
        <w:t>积极配合委广场联合办公大楼搬迁协调组开展前期设计、造价、监理、委托招标；配合协调新办公楼节能改造、主体施工、信息化建设等工作。</w:t>
      </w:r>
      <w:r>
        <w:rPr>
          <w:rFonts w:hint="eastAsia"/>
          <w:sz w:val="32"/>
          <w:szCs w:val="32"/>
        </w:rPr>
        <w:t>会同委办公室协调办公楼搬迁各项工作，协调广场联合大厦物业对接水、电、空调、消防等事项，各处室搬迁后主动开展办公家具维修100余次，及时调整和增加保洁人员，为办公区配置保洁设备等，确保搬迁工作安全、有序、顺利完成。</w:t>
      </w:r>
      <w:r>
        <w:rPr>
          <w:sz w:val="32"/>
          <w:szCs w:val="32"/>
        </w:rPr>
        <w:t>积极做好干部职工餐饮保障工作，增强反食品浪费理念，引导食品安全意识，科学配餐、营养搭配，不断提高厨艺，确保吃的健康、吃的放心、吃的满意。</w:t>
      </w:r>
      <w:r>
        <w:rPr>
          <w:rFonts w:hint="eastAsia"/>
          <w:sz w:val="32"/>
          <w:szCs w:val="32"/>
          <w:lang w:eastAsia="zh-CN"/>
        </w:rPr>
        <w:t>截至目前</w:t>
      </w:r>
      <w:r>
        <w:rPr>
          <w:rFonts w:hint="eastAsia"/>
          <w:sz w:val="32"/>
          <w:szCs w:val="32"/>
        </w:rPr>
        <w:t>，全年共计就餐60689人次。积极开展自治区机关事务管理局反食品浪费评估工作，参加全区反食品浪费评估检查工作，</w:t>
      </w:r>
      <w:r>
        <w:rPr>
          <w:sz w:val="32"/>
          <w:szCs w:val="32"/>
        </w:rPr>
        <w:t>2023年6月，机关食堂在迎接自治区机关事务管理局反食品浪费评估工作检查中，被评为优秀食堂。</w:t>
      </w:r>
      <w:r>
        <w:rPr>
          <w:rFonts w:eastAsia="KaiTi_GB2312"/>
          <w:sz w:val="32"/>
          <w:szCs w:val="32"/>
        </w:rPr>
        <w:t>常态化做好委机关日常维修、物业、车辆等保障工作</w:t>
      </w:r>
      <w:r>
        <w:rPr>
          <w:rFonts w:hint="eastAsia" w:eastAsia="KaiTi_GB2312"/>
          <w:sz w:val="32"/>
          <w:szCs w:val="32"/>
        </w:rPr>
        <w:t>，一是维修项目。</w:t>
      </w:r>
      <w:r>
        <w:rPr>
          <w:rFonts w:hint="eastAsia" w:ascii="FangSong_GB2312" w:hAnsi="FangSong_GB2312" w:cs="FangSong_GB2312"/>
          <w:sz w:val="32"/>
          <w:szCs w:val="32"/>
        </w:rPr>
        <w:t>实施酒花大厦维修改造工程、幸福路北二巷9号屋面及二道湾路西一巷65号车库屋面维修项目、明德路38号单身宿舍电路维修改造项目、酒花大厦办公区节能改造项目。全年完成三个办公区零星维修200余次；</w:t>
      </w:r>
      <w:r>
        <w:rPr>
          <w:rFonts w:hint="eastAsia" w:ascii="KaiTi_GB2312" w:hAnsi="KaiTi_GB2312" w:eastAsia="KaiTi_GB2312" w:cs="KaiTi_GB2312"/>
          <w:sz w:val="32"/>
          <w:szCs w:val="32"/>
        </w:rPr>
        <w:t>二是物业保洁。</w:t>
      </w:r>
      <w:r>
        <w:rPr>
          <w:sz w:val="32"/>
          <w:szCs w:val="32"/>
        </w:rPr>
        <w:t>积极开展“无烟党政机关”创建工作，并通过天山区文明办检查验收；配合社区开展文明城市和文明单位创建工作，组织开展学雷锋、交通文明岗、树木</w:t>
      </w:r>
      <w:r>
        <w:rPr>
          <w:rFonts w:hint="eastAsia" w:ascii="FangSong_GB2312" w:hAnsi="FangSong_GB2312" w:cs="FangSong_GB2312"/>
          <w:sz w:val="32"/>
          <w:szCs w:val="32"/>
        </w:rPr>
        <w:t>为消除安全隐患，更换办公楼消防器材一批；开展年度办公区绿化工作、</w:t>
      </w:r>
      <w:r>
        <w:rPr>
          <w:sz w:val="32"/>
          <w:szCs w:val="32"/>
        </w:rPr>
        <w:t>防虫粉刷、卫生大扫除等工作</w:t>
      </w:r>
      <w:r>
        <w:rPr>
          <w:rFonts w:hint="eastAsia" w:ascii="FangSong_GB2312" w:hAnsi="FangSong_GB2312" w:cs="FangSong_GB2312"/>
          <w:sz w:val="32"/>
          <w:szCs w:val="32"/>
        </w:rPr>
        <w:t>，种植养护绿植</w:t>
      </w:r>
      <w:r>
        <w:rPr>
          <w:rFonts w:ascii="FangSong_GB2312" w:hAnsi="FangSong_GB2312" w:cs="FangSong_GB2312"/>
          <w:sz w:val="32"/>
          <w:szCs w:val="32"/>
          <w:lang w:val="en"/>
        </w:rPr>
        <w:t>2</w:t>
      </w:r>
      <w:r>
        <w:rPr>
          <w:rFonts w:hint="eastAsia" w:ascii="FangSong_GB2312" w:hAnsi="FangSong_GB2312" w:cs="FangSong_GB2312"/>
          <w:sz w:val="32"/>
          <w:szCs w:val="32"/>
        </w:rPr>
        <w:t>5</w:t>
      </w:r>
      <w:r>
        <w:rPr>
          <w:rFonts w:ascii="FangSong_GB2312" w:hAnsi="FangSong_GB2312" w:cs="FangSong_GB2312"/>
          <w:sz w:val="32"/>
          <w:szCs w:val="32"/>
          <w:lang w:val="en"/>
        </w:rPr>
        <w:t>00</w:t>
      </w:r>
      <w:r>
        <w:rPr>
          <w:rFonts w:hint="eastAsia" w:ascii="MS Mincho" w:hAnsi="MS Mincho" w:eastAsia="MS Mincho" w:cs="MS Mincho"/>
          <w:sz w:val="32"/>
          <w:szCs w:val="32"/>
          <w:lang w:val="en"/>
        </w:rPr>
        <w:t>㎡</w:t>
      </w:r>
      <w:r>
        <w:rPr>
          <w:rFonts w:hint="eastAsia" w:ascii="FangSong_GB2312" w:hAnsi="FangSong_GB2312" w:cs="FangSong_GB2312"/>
          <w:sz w:val="32"/>
          <w:szCs w:val="32"/>
        </w:rPr>
        <w:t>，花卉3000株。</w:t>
      </w:r>
      <w:r>
        <w:rPr>
          <w:rFonts w:hint="eastAsia" w:ascii="KaiTi_GB2312" w:hAnsi="KaiTi_GB2312" w:eastAsia="KaiTi_GB2312" w:cs="KaiTi_GB2312"/>
          <w:sz w:val="32"/>
          <w:szCs w:val="32"/>
        </w:rPr>
        <w:t>三是车辆保障。</w:t>
      </w:r>
      <w:r>
        <w:rPr>
          <w:rFonts w:hint="eastAsia" w:ascii="FangSong_GB2312" w:hAnsi="FangSong_GB2312" w:cs="FangSong_GB2312"/>
          <w:sz w:val="32"/>
          <w:szCs w:val="32"/>
        </w:rPr>
        <w:t>严格落实车辆定点加油和定点维修制度，机关公务用车保障全年安全无事故，安全行车30余万公里。</w:t>
      </w:r>
    </w:p>
    <w:p w14:paraId="08C3EDC6">
      <w:pPr>
        <w:tabs>
          <w:tab w:val="right" w:pos="8844"/>
        </w:tabs>
        <w:spacing w:line="580" w:lineRule="exact"/>
        <w:ind w:firstLine="640"/>
        <w:rPr>
          <w:rFonts w:ascii="FangSong_GB2312" w:cs="FangSong_GB2312"/>
          <w:sz w:val="32"/>
          <w:szCs w:val="32"/>
        </w:rPr>
      </w:pPr>
      <w:r>
        <w:rPr>
          <w:rFonts w:hint="eastAsia" w:ascii="FangSong_GB2312" w:cs="FangSong_GB2312"/>
          <w:sz w:val="32"/>
          <w:szCs w:val="32"/>
        </w:rPr>
        <w:t>根据评分标准，该指标不扣分，得4分。</w:t>
      </w:r>
      <w:r>
        <w:rPr>
          <w:rFonts w:ascii="FangSong_GB2312" w:cs="FangSong_GB2312"/>
          <w:sz w:val="32"/>
          <w:szCs w:val="32"/>
        </w:rPr>
        <w:tab/>
      </w:r>
    </w:p>
    <w:p w14:paraId="71E4B346">
      <w:pPr>
        <w:pStyle w:val="17"/>
        <w:spacing w:line="580" w:lineRule="exact"/>
        <w:ind w:firstLine="640"/>
        <w:rPr>
          <w:rFonts w:ascii="FangSong_GB2312" w:cs="FangSong_GB2312"/>
          <w:sz w:val="32"/>
          <w:szCs w:val="32"/>
        </w:rPr>
      </w:pPr>
      <w:r>
        <w:rPr>
          <w:rFonts w:hint="eastAsia" w:ascii="FangSong_GB2312" w:cs="FangSong_GB2312"/>
          <w:bCs/>
          <w:sz w:val="32"/>
          <w:szCs w:val="32"/>
        </w:rPr>
        <w:t>（5）制度执行有效性</w:t>
      </w:r>
      <w:r>
        <w:rPr>
          <w:rFonts w:hint="eastAsia" w:ascii="FangSong_GB2312" w:cs="FangSong_GB2312"/>
          <w:sz w:val="32"/>
          <w:szCs w:val="32"/>
        </w:rPr>
        <w:t>：由部门提出经费预算支出可行性方案，经过与分管领导沟通后</w:t>
      </w:r>
      <w:r>
        <w:rPr>
          <w:rFonts w:ascii="FangSong_GB2312" w:cs="FangSong_GB2312"/>
          <w:sz w:val="32"/>
          <w:szCs w:val="32"/>
        </w:rPr>
        <w:t>，</w:t>
      </w:r>
      <w:r>
        <w:rPr>
          <w:rFonts w:hint="eastAsia" w:ascii="FangSong_GB2312" w:cs="FangSong_GB2312"/>
          <w:sz w:val="32"/>
          <w:szCs w:val="32"/>
        </w:rPr>
        <w:t>报</w:t>
      </w:r>
      <w:r>
        <w:rPr>
          <w:rFonts w:ascii="FangSong_GB2312" w:cs="FangSong_GB2312"/>
          <w:sz w:val="32"/>
          <w:szCs w:val="32"/>
        </w:rPr>
        <w:t>党</w:t>
      </w:r>
      <w:r>
        <w:rPr>
          <w:rFonts w:hint="eastAsia" w:ascii="FangSong_GB2312" w:cs="FangSong_GB2312"/>
          <w:sz w:val="32"/>
          <w:szCs w:val="32"/>
        </w:rPr>
        <w:t>组</w:t>
      </w:r>
      <w:r>
        <w:rPr>
          <w:rFonts w:ascii="FangSong_GB2312" w:cs="FangSong_GB2312"/>
          <w:sz w:val="32"/>
          <w:szCs w:val="32"/>
        </w:rPr>
        <w:t>会议</w:t>
      </w:r>
      <w:r>
        <w:rPr>
          <w:rFonts w:hint="eastAsia" w:ascii="FangSong_GB2312" w:cs="FangSong_GB2312"/>
          <w:sz w:val="32"/>
          <w:szCs w:val="32"/>
        </w:rPr>
        <w:t>研究执行，财务对资金的使用合法合规性进行监督，年底对资金使用效果进行自评，</w:t>
      </w:r>
    </w:p>
    <w:p w14:paraId="1263A74E">
      <w:pPr>
        <w:pStyle w:val="17"/>
        <w:spacing w:line="580" w:lineRule="exact"/>
        <w:ind w:firstLine="640"/>
      </w:pPr>
      <w:r>
        <w:rPr>
          <w:rFonts w:hint="eastAsia" w:ascii="FangSong_GB2312" w:cs="FangSong_GB2312"/>
          <w:sz w:val="32"/>
          <w:szCs w:val="32"/>
        </w:rPr>
        <w:t>根据评分标准，该指标不扣分，得4分。</w:t>
      </w:r>
    </w:p>
    <w:p w14:paraId="7F49E377">
      <w:pPr>
        <w:pStyle w:val="17"/>
        <w:spacing w:line="580" w:lineRule="exact"/>
        <w:ind w:firstLine="640"/>
        <w:rPr>
          <w:rFonts w:ascii="FangSong_GB2312" w:cs="FangSong_GB2312"/>
          <w:sz w:val="32"/>
          <w:szCs w:val="32"/>
        </w:rPr>
      </w:pPr>
      <w:r>
        <w:rPr>
          <w:rFonts w:hint="eastAsia" w:ascii="FangSong_GB2312" w:cs="FangSong_GB2312"/>
          <w:sz w:val="32"/>
          <w:szCs w:val="32"/>
        </w:rPr>
        <w:t>（三）项目产出情况。</w:t>
      </w:r>
    </w:p>
    <w:p w14:paraId="0D516443">
      <w:pPr>
        <w:spacing w:line="580" w:lineRule="exact"/>
        <w:ind w:firstLine="640"/>
        <w:rPr>
          <w:rFonts w:ascii="FangSong_GB2312"/>
        </w:rPr>
      </w:pPr>
      <w:r>
        <w:rPr>
          <w:rFonts w:hint="eastAsia" w:ascii="FangSong_GB2312" w:cs="FangSong_GB2312"/>
          <w:sz w:val="32"/>
          <w:szCs w:val="32"/>
        </w:rPr>
        <w:t>项目产出类指标包括产出数量、产出质量、产出时效、产出成本四方面的内容，由9个三级指标构成，权重分为40分，实际得分40分，得分率为100%。</w:t>
      </w:r>
    </w:p>
    <w:p w14:paraId="48B3284B">
      <w:pPr>
        <w:numPr>
          <w:ilvl w:val="0"/>
          <w:numId w:val="3"/>
        </w:numPr>
        <w:spacing w:line="580" w:lineRule="exact"/>
        <w:ind w:firstLine="640" w:firstLineChars="200"/>
        <w:rPr>
          <w:rFonts w:ascii="FangSong_GB2312" w:hAnsi="FangSong_GB2312" w:cs="FangSong_GB2312"/>
          <w:bCs/>
          <w:sz w:val="32"/>
          <w:szCs w:val="32"/>
        </w:rPr>
      </w:pPr>
      <w:r>
        <w:rPr>
          <w:rFonts w:hint="eastAsia" w:ascii="FangSong_GB2312" w:hAnsi="FangSong_GB2312" w:cs="FangSong_GB2312"/>
          <w:bCs/>
          <w:sz w:val="32"/>
          <w:szCs w:val="32"/>
        </w:rPr>
        <w:t>对于“产出数量”</w:t>
      </w:r>
    </w:p>
    <w:p w14:paraId="5FA0F68A">
      <w:pPr>
        <w:spacing w:line="580" w:lineRule="exact"/>
        <w:ind w:firstLine="640"/>
        <w:rPr>
          <w:rFonts w:ascii="FangSong_GB2312" w:cs="FangSong_GB2312"/>
          <w:sz w:val="32"/>
          <w:szCs w:val="32"/>
        </w:rPr>
      </w:pPr>
      <w:r>
        <w:rPr>
          <w:rFonts w:hint="eastAsia" w:ascii="FangSong_GB2312" w:cs="FangSong_GB2312"/>
          <w:sz w:val="32"/>
          <w:szCs w:val="32"/>
        </w:rPr>
        <w:t>零星维修等物业服务工作，预期指标值为5项，实际完成值为5项，与预期目标一致，偏差率为0；根据评分标准，该指标不扣分，得5分。</w:t>
      </w:r>
    </w:p>
    <w:p w14:paraId="279148D7">
      <w:pPr>
        <w:spacing w:line="580" w:lineRule="exact"/>
        <w:ind w:firstLine="640"/>
        <w:rPr>
          <w:rFonts w:ascii="FangSong_GB2312" w:cs="FangSong_GB2312"/>
          <w:sz w:val="32"/>
          <w:szCs w:val="32"/>
        </w:rPr>
      </w:pPr>
      <w:r>
        <w:rPr>
          <w:rFonts w:hint="eastAsia" w:ascii="FangSong_GB2312" w:cs="FangSong_GB2312"/>
          <w:sz w:val="32"/>
          <w:szCs w:val="32"/>
        </w:rPr>
        <w:t>办公及宿舍物业管理面积，预期指标值为</w:t>
      </w:r>
      <w:r>
        <w:rPr>
          <w:rFonts w:ascii="FangSong_GB2312" w:cs="FangSong_GB2312"/>
          <w:sz w:val="32"/>
          <w:szCs w:val="32"/>
        </w:rPr>
        <w:t>≥10000平方米</w:t>
      </w:r>
      <w:r>
        <w:rPr>
          <w:rFonts w:hint="eastAsia" w:ascii="FangSong_GB2312" w:cs="FangSong_GB2312"/>
          <w:sz w:val="32"/>
          <w:szCs w:val="32"/>
        </w:rPr>
        <w:t>，实际完成值为</w:t>
      </w:r>
      <w:r>
        <w:rPr>
          <w:rFonts w:ascii="FangSong_GB2312" w:cs="FangSong_GB2312"/>
          <w:sz w:val="32"/>
          <w:szCs w:val="32"/>
        </w:rPr>
        <w:t>1</w:t>
      </w:r>
      <w:r>
        <w:rPr>
          <w:rFonts w:hint="eastAsia" w:ascii="FangSong_GB2312" w:cs="FangSong_GB2312"/>
          <w:sz w:val="32"/>
          <w:szCs w:val="32"/>
        </w:rPr>
        <w:t>0</w:t>
      </w:r>
      <w:r>
        <w:rPr>
          <w:rFonts w:ascii="FangSong_GB2312" w:cs="FangSong_GB2312"/>
          <w:sz w:val="32"/>
          <w:szCs w:val="32"/>
        </w:rPr>
        <w:t>000平方米</w:t>
      </w:r>
      <w:r>
        <w:rPr>
          <w:rFonts w:hint="eastAsia" w:ascii="FangSong_GB2312" w:cs="FangSong_GB2312"/>
          <w:sz w:val="32"/>
          <w:szCs w:val="32"/>
        </w:rPr>
        <w:t>，偏差率为0；根据评分标准，该指标不扣分，得5分。</w:t>
      </w:r>
    </w:p>
    <w:p w14:paraId="55F26D0A">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合计得10分。</w:t>
      </w:r>
    </w:p>
    <w:p w14:paraId="0ED58E7B">
      <w:pPr>
        <w:spacing w:line="580" w:lineRule="exact"/>
        <w:ind w:firstLine="627" w:firstLineChars="196"/>
        <w:rPr>
          <w:rFonts w:ascii="FangSong_GB2312" w:hAnsi="FangSong_GB2312" w:cs="FangSong_GB2312"/>
          <w:bCs/>
          <w:sz w:val="32"/>
          <w:szCs w:val="32"/>
        </w:rPr>
      </w:pPr>
      <w:r>
        <w:rPr>
          <w:rFonts w:hint="eastAsia" w:ascii="FangSong_GB2312" w:hAnsi="FangSong_GB2312" w:cs="FangSong_GB2312"/>
          <w:bCs/>
          <w:sz w:val="32"/>
          <w:szCs w:val="32"/>
        </w:rPr>
        <w:t>（2）对于“产出质量”：</w:t>
      </w:r>
    </w:p>
    <w:p w14:paraId="583E5EF5">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物业管理服务达标率，预期值为100%，实际完成率为100%，指标完成率为100%，根据评分标准，该指标不扣分，得5分。</w:t>
      </w:r>
    </w:p>
    <w:p w14:paraId="10623858">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零星维修等服务达标率100%，与预期目标一致，根据评分标准，该指标不扣分，得5分。</w:t>
      </w:r>
    </w:p>
    <w:p w14:paraId="17D96D9B">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合计得10分。</w:t>
      </w:r>
    </w:p>
    <w:p w14:paraId="48973933">
      <w:pPr>
        <w:pStyle w:val="6"/>
        <w:spacing w:before="0" w:after="0" w:line="580" w:lineRule="exact"/>
        <w:ind w:left="643" w:firstLine="0" w:firstLineChars="0"/>
        <w:jc w:val="both"/>
        <w:rPr>
          <w:rFonts w:ascii="FangSong_GB2312" w:cs="FangSong_GB2312"/>
          <w:b w:val="0"/>
          <w:bCs/>
          <w:sz w:val="32"/>
          <w:szCs w:val="32"/>
        </w:rPr>
      </w:pPr>
      <w:r>
        <w:rPr>
          <w:rFonts w:hint="eastAsia" w:ascii="FangSong_GB2312" w:cs="FangSong_GB2312"/>
          <w:b w:val="0"/>
          <w:bCs/>
          <w:sz w:val="32"/>
          <w:szCs w:val="32"/>
        </w:rPr>
        <w:t>（3）对于“产出时效”：</w:t>
      </w:r>
    </w:p>
    <w:p w14:paraId="21B41193">
      <w:pPr>
        <w:pStyle w:val="6"/>
        <w:spacing w:before="0" w:after="0" w:line="580" w:lineRule="exact"/>
        <w:ind w:firstLine="640"/>
        <w:jc w:val="both"/>
        <w:rPr>
          <w:rFonts w:ascii="FangSong_GB2312" w:cs="FangSong_GB2312"/>
          <w:b w:val="0"/>
          <w:sz w:val="32"/>
          <w:szCs w:val="32"/>
        </w:rPr>
      </w:pPr>
      <w:r>
        <w:rPr>
          <w:rFonts w:hint="eastAsia" w:ascii="FangSong_GB2312" w:cs="FangSong_GB2312"/>
          <w:b w:val="0"/>
          <w:sz w:val="32"/>
          <w:szCs w:val="32"/>
        </w:rPr>
        <w:t>后勤保障时间12月，与预期目标指标一</w:t>
      </w:r>
      <w:r>
        <w:rPr>
          <w:rFonts w:hint="eastAsia" w:ascii="FangSong_GB2312" w:cs="FangSong_GB2312"/>
          <w:b w:val="0"/>
          <w:bCs/>
          <w:sz w:val="32"/>
          <w:szCs w:val="32"/>
        </w:rPr>
        <w:t>致</w:t>
      </w:r>
      <w:r>
        <w:rPr>
          <w:rFonts w:hint="eastAsia" w:ascii="FangSong_GB2312" w:cs="FangSong_GB2312"/>
          <w:b w:val="0"/>
          <w:sz w:val="32"/>
          <w:szCs w:val="32"/>
        </w:rPr>
        <w:t>。</w:t>
      </w:r>
    </w:p>
    <w:p w14:paraId="29C39108">
      <w:pPr>
        <w:pStyle w:val="6"/>
        <w:spacing w:before="0" w:after="0" w:line="580" w:lineRule="exact"/>
        <w:ind w:firstLine="640"/>
        <w:jc w:val="both"/>
        <w:rPr>
          <w:rFonts w:ascii="FangSong_GB2312" w:cs="FangSong_GB2312"/>
          <w:b w:val="0"/>
          <w:sz w:val="32"/>
          <w:szCs w:val="32"/>
        </w:rPr>
      </w:pPr>
      <w:r>
        <w:rPr>
          <w:rFonts w:hint="eastAsia" w:ascii="FangSong_GB2312" w:cs="FangSong_GB2312"/>
          <w:b w:val="0"/>
          <w:sz w:val="32"/>
          <w:szCs w:val="32"/>
        </w:rPr>
        <w:t>根据评分标准，该指标不扣分，得5分。</w:t>
      </w:r>
    </w:p>
    <w:p w14:paraId="42303F01">
      <w:pPr>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物业管理服务达标率，预期值为100%，实际完成率为100%，指标完成率为100%，根据评分标准，该指标不扣分，得5分。</w:t>
      </w:r>
    </w:p>
    <w:p w14:paraId="6577930E">
      <w:pPr>
        <w:pStyle w:val="6"/>
        <w:spacing w:before="0" w:after="0" w:line="580" w:lineRule="exact"/>
        <w:ind w:firstLine="640"/>
        <w:jc w:val="both"/>
        <w:rPr>
          <w:rFonts w:ascii="FangSong_GB2312" w:cs="FangSong_GB2312"/>
          <w:b w:val="0"/>
          <w:bCs/>
          <w:sz w:val="32"/>
          <w:szCs w:val="32"/>
        </w:rPr>
      </w:pPr>
      <w:r>
        <w:rPr>
          <w:rFonts w:hint="eastAsia" w:ascii="FangSong_GB2312" w:hAnsi="FangSong_GB2312" w:cs="FangSong_GB2312"/>
          <w:b w:val="0"/>
          <w:bCs/>
          <w:sz w:val="32"/>
          <w:szCs w:val="32"/>
        </w:rPr>
        <w:t>合计得10分。</w:t>
      </w:r>
    </w:p>
    <w:p w14:paraId="45D1384A">
      <w:pPr>
        <w:spacing w:line="580" w:lineRule="exact"/>
        <w:ind w:firstLine="640"/>
        <w:rPr>
          <w:rFonts w:ascii="FangSong_GB2312" w:cs="FangSong_GB2312"/>
          <w:bCs/>
          <w:sz w:val="32"/>
          <w:szCs w:val="32"/>
        </w:rPr>
      </w:pPr>
      <w:r>
        <w:rPr>
          <w:rFonts w:hint="eastAsia" w:ascii="FangSong_GB2312" w:cs="FangSong_GB2312"/>
          <w:bCs/>
          <w:sz w:val="32"/>
          <w:szCs w:val="32"/>
        </w:rPr>
        <w:t>（4）对于“产出成本”：</w:t>
      </w:r>
    </w:p>
    <w:p w14:paraId="282A65DE">
      <w:pPr>
        <w:spacing w:line="580" w:lineRule="exact"/>
        <w:ind w:firstLine="640"/>
        <w:rPr>
          <w:rFonts w:ascii="FangSong_GB2312" w:cs="FangSong_GB2312"/>
          <w:sz w:val="32"/>
          <w:szCs w:val="32"/>
        </w:rPr>
      </w:pPr>
      <w:r>
        <w:rPr>
          <w:rFonts w:hint="eastAsia" w:ascii="FangSong_GB2312" w:cs="FangSong_GB2312"/>
          <w:sz w:val="32"/>
          <w:szCs w:val="32"/>
        </w:rPr>
        <w:t>零星维修等服务支出25万元，项目经费都能控制在绩效目标范围内，根据评分标准，该指标不扣分，得4分。</w:t>
      </w:r>
    </w:p>
    <w:p w14:paraId="1308B6F3">
      <w:pPr>
        <w:spacing w:line="580" w:lineRule="exact"/>
        <w:ind w:firstLine="640"/>
        <w:rPr>
          <w:rFonts w:ascii="FangSong_GB2312" w:cs="FangSong_GB2312"/>
          <w:sz w:val="32"/>
          <w:szCs w:val="32"/>
        </w:rPr>
      </w:pPr>
      <w:r>
        <w:rPr>
          <w:rFonts w:hint="eastAsia" w:ascii="FangSong_GB2312" w:cs="FangSong_GB2312"/>
          <w:sz w:val="32"/>
          <w:szCs w:val="32"/>
        </w:rPr>
        <w:t>物业管理费补助费用22万元，项目经费都能控制在绩效目标范围内，根据评分标准，该指标不扣分，得4分。</w:t>
      </w:r>
    </w:p>
    <w:p w14:paraId="5CD7C2F1">
      <w:pPr>
        <w:spacing w:line="580" w:lineRule="exact"/>
        <w:ind w:firstLine="640"/>
        <w:rPr>
          <w:rFonts w:ascii="FangSong_GB2312" w:cs="FangSong_GB2312"/>
          <w:sz w:val="32"/>
          <w:szCs w:val="32"/>
        </w:rPr>
      </w:pPr>
      <w:r>
        <w:rPr>
          <w:rFonts w:hint="eastAsia" w:ascii="FangSong_GB2312" w:cs="FangSong_GB2312"/>
          <w:sz w:val="32"/>
          <w:szCs w:val="32"/>
        </w:rPr>
        <w:t>其他商品服务支出16万元，项目经费都能控制在绩效目标范围内，根据评分标准，该指标不扣分，得2分。</w:t>
      </w:r>
    </w:p>
    <w:p w14:paraId="01DF2219">
      <w:pPr>
        <w:spacing w:line="580" w:lineRule="exact"/>
        <w:ind w:firstLine="640"/>
        <w:rPr>
          <w:rFonts w:ascii="FangSong_GB2312" w:hAnsi="FangSong_GB2312" w:cs="FangSong_GB2312"/>
          <w:b/>
          <w:bCs/>
          <w:sz w:val="32"/>
          <w:szCs w:val="32"/>
        </w:rPr>
      </w:pPr>
      <w:r>
        <w:rPr>
          <w:rFonts w:hint="eastAsia" w:ascii="FangSong_GB2312" w:hAnsi="FangSong_GB2312" w:cs="FangSong_GB2312"/>
          <w:sz w:val="32"/>
          <w:szCs w:val="32"/>
        </w:rPr>
        <w:t>合计得分：10分。</w:t>
      </w:r>
    </w:p>
    <w:p w14:paraId="2974162D">
      <w:pPr>
        <w:spacing w:line="580" w:lineRule="exact"/>
        <w:ind w:firstLine="640"/>
        <w:rPr>
          <w:rFonts w:ascii="FangSong_GB2312" w:cs="FangSong_GB2312"/>
          <w:sz w:val="32"/>
          <w:szCs w:val="32"/>
        </w:rPr>
      </w:pPr>
      <w:r>
        <w:rPr>
          <w:rFonts w:hint="eastAsia" w:ascii="FangSong_GB2312" w:cs="FangSong_GB2312"/>
          <w:sz w:val="32"/>
          <w:szCs w:val="32"/>
        </w:rPr>
        <w:t>（四）项目效益情况。</w:t>
      </w:r>
    </w:p>
    <w:p w14:paraId="0099A7EE">
      <w:pPr>
        <w:spacing w:line="580" w:lineRule="exact"/>
        <w:ind w:firstLine="640"/>
        <w:rPr>
          <w:rFonts w:ascii="FangSong_GB2312"/>
        </w:rPr>
      </w:pPr>
      <w:r>
        <w:rPr>
          <w:rFonts w:hint="eastAsia" w:ascii="FangSong_GB2312" w:cs="FangSong_GB2312"/>
          <w:sz w:val="32"/>
          <w:szCs w:val="32"/>
        </w:rPr>
        <w:t>项目效益类指标包括项目效益1个方面的内容，由2个三级指标构成，权重分为20分，实际得分20分，得分率为100%。</w:t>
      </w:r>
    </w:p>
    <w:p w14:paraId="4091750A">
      <w:pPr>
        <w:overflowPunct w:val="0"/>
        <w:spacing w:line="580" w:lineRule="exact"/>
        <w:ind w:firstLine="640"/>
        <w:contextualSpacing/>
        <w:rPr>
          <w:rFonts w:ascii="FangSong_GB2312"/>
          <w:bCs/>
          <w:sz w:val="32"/>
          <w:szCs w:val="32"/>
        </w:rPr>
      </w:pPr>
      <w:r>
        <w:rPr>
          <w:rFonts w:hint="eastAsia" w:ascii="FangSong_GB2312"/>
          <w:bCs/>
          <w:sz w:val="32"/>
          <w:szCs w:val="32"/>
        </w:rPr>
        <w:t>1.实施效益指标：</w:t>
      </w:r>
    </w:p>
    <w:p w14:paraId="230121DB">
      <w:pPr>
        <w:spacing w:line="580" w:lineRule="exact"/>
        <w:ind w:firstLine="640"/>
        <w:rPr>
          <w:rFonts w:ascii="FangSong_GB2312"/>
          <w:bCs/>
          <w:sz w:val="32"/>
          <w:szCs w:val="32"/>
        </w:rPr>
      </w:pPr>
      <w:r>
        <w:rPr>
          <w:rFonts w:hint="eastAsia" w:ascii="FangSong_GB2312"/>
          <w:bCs/>
          <w:sz w:val="32"/>
          <w:szCs w:val="32"/>
        </w:rPr>
        <w:t>对于“社会效益指标”：</w:t>
      </w:r>
    </w:p>
    <w:p w14:paraId="0538C5C8">
      <w:pPr>
        <w:spacing w:line="580" w:lineRule="exact"/>
        <w:ind w:firstLine="640"/>
        <w:rPr>
          <w:rFonts w:ascii="FangSong_GB2312" w:hAnsi="FangSong_GB2312" w:cs="FangSong_GB2312"/>
          <w:sz w:val="32"/>
          <w:szCs w:val="32"/>
        </w:rPr>
      </w:pPr>
      <w:r>
        <w:rPr>
          <w:rFonts w:hint="eastAsia" w:ascii="FangSong_GB2312" w:hAnsi="仿宋" w:cs="宋体"/>
          <w:bCs/>
          <w:sz w:val="32"/>
          <w:szCs w:val="32"/>
          <w:lang w:bidi="ar"/>
        </w:rPr>
        <w:t>项目实施产生的社会效益</w:t>
      </w:r>
      <w:r>
        <w:rPr>
          <w:rFonts w:hint="eastAsia" w:ascii="FangSong_GB2312"/>
          <w:sz w:val="32"/>
          <w:szCs w:val="32"/>
        </w:rPr>
        <w:t>指标为保障发改委后勤工作，预期指标值为有效保障，实际完成值为已达预期目标</w:t>
      </w:r>
      <w:r>
        <w:rPr>
          <w:rFonts w:hint="eastAsia" w:ascii="FangSong_GB2312" w:hAnsi="FangSong_GB2312" w:cs="FangSong_GB2312"/>
          <w:sz w:val="32"/>
          <w:szCs w:val="32"/>
        </w:rPr>
        <w:t>，指标完成率为100%。根据评分标准，该指标不扣分，得5分。</w:t>
      </w:r>
    </w:p>
    <w:p w14:paraId="1A925E23">
      <w:pPr>
        <w:pStyle w:val="6"/>
        <w:spacing w:before="0" w:after="0" w:line="580" w:lineRule="exact"/>
        <w:ind w:firstLine="640"/>
        <w:jc w:val="both"/>
        <w:rPr>
          <w:rFonts w:ascii="FangSong_GB2312"/>
          <w:b w:val="0"/>
          <w:sz w:val="32"/>
          <w:szCs w:val="32"/>
        </w:rPr>
      </w:pPr>
      <w:r>
        <w:rPr>
          <w:rFonts w:hint="eastAsia"/>
          <w:b w:val="0"/>
          <w:sz w:val="32"/>
          <w:szCs w:val="32"/>
        </w:rPr>
        <w:t>项目实施产生的社会效益指标为改善办公及公共住宅的环境，预期指标值为有效改善，实际完成值为已达预期目标，</w:t>
      </w:r>
      <w:r>
        <w:rPr>
          <w:rFonts w:hint="eastAsia" w:ascii="FangSong_GB2312"/>
          <w:b w:val="0"/>
          <w:sz w:val="32"/>
          <w:szCs w:val="32"/>
        </w:rPr>
        <w:t>指标完成率为100%。根据评分标准，该指标不扣分，得5分。</w:t>
      </w:r>
    </w:p>
    <w:p w14:paraId="7D624523">
      <w:pPr>
        <w:pStyle w:val="6"/>
        <w:spacing w:before="0" w:after="0" w:line="580" w:lineRule="exact"/>
        <w:ind w:firstLine="640"/>
        <w:jc w:val="both"/>
        <w:rPr>
          <w:rFonts w:ascii="FangSong_GB2312"/>
          <w:b w:val="0"/>
          <w:sz w:val="32"/>
          <w:szCs w:val="32"/>
        </w:rPr>
      </w:pPr>
      <w:r>
        <w:rPr>
          <w:rFonts w:hint="eastAsia" w:ascii="FangSong_GB2312"/>
          <w:b w:val="0"/>
          <w:sz w:val="32"/>
          <w:szCs w:val="32"/>
        </w:rPr>
        <w:t>实施效益指标合计得10分。</w:t>
      </w:r>
    </w:p>
    <w:p w14:paraId="4CBA2143">
      <w:pPr>
        <w:spacing w:line="580" w:lineRule="exact"/>
        <w:ind w:firstLine="640"/>
        <w:rPr>
          <w:rFonts w:ascii="FangSong_GB2312"/>
          <w:bCs/>
          <w:sz w:val="32"/>
          <w:szCs w:val="32"/>
        </w:rPr>
      </w:pPr>
      <w:r>
        <w:rPr>
          <w:rFonts w:hint="eastAsia" w:ascii="FangSong_GB2312"/>
          <w:bCs/>
          <w:sz w:val="32"/>
          <w:szCs w:val="32"/>
        </w:rPr>
        <w:t>2.满意度指标:</w:t>
      </w:r>
    </w:p>
    <w:p w14:paraId="57B6A324">
      <w:pPr>
        <w:pStyle w:val="17"/>
        <w:spacing w:line="580" w:lineRule="exact"/>
        <w:ind w:firstLine="640"/>
        <w:rPr>
          <w:rFonts w:ascii="FangSong_GB2312" w:hAnsi="FangSong_GB2312" w:cs="FangSong_GB2312"/>
          <w:sz w:val="32"/>
          <w:szCs w:val="32"/>
        </w:rPr>
      </w:pPr>
      <w:r>
        <w:rPr>
          <w:rFonts w:hint="eastAsia" w:ascii="FangSong_GB2312"/>
          <w:sz w:val="32"/>
          <w:szCs w:val="32"/>
        </w:rPr>
        <w:t>对于“满意度指标：职工满意度90</w:t>
      </w:r>
      <w:r>
        <w:rPr>
          <w:rFonts w:ascii="FangSong_GB2312"/>
          <w:sz w:val="32"/>
          <w:szCs w:val="32"/>
        </w:rPr>
        <w:t>%</w:t>
      </w:r>
      <w:r>
        <w:rPr>
          <w:rFonts w:hint="eastAsia" w:ascii="FangSong_GB2312"/>
          <w:sz w:val="32"/>
          <w:szCs w:val="32"/>
        </w:rPr>
        <w:t>，与预期目标一致，根据评分标准，该指标不扣分,得10分。</w:t>
      </w:r>
    </w:p>
    <w:p w14:paraId="027001A3">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14:paraId="57327526">
      <w:pPr>
        <w:pStyle w:val="21"/>
        <w:spacing w:line="580" w:lineRule="exact"/>
        <w:ind w:left="600"/>
        <w:rPr>
          <w:rFonts w:ascii="楷体" w:hAnsi="楷体" w:eastAsia="楷体" w:cs="FangSong_GB2312"/>
          <w:b w:val="0"/>
          <w:sz w:val="32"/>
        </w:rPr>
      </w:pPr>
      <w:r>
        <w:rPr>
          <w:rFonts w:hint="eastAsia" w:ascii="楷体" w:hAnsi="楷体" w:eastAsia="楷体" w:cs="FangSong_GB2312"/>
          <w:b w:val="0"/>
          <w:sz w:val="32"/>
        </w:rPr>
        <w:t>（一）主要经验及做法</w:t>
      </w:r>
    </w:p>
    <w:p w14:paraId="1C5FE888">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一是本项目能够严格按照《项目实施方案》执行，项目执行情况较好。二是加强组织领导，本项目绩效评价工作，有中心主要领导亲自挂帅，专人具体负责，从项目到资金，均能够很好的执行。三是加强沟通协调，我单位及时向委领导汇报项目执行进度，加强与施工单位的沟通，确保项目按期完工。</w:t>
      </w:r>
    </w:p>
    <w:p w14:paraId="40099634">
      <w:pPr>
        <w:pStyle w:val="21"/>
        <w:spacing w:line="580" w:lineRule="exact"/>
        <w:ind w:left="600"/>
        <w:rPr>
          <w:rFonts w:ascii="楷体" w:hAnsi="楷体" w:eastAsia="楷体" w:cs="FangSong_GB2312"/>
          <w:b w:val="0"/>
          <w:sz w:val="32"/>
        </w:rPr>
      </w:pPr>
      <w:bookmarkStart w:id="4" w:name="_Toc68364674"/>
      <w:r>
        <w:rPr>
          <w:rFonts w:hint="eastAsia" w:ascii="楷体" w:hAnsi="楷体" w:eastAsia="楷体" w:cs="FangSong_GB2312"/>
          <w:b w:val="0"/>
          <w:sz w:val="32"/>
        </w:rPr>
        <w:t>（二）存在问题及原因分析</w:t>
      </w:r>
      <w:bookmarkEnd w:id="4"/>
    </w:p>
    <w:p w14:paraId="0F1DC8E0">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454D7DC5">
      <w:pPr>
        <w:spacing w:line="600" w:lineRule="exact"/>
        <w:ind w:firstLine="600" w:firstLineChars="200"/>
        <w:rPr>
          <w:rFonts w:ascii="黑体" w:hAnsi="黑体" w:eastAsia="黑体"/>
        </w:rPr>
      </w:pPr>
      <w:r>
        <w:rPr>
          <w:rFonts w:hint="eastAsia" w:ascii="黑体" w:hAnsi="黑体" w:eastAsia="黑体"/>
        </w:rPr>
        <w:t>六、有关建议</w:t>
      </w:r>
    </w:p>
    <w:p w14:paraId="2D78C421">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1E6004B0">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2.项目评价资料有待进一步完善。项目启动时同步做好档案的归纳与整理，及时整理、收集、汇总，健全档案资料。项目后续管理有待进一步加强和跟踪。</w:t>
      </w:r>
    </w:p>
    <w:p w14:paraId="248D59D2">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3.通过绩效管理，发现实施中存在漏洞，以后加强管理，及时掌握与之相关的各类信息，减少成本，使资金效益最大化。</w:t>
      </w:r>
    </w:p>
    <w:p w14:paraId="5F7AFC5E">
      <w:pPr>
        <w:pStyle w:val="17"/>
        <w:spacing w:line="580" w:lineRule="exact"/>
        <w:ind w:firstLine="640"/>
        <w:rPr>
          <w:rFonts w:ascii="FangSong_GB2312" w:hAnsi="FangSong_GB2312" w:cs="FangSong_GB2312"/>
          <w:sz w:val="32"/>
          <w:szCs w:val="32"/>
        </w:rPr>
      </w:pPr>
      <w:r>
        <w:rPr>
          <w:rFonts w:hint="eastAsia" w:ascii="FangSong_GB2312" w:hAnsi="FangSong_GB2312" w:cs="FangSong_GB2312"/>
          <w:sz w:val="32"/>
          <w:szCs w:val="32"/>
        </w:rPr>
        <w:t>4．评价工作应从项目实施方案源头抓起，评价工作和意识应贯穿项目整个过程。</w:t>
      </w:r>
    </w:p>
    <w:p w14:paraId="486D7796">
      <w:pPr>
        <w:spacing w:line="600" w:lineRule="exact"/>
        <w:ind w:firstLine="600" w:firstLineChars="200"/>
        <w:rPr>
          <w:rFonts w:ascii="黑体" w:hAnsi="黑体" w:eastAsia="黑体"/>
        </w:rPr>
      </w:pPr>
      <w:r>
        <w:rPr>
          <w:rFonts w:hint="eastAsia" w:ascii="黑体" w:hAnsi="黑体" w:eastAsia="黑体"/>
        </w:rPr>
        <w:t>七、其他需要说明的问题</w:t>
      </w:r>
    </w:p>
    <w:p w14:paraId="546D27FE">
      <w:pPr>
        <w:spacing w:line="600" w:lineRule="exact"/>
        <w:ind w:firstLine="640" w:firstLineChars="200"/>
        <w:rPr>
          <w:rFonts w:ascii="FangSong_GB2312" w:hAnsi="FangSong_GB2312" w:cs="FangSong_GB2312"/>
          <w:kern w:val="0"/>
          <w:sz w:val="32"/>
          <w:szCs w:val="32"/>
        </w:rPr>
      </w:pPr>
      <w:r>
        <w:rPr>
          <w:rFonts w:hint="eastAsia" w:ascii="FangSong_GB2312" w:hAnsi="FangSong_GB2312" w:cs="FangSong_GB2312"/>
          <w:kern w:val="0"/>
          <w:sz w:val="32"/>
          <w:szCs w:val="32"/>
        </w:rPr>
        <w:t>无</w:t>
      </w:r>
    </w:p>
    <w:p w14:paraId="46BE5675">
      <w:pPr>
        <w:spacing w:line="600" w:lineRule="exact"/>
        <w:ind w:firstLine="600" w:firstLineChars="200"/>
        <w:rPr>
          <w:rFonts w:ascii="黑体" w:hAnsi="黑体" w:eastAsia="黑体"/>
        </w:rPr>
      </w:pPr>
    </w:p>
    <w:p w14:paraId="3EB87943">
      <w:pPr>
        <w:spacing w:line="600" w:lineRule="exact"/>
        <w:ind w:firstLine="600" w:firstLineChars="200"/>
        <w:rPr>
          <w:rFonts w:ascii="黑体" w:hAnsi="黑体" w:eastAsia="黑体"/>
        </w:rPr>
      </w:pPr>
    </w:p>
    <w:p w14:paraId="5C1ED6DC">
      <w:pPr>
        <w:spacing w:line="600" w:lineRule="exact"/>
        <w:ind w:firstLine="600" w:firstLineChars="200"/>
        <w:rPr>
          <w:rFonts w:ascii="黑体" w:hAnsi="黑体" w:eastAsia="黑体"/>
        </w:rPr>
      </w:pPr>
    </w:p>
    <w:p w14:paraId="48201C5D">
      <w:pPr>
        <w:spacing w:line="600" w:lineRule="exact"/>
        <w:ind w:firstLine="600" w:firstLineChars="200"/>
        <w:rPr>
          <w:rFonts w:ascii="黑体" w:hAnsi="黑体" w:eastAsia="黑体"/>
        </w:rPr>
      </w:pPr>
    </w:p>
    <w:p w14:paraId="60562ABC">
      <w:pPr>
        <w:spacing w:line="600" w:lineRule="exact"/>
        <w:ind w:firstLine="600" w:firstLineChars="200"/>
        <w:rPr>
          <w:rFonts w:ascii="黑体" w:hAnsi="黑体" w:eastAsia="黑体"/>
        </w:rPr>
      </w:pPr>
    </w:p>
    <w:p w14:paraId="32CF2BC7">
      <w:pPr>
        <w:spacing w:line="600" w:lineRule="exact"/>
        <w:ind w:firstLine="600" w:firstLineChars="200"/>
        <w:rPr>
          <w:rFonts w:ascii="黑体" w:hAnsi="黑体" w:eastAsia="黑体"/>
        </w:rPr>
      </w:pPr>
    </w:p>
    <w:p w14:paraId="7E6BD0E4">
      <w:pPr>
        <w:spacing w:line="600" w:lineRule="exact"/>
        <w:ind w:firstLine="600" w:firstLineChars="200"/>
        <w:rPr>
          <w:rFonts w:ascii="黑体" w:hAnsi="黑体" w:eastAsia="黑体"/>
        </w:rPr>
      </w:pPr>
    </w:p>
    <w:p w14:paraId="1404E732">
      <w:pPr>
        <w:spacing w:line="600" w:lineRule="exact"/>
        <w:ind w:firstLine="600" w:firstLineChars="200"/>
        <w:rPr>
          <w:rFonts w:ascii="黑体" w:hAnsi="黑体" w:eastAsia="黑体"/>
        </w:rPr>
      </w:pPr>
    </w:p>
    <w:p w14:paraId="295AB0FA">
      <w:pPr>
        <w:spacing w:line="600" w:lineRule="exact"/>
        <w:ind w:firstLine="600" w:firstLineChars="200"/>
        <w:rPr>
          <w:rFonts w:ascii="黑体" w:hAnsi="黑体" w:eastAsia="黑体"/>
        </w:rPr>
      </w:pPr>
    </w:p>
    <w:p w14:paraId="334F8E1A">
      <w:pPr>
        <w:spacing w:line="600" w:lineRule="exact"/>
        <w:ind w:firstLine="600" w:firstLineChars="200"/>
        <w:rPr>
          <w:rFonts w:ascii="黑体" w:hAnsi="黑体" w:eastAsia="黑体"/>
        </w:rPr>
      </w:pPr>
    </w:p>
    <w:p w14:paraId="2C7A9927">
      <w:pPr>
        <w:spacing w:line="600" w:lineRule="exact"/>
        <w:ind w:firstLine="600" w:firstLineChars="200"/>
        <w:rPr>
          <w:rFonts w:ascii="黑体" w:hAnsi="黑体" w:eastAsia="黑体"/>
        </w:rPr>
      </w:pPr>
    </w:p>
    <w:p w14:paraId="7DCA72E4">
      <w:pPr>
        <w:pStyle w:val="17"/>
        <w:ind w:firstLine="0" w:firstLineChars="0"/>
        <w:rPr>
          <w:rFonts w:ascii="FangSong_GB2312" w:hAnsi="FangSong_GB2312" w:cs="FangSong_GB2312"/>
          <w:sz w:val="32"/>
          <w:szCs w:val="32"/>
        </w:rPr>
        <w:sectPr>
          <w:pgSz w:w="11906" w:h="16838"/>
          <w:pgMar w:top="1928" w:right="1531" w:bottom="1701" w:left="1531" w:header="737" w:footer="851" w:gutter="0"/>
          <w:cols w:space="720" w:num="1"/>
          <w:docGrid w:type="lines" w:linePitch="408" w:charSpace="0"/>
        </w:sectPr>
      </w:pPr>
    </w:p>
    <w:p w14:paraId="52B4D8D4">
      <w:pPr>
        <w:pStyle w:val="17"/>
        <w:ind w:firstLine="0" w:firstLineChars="0"/>
        <w:rPr>
          <w:rFonts w:ascii="FangSong_GB2312" w:hAnsi="FangSong_GB2312" w:cs="FangSong_GB2312"/>
          <w:sz w:val="32"/>
          <w:szCs w:val="32"/>
        </w:rPr>
      </w:pPr>
    </w:p>
    <w:p w14:paraId="16A44DF1">
      <w:pPr>
        <w:pStyle w:val="27"/>
        <w:ind w:firstLine="640" w:firstLineChars="200"/>
        <w:rPr>
          <w:rFonts w:ascii="FangSong_GB2312" w:hAnsi="FangSong_GB2312" w:eastAsia="FangSong_GB2312" w:cs="FangSong_GB2312"/>
          <w:b/>
        </w:rPr>
      </w:pPr>
      <w:r>
        <w:rPr>
          <w:rFonts w:hint="eastAsia" w:ascii="FangSong_GB2312" w:hAnsi="FangSong_GB2312" w:eastAsia="FangSong_GB2312" w:cs="FangSong_GB2312"/>
          <w:b/>
        </w:rPr>
        <w:t>附件1：综合评分表</w:t>
      </w:r>
    </w:p>
    <w:p w14:paraId="19C86FD2">
      <w:pPr>
        <w:pStyle w:val="27"/>
        <w:ind w:firstLine="640" w:firstLineChars="200"/>
        <w:rPr>
          <w:rFonts w:ascii="FangSong_GB2312" w:hAnsi="FangSong_GB2312" w:eastAsia="FangSong_GB2312" w:cs="FangSong_GB2312"/>
          <w:b/>
        </w:rPr>
      </w:pPr>
      <w:r>
        <w:rPr>
          <w:rFonts w:hint="eastAsia" w:ascii="FangSong_GB2312" w:hAnsi="FangSong_GB2312" w:eastAsia="FangSong_GB2312" w:cs="FangSong_GB2312"/>
        </w:rPr>
        <w:t xml:space="preserve">    </w:t>
      </w:r>
      <w:r>
        <w:rPr>
          <w:rFonts w:hint="eastAsia" w:ascii="FangSong_GB2312" w:hAnsi="FangSong_GB2312" w:eastAsia="FangSong_GB2312" w:cs="FangSong_GB2312"/>
          <w:b/>
        </w:rPr>
        <w:t xml:space="preserve"> 房租成本性支出及后勤保障专项经费项目绩效评价指标体系及综合评分表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36"/>
        <w:gridCol w:w="959"/>
        <w:gridCol w:w="2246"/>
        <w:gridCol w:w="751"/>
        <w:gridCol w:w="6140"/>
        <w:gridCol w:w="717"/>
        <w:gridCol w:w="963"/>
      </w:tblGrid>
      <w:tr w14:paraId="0198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953" w:type="dxa"/>
            <w:shd w:val="clear" w:color="auto" w:fill="FFFFFF"/>
            <w:vAlign w:val="center"/>
          </w:tcPr>
          <w:p w14:paraId="1CFA4BDD">
            <w:pPr>
              <w:widowControl/>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一级指标</w:t>
            </w:r>
          </w:p>
        </w:tc>
        <w:tc>
          <w:tcPr>
            <w:tcW w:w="1436" w:type="dxa"/>
            <w:shd w:val="clear" w:color="auto" w:fill="FFFFFF"/>
            <w:vAlign w:val="center"/>
          </w:tcPr>
          <w:p w14:paraId="788022F0">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二级指标</w:t>
            </w:r>
          </w:p>
        </w:tc>
        <w:tc>
          <w:tcPr>
            <w:tcW w:w="959" w:type="dxa"/>
            <w:shd w:val="clear" w:color="auto" w:fill="FFFFFF"/>
            <w:vAlign w:val="center"/>
          </w:tcPr>
          <w:p w14:paraId="19DA08A5">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三级指标</w:t>
            </w:r>
          </w:p>
        </w:tc>
        <w:tc>
          <w:tcPr>
            <w:tcW w:w="2246" w:type="dxa"/>
            <w:shd w:val="clear" w:color="auto" w:fill="FFFFFF"/>
            <w:vAlign w:val="center"/>
          </w:tcPr>
          <w:p w14:paraId="73B631FE">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指标解释</w:t>
            </w:r>
          </w:p>
        </w:tc>
        <w:tc>
          <w:tcPr>
            <w:tcW w:w="751" w:type="dxa"/>
            <w:shd w:val="clear" w:color="auto" w:fill="FFFFFF"/>
            <w:vAlign w:val="center"/>
          </w:tcPr>
          <w:p w14:paraId="675123BF">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分值</w:t>
            </w:r>
          </w:p>
        </w:tc>
        <w:tc>
          <w:tcPr>
            <w:tcW w:w="6140" w:type="dxa"/>
            <w:shd w:val="clear" w:color="auto" w:fill="FFFFFF"/>
            <w:vAlign w:val="center"/>
          </w:tcPr>
          <w:p w14:paraId="4E3B8F9E">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指标说明</w:t>
            </w:r>
          </w:p>
        </w:tc>
        <w:tc>
          <w:tcPr>
            <w:tcW w:w="717" w:type="dxa"/>
            <w:noWrap/>
            <w:vAlign w:val="center"/>
          </w:tcPr>
          <w:p w14:paraId="4D6A190C">
            <w:pPr>
              <w:widowControl/>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得分</w:t>
            </w:r>
          </w:p>
        </w:tc>
        <w:tc>
          <w:tcPr>
            <w:tcW w:w="963" w:type="dxa"/>
            <w:vAlign w:val="center"/>
          </w:tcPr>
          <w:p w14:paraId="0ABA64B0">
            <w:pPr>
              <w:widowControl/>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扣分原因</w:t>
            </w:r>
          </w:p>
        </w:tc>
      </w:tr>
      <w:tr w14:paraId="4737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953" w:type="dxa"/>
            <w:vMerge w:val="restart"/>
            <w:shd w:val="clear" w:color="auto" w:fill="FFFFFF"/>
            <w:vAlign w:val="center"/>
          </w:tcPr>
          <w:p w14:paraId="68F9C06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决策　</w:t>
            </w:r>
          </w:p>
        </w:tc>
        <w:tc>
          <w:tcPr>
            <w:tcW w:w="1436" w:type="dxa"/>
            <w:vMerge w:val="restart"/>
            <w:shd w:val="clear" w:color="auto" w:fill="FFFFFF"/>
            <w:vAlign w:val="center"/>
          </w:tcPr>
          <w:p w14:paraId="396104EF">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项目立项</w:t>
            </w:r>
          </w:p>
        </w:tc>
        <w:tc>
          <w:tcPr>
            <w:tcW w:w="959" w:type="dxa"/>
            <w:shd w:val="clear" w:color="auto" w:fill="FFFFFF"/>
            <w:vAlign w:val="center"/>
          </w:tcPr>
          <w:p w14:paraId="325FF8B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立项依据充分性</w:t>
            </w:r>
          </w:p>
        </w:tc>
        <w:tc>
          <w:tcPr>
            <w:tcW w:w="2246" w:type="dxa"/>
            <w:shd w:val="clear" w:color="auto" w:fill="FFFFFF"/>
            <w:vAlign w:val="center"/>
          </w:tcPr>
          <w:p w14:paraId="175C5148">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项目立项是否符合法律法规、相关政策、发展规划以及部门职责，用以反映和考核项目立项依据情况。</w:t>
            </w:r>
          </w:p>
        </w:tc>
        <w:tc>
          <w:tcPr>
            <w:tcW w:w="751" w:type="dxa"/>
            <w:shd w:val="clear" w:color="auto" w:fill="FFFFFF"/>
            <w:vAlign w:val="center"/>
          </w:tcPr>
          <w:p w14:paraId="3C06BBEF">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shd w:val="clear" w:color="auto" w:fill="FFFFFF"/>
            <w:vAlign w:val="center"/>
          </w:tcPr>
          <w:p w14:paraId="0F2701A1">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①项目立项符合国家法律法规、国民经济发展规划和相关政策（1分）；否则，不得分。                                                 </w:t>
            </w:r>
          </w:p>
          <w:p w14:paraId="39F63E4E">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②项目立项符合行业发展规划和政策要求（1分）否则，不得分；                 </w:t>
            </w:r>
          </w:p>
          <w:p w14:paraId="57270089">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③项目立项与部门职责范围相符，属于部门履职所需（1分）否则，不得分；       </w:t>
            </w:r>
          </w:p>
          <w:p w14:paraId="303E9E5E">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④项目属于公共财政支持范围，符合中央、地方事权支出责任划分原则（1分）否则，不得分；</w:t>
            </w:r>
          </w:p>
          <w:p w14:paraId="744BC56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⑤项目与相关部门同类项目或部门内部相关项目重复（1分）否则，不得分。</w:t>
            </w:r>
          </w:p>
        </w:tc>
        <w:tc>
          <w:tcPr>
            <w:tcW w:w="717" w:type="dxa"/>
            <w:noWrap/>
            <w:vAlign w:val="center"/>
          </w:tcPr>
          <w:p w14:paraId="4E8400B0">
            <w:pPr>
              <w:widowControl/>
              <w:jc w:val="center"/>
              <w:textAlignment w:val="center"/>
              <w:rPr>
                <w:rFonts w:ascii="宋体" w:hAnsi="宋体" w:eastAsia="宋体" w:cs="宋体"/>
                <w:sz w:val="18"/>
                <w:szCs w:val="18"/>
              </w:rPr>
            </w:pPr>
            <w:r>
              <w:rPr>
                <w:rFonts w:hint="eastAsia" w:ascii="宋体" w:hAnsi="宋体" w:eastAsia="宋体" w:cs="宋体"/>
                <w:sz w:val="18"/>
                <w:szCs w:val="18"/>
              </w:rPr>
              <w:t>3</w:t>
            </w:r>
          </w:p>
        </w:tc>
        <w:tc>
          <w:tcPr>
            <w:tcW w:w="963" w:type="dxa"/>
            <w:vAlign w:val="center"/>
          </w:tcPr>
          <w:p w14:paraId="1BD9EA2E">
            <w:pPr>
              <w:jc w:val="center"/>
              <w:rPr>
                <w:rFonts w:ascii="宋体" w:hAnsi="宋体" w:eastAsia="宋体" w:cs="宋体"/>
                <w:sz w:val="18"/>
                <w:szCs w:val="18"/>
              </w:rPr>
            </w:pPr>
          </w:p>
        </w:tc>
      </w:tr>
      <w:tr w14:paraId="7E5A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953" w:type="dxa"/>
            <w:vMerge w:val="continue"/>
            <w:shd w:val="clear" w:color="auto" w:fill="FFFFFF"/>
            <w:vAlign w:val="center"/>
          </w:tcPr>
          <w:p w14:paraId="2E1E90D0">
            <w:pPr>
              <w:jc w:val="center"/>
              <w:rPr>
                <w:rFonts w:ascii="宋体" w:hAnsi="宋体" w:eastAsia="宋体" w:cs="宋体"/>
                <w:sz w:val="18"/>
                <w:szCs w:val="18"/>
              </w:rPr>
            </w:pPr>
          </w:p>
        </w:tc>
        <w:tc>
          <w:tcPr>
            <w:tcW w:w="1436" w:type="dxa"/>
            <w:vMerge w:val="continue"/>
            <w:shd w:val="clear" w:color="auto" w:fill="FFFFFF"/>
            <w:vAlign w:val="center"/>
          </w:tcPr>
          <w:p w14:paraId="21BD120D">
            <w:pPr>
              <w:rPr>
                <w:rFonts w:ascii="宋体" w:hAnsi="宋体" w:eastAsia="宋体" w:cs="宋体"/>
                <w:sz w:val="18"/>
                <w:szCs w:val="18"/>
              </w:rPr>
            </w:pPr>
          </w:p>
        </w:tc>
        <w:tc>
          <w:tcPr>
            <w:tcW w:w="959" w:type="dxa"/>
            <w:shd w:val="clear" w:color="auto" w:fill="FFFFFF"/>
            <w:vAlign w:val="center"/>
          </w:tcPr>
          <w:p w14:paraId="1B5EB0F0">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立项程序规范性</w:t>
            </w:r>
          </w:p>
        </w:tc>
        <w:tc>
          <w:tcPr>
            <w:tcW w:w="2246" w:type="dxa"/>
            <w:shd w:val="clear" w:color="auto" w:fill="FFFFFF"/>
            <w:vAlign w:val="center"/>
          </w:tcPr>
          <w:p w14:paraId="53AF4BE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项目申请、设立过程是否符合相关要求，用以反映和考核项目立项的规范情况。</w:t>
            </w:r>
          </w:p>
        </w:tc>
        <w:tc>
          <w:tcPr>
            <w:tcW w:w="751" w:type="dxa"/>
            <w:shd w:val="clear" w:color="auto" w:fill="FFFFFF"/>
            <w:vAlign w:val="center"/>
          </w:tcPr>
          <w:p w14:paraId="770479D9">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w:t>
            </w:r>
          </w:p>
        </w:tc>
        <w:tc>
          <w:tcPr>
            <w:tcW w:w="6140" w:type="dxa"/>
            <w:shd w:val="clear" w:color="auto" w:fill="FFFFFF"/>
            <w:vAlign w:val="center"/>
          </w:tcPr>
          <w:p w14:paraId="02068DDC">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①项目按照规定的程序申请设立（1分）否则，不得分；                     </w:t>
            </w:r>
          </w:p>
          <w:p w14:paraId="1312BC40">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②审批文件、材料符合相关要求（1分）否则，不得分；                     </w:t>
            </w:r>
          </w:p>
          <w:p w14:paraId="7CF1691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③事前已经过必要的可行性研究、专家论证、风险评估、绩效评估、集体决策（1分）否则，不得分。</w:t>
            </w:r>
          </w:p>
        </w:tc>
        <w:tc>
          <w:tcPr>
            <w:tcW w:w="717" w:type="dxa"/>
            <w:noWrap/>
            <w:vAlign w:val="center"/>
          </w:tcPr>
          <w:p w14:paraId="4435DAC0">
            <w:pPr>
              <w:widowControl/>
              <w:jc w:val="center"/>
              <w:textAlignment w:val="center"/>
              <w:rPr>
                <w:rFonts w:ascii="宋体" w:hAnsi="宋体" w:eastAsia="宋体" w:cs="宋体"/>
                <w:sz w:val="18"/>
                <w:szCs w:val="18"/>
              </w:rPr>
            </w:pPr>
            <w:r>
              <w:rPr>
                <w:rFonts w:hint="eastAsia" w:ascii="宋体" w:hAnsi="宋体" w:eastAsia="宋体" w:cs="宋体"/>
                <w:sz w:val="18"/>
                <w:szCs w:val="18"/>
              </w:rPr>
              <w:t>3</w:t>
            </w:r>
          </w:p>
        </w:tc>
        <w:tc>
          <w:tcPr>
            <w:tcW w:w="963" w:type="dxa"/>
            <w:vAlign w:val="center"/>
          </w:tcPr>
          <w:p w14:paraId="5CDF0025">
            <w:pPr>
              <w:jc w:val="center"/>
              <w:rPr>
                <w:rFonts w:ascii="宋体" w:hAnsi="宋体" w:eastAsia="宋体" w:cs="宋体"/>
                <w:sz w:val="18"/>
                <w:szCs w:val="18"/>
              </w:rPr>
            </w:pPr>
          </w:p>
        </w:tc>
      </w:tr>
      <w:tr w14:paraId="3567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53" w:type="dxa"/>
            <w:vMerge w:val="continue"/>
            <w:shd w:val="clear" w:color="auto" w:fill="FFFFFF"/>
            <w:vAlign w:val="center"/>
          </w:tcPr>
          <w:p w14:paraId="5F34DB46">
            <w:pPr>
              <w:jc w:val="center"/>
              <w:rPr>
                <w:rFonts w:ascii="宋体" w:hAnsi="宋体" w:eastAsia="宋体" w:cs="宋体"/>
                <w:sz w:val="18"/>
                <w:szCs w:val="18"/>
              </w:rPr>
            </w:pPr>
          </w:p>
        </w:tc>
        <w:tc>
          <w:tcPr>
            <w:tcW w:w="1436" w:type="dxa"/>
            <w:shd w:val="clear" w:color="auto" w:fill="FFFFFF"/>
            <w:vAlign w:val="center"/>
          </w:tcPr>
          <w:p w14:paraId="03DF2817">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绩效目标</w:t>
            </w:r>
          </w:p>
        </w:tc>
        <w:tc>
          <w:tcPr>
            <w:tcW w:w="959" w:type="dxa"/>
            <w:shd w:val="clear" w:color="auto" w:fill="FFFFFF"/>
            <w:vAlign w:val="center"/>
          </w:tcPr>
          <w:p w14:paraId="263EF64D">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绩效目标合理性</w:t>
            </w:r>
          </w:p>
        </w:tc>
        <w:tc>
          <w:tcPr>
            <w:tcW w:w="2246" w:type="dxa"/>
            <w:shd w:val="clear" w:color="auto" w:fill="FFFFFF"/>
            <w:vAlign w:val="center"/>
          </w:tcPr>
          <w:p w14:paraId="1BF3FC37">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项目所设定的绩效目标是否依据充分，是否符合客观实际，用以反映和考核项目绩效目标与项目实施的相符情况。</w:t>
            </w:r>
          </w:p>
        </w:tc>
        <w:tc>
          <w:tcPr>
            <w:tcW w:w="751" w:type="dxa"/>
            <w:shd w:val="clear" w:color="auto" w:fill="FFFFFF"/>
            <w:vAlign w:val="center"/>
          </w:tcPr>
          <w:p w14:paraId="47FCD6BD">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w:t>
            </w:r>
          </w:p>
        </w:tc>
        <w:tc>
          <w:tcPr>
            <w:tcW w:w="6140" w:type="dxa"/>
            <w:shd w:val="clear" w:color="auto" w:fill="FFFFFF"/>
            <w:vAlign w:val="center"/>
          </w:tcPr>
          <w:p w14:paraId="48F88FDE">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①项目有绩效目标，（1分），否则，不得分；                                 </w:t>
            </w:r>
          </w:p>
          <w:p w14:paraId="17FD605B">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②项目绩效目标与实际工作内容具有相关性，预期产出效益和效果符合正常的业绩水平，否则，不得分（1分）；</w:t>
            </w:r>
          </w:p>
          <w:p w14:paraId="3720B329">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③与预算确定的项目投资额或资金量相匹配，否则，不得分（1分）。</w:t>
            </w:r>
          </w:p>
        </w:tc>
        <w:tc>
          <w:tcPr>
            <w:tcW w:w="717" w:type="dxa"/>
            <w:noWrap/>
            <w:vAlign w:val="center"/>
          </w:tcPr>
          <w:p w14:paraId="3F61D97B">
            <w:pPr>
              <w:widowControl/>
              <w:jc w:val="center"/>
              <w:textAlignment w:val="center"/>
              <w:rPr>
                <w:rFonts w:ascii="宋体" w:hAnsi="宋体" w:eastAsia="宋体" w:cs="宋体"/>
                <w:sz w:val="18"/>
                <w:szCs w:val="18"/>
              </w:rPr>
            </w:pPr>
            <w:r>
              <w:rPr>
                <w:rFonts w:hint="eastAsia" w:ascii="宋体" w:hAnsi="宋体" w:eastAsia="宋体" w:cs="宋体"/>
                <w:sz w:val="18"/>
                <w:szCs w:val="18"/>
              </w:rPr>
              <w:t>3</w:t>
            </w:r>
          </w:p>
        </w:tc>
        <w:tc>
          <w:tcPr>
            <w:tcW w:w="963" w:type="dxa"/>
            <w:vAlign w:val="center"/>
          </w:tcPr>
          <w:p w14:paraId="4A205F2E">
            <w:pPr>
              <w:jc w:val="center"/>
              <w:rPr>
                <w:rFonts w:ascii="宋体" w:hAnsi="宋体" w:eastAsia="宋体" w:cs="宋体"/>
                <w:sz w:val="18"/>
                <w:szCs w:val="18"/>
              </w:rPr>
            </w:pPr>
          </w:p>
        </w:tc>
      </w:tr>
      <w:tr w14:paraId="3BCF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953" w:type="dxa"/>
            <w:vMerge w:val="continue"/>
            <w:shd w:val="clear" w:color="auto" w:fill="FFFFFF"/>
            <w:vAlign w:val="center"/>
          </w:tcPr>
          <w:p w14:paraId="6728C176">
            <w:pPr>
              <w:jc w:val="center"/>
              <w:rPr>
                <w:rFonts w:ascii="宋体" w:hAnsi="宋体" w:eastAsia="宋体" w:cs="宋体"/>
                <w:sz w:val="18"/>
                <w:szCs w:val="18"/>
              </w:rPr>
            </w:pPr>
          </w:p>
        </w:tc>
        <w:tc>
          <w:tcPr>
            <w:tcW w:w="1436" w:type="dxa"/>
            <w:shd w:val="clear" w:color="auto" w:fill="FFFFFF"/>
            <w:vAlign w:val="center"/>
          </w:tcPr>
          <w:p w14:paraId="37D999D4">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绩效目标</w:t>
            </w:r>
          </w:p>
        </w:tc>
        <w:tc>
          <w:tcPr>
            <w:tcW w:w="959" w:type="dxa"/>
            <w:shd w:val="clear" w:color="auto" w:fill="FFFFFF"/>
            <w:vAlign w:val="center"/>
          </w:tcPr>
          <w:p w14:paraId="4D464A3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绩效指标明确性</w:t>
            </w:r>
          </w:p>
        </w:tc>
        <w:tc>
          <w:tcPr>
            <w:tcW w:w="2246" w:type="dxa"/>
            <w:shd w:val="clear" w:color="auto" w:fill="FFFFFF"/>
            <w:vAlign w:val="center"/>
          </w:tcPr>
          <w:p w14:paraId="489FADF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依据绩效目标设定的绩效指标是否清晰、细化、可衡量等，用以反映和考核项目绩效目标的明细化情况。</w:t>
            </w:r>
          </w:p>
        </w:tc>
        <w:tc>
          <w:tcPr>
            <w:tcW w:w="751" w:type="dxa"/>
            <w:shd w:val="clear" w:color="auto" w:fill="FFFFFF"/>
            <w:vAlign w:val="center"/>
          </w:tcPr>
          <w:p w14:paraId="30B74FBC">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2</w:t>
            </w:r>
          </w:p>
        </w:tc>
        <w:tc>
          <w:tcPr>
            <w:tcW w:w="6140" w:type="dxa"/>
            <w:shd w:val="clear" w:color="auto" w:fill="FFFFFF"/>
            <w:vAlign w:val="center"/>
          </w:tcPr>
          <w:p w14:paraId="79B9B4A1">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①项目绩效目标细化分解为具体的绩效指标，（1分）否则，不得分；              </w:t>
            </w:r>
          </w:p>
          <w:p w14:paraId="0A468FB4">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②通过清晰、可衡量的指标值予以体现，与项目目标任务数或计划数相对应，否则，不得分（1分）。</w:t>
            </w:r>
          </w:p>
        </w:tc>
        <w:tc>
          <w:tcPr>
            <w:tcW w:w="717" w:type="dxa"/>
            <w:noWrap/>
            <w:vAlign w:val="center"/>
          </w:tcPr>
          <w:p w14:paraId="588EECE2">
            <w:pPr>
              <w:widowControl/>
              <w:jc w:val="center"/>
              <w:textAlignment w:val="center"/>
              <w:rPr>
                <w:rFonts w:ascii="宋体" w:hAnsi="宋体" w:eastAsia="宋体" w:cs="宋体"/>
                <w:sz w:val="18"/>
                <w:szCs w:val="18"/>
              </w:rPr>
            </w:pPr>
            <w:r>
              <w:rPr>
                <w:rFonts w:hint="eastAsia" w:ascii="宋体" w:hAnsi="宋体" w:eastAsia="宋体" w:cs="宋体"/>
                <w:sz w:val="18"/>
                <w:szCs w:val="18"/>
              </w:rPr>
              <w:t>2</w:t>
            </w:r>
          </w:p>
        </w:tc>
        <w:tc>
          <w:tcPr>
            <w:tcW w:w="963" w:type="dxa"/>
            <w:vAlign w:val="center"/>
          </w:tcPr>
          <w:p w14:paraId="2C116EE9">
            <w:pPr>
              <w:jc w:val="center"/>
              <w:rPr>
                <w:rFonts w:ascii="宋体" w:hAnsi="宋体" w:eastAsia="宋体" w:cs="宋体"/>
                <w:sz w:val="18"/>
                <w:szCs w:val="18"/>
              </w:rPr>
            </w:pPr>
          </w:p>
        </w:tc>
      </w:tr>
      <w:tr w14:paraId="7055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953" w:type="dxa"/>
            <w:vMerge w:val="continue"/>
            <w:shd w:val="clear" w:color="auto" w:fill="FFFFFF"/>
            <w:vAlign w:val="center"/>
          </w:tcPr>
          <w:p w14:paraId="0859D40F">
            <w:pPr>
              <w:jc w:val="center"/>
              <w:rPr>
                <w:rFonts w:ascii="宋体" w:hAnsi="宋体" w:eastAsia="宋体" w:cs="宋体"/>
                <w:sz w:val="18"/>
                <w:szCs w:val="18"/>
              </w:rPr>
            </w:pPr>
          </w:p>
        </w:tc>
        <w:tc>
          <w:tcPr>
            <w:tcW w:w="1436" w:type="dxa"/>
            <w:vMerge w:val="restart"/>
            <w:shd w:val="clear" w:color="auto" w:fill="FFFFFF"/>
            <w:vAlign w:val="center"/>
          </w:tcPr>
          <w:p w14:paraId="56E5D33D">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资金投入</w:t>
            </w:r>
          </w:p>
        </w:tc>
        <w:tc>
          <w:tcPr>
            <w:tcW w:w="959" w:type="dxa"/>
            <w:shd w:val="clear" w:color="auto" w:fill="FFFFFF"/>
            <w:vAlign w:val="center"/>
          </w:tcPr>
          <w:p w14:paraId="0C18E9F5">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预算编制科学性</w:t>
            </w:r>
          </w:p>
        </w:tc>
        <w:tc>
          <w:tcPr>
            <w:tcW w:w="2246" w:type="dxa"/>
            <w:shd w:val="clear" w:color="auto" w:fill="FFFFFF"/>
            <w:vAlign w:val="center"/>
          </w:tcPr>
          <w:p w14:paraId="15124B9F">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项目预算编制是否经过科学论证、有明确标准，资金额度与年度目标是否相适应，用以反映和考核项目预算编制的科学性、合理性情况</w:t>
            </w:r>
          </w:p>
        </w:tc>
        <w:tc>
          <w:tcPr>
            <w:tcW w:w="751" w:type="dxa"/>
            <w:shd w:val="clear" w:color="auto" w:fill="FFFFFF"/>
            <w:vAlign w:val="center"/>
          </w:tcPr>
          <w:p w14:paraId="4E61637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shd w:val="clear" w:color="auto" w:fill="FFFFFF"/>
            <w:vAlign w:val="center"/>
          </w:tcPr>
          <w:p w14:paraId="64181653">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①预算编制经过科学论证（1分）否则，不得分；                            </w:t>
            </w:r>
          </w:p>
          <w:p w14:paraId="6E6C3951">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②预算内容与项目内容匹配（1.5分）否则，不得分；                       </w:t>
            </w:r>
          </w:p>
          <w:p w14:paraId="31216C01">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③预算额度测算依据充分，按照标准编制（1.5分）否则，不得分；           </w:t>
            </w:r>
          </w:p>
          <w:p w14:paraId="06003A97">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④预算确定的项目投资额或资金量与工作任务相匹配（1分）否则，不得分。</w:t>
            </w:r>
          </w:p>
        </w:tc>
        <w:tc>
          <w:tcPr>
            <w:tcW w:w="717" w:type="dxa"/>
            <w:noWrap/>
            <w:vAlign w:val="center"/>
          </w:tcPr>
          <w:p w14:paraId="2B350469">
            <w:pPr>
              <w:widowControl/>
              <w:jc w:val="center"/>
              <w:textAlignment w:val="center"/>
              <w:rPr>
                <w:rFonts w:ascii="宋体" w:hAnsi="宋体" w:eastAsia="宋体" w:cs="宋体"/>
                <w:sz w:val="18"/>
                <w:szCs w:val="18"/>
              </w:rPr>
            </w:pPr>
            <w:r>
              <w:rPr>
                <w:rFonts w:hint="eastAsia" w:ascii="宋体" w:hAnsi="宋体" w:eastAsia="宋体" w:cs="宋体"/>
                <w:sz w:val="18"/>
                <w:szCs w:val="18"/>
              </w:rPr>
              <w:t>5</w:t>
            </w:r>
          </w:p>
        </w:tc>
        <w:tc>
          <w:tcPr>
            <w:tcW w:w="963" w:type="dxa"/>
            <w:vAlign w:val="center"/>
          </w:tcPr>
          <w:p w14:paraId="77E3AB20">
            <w:pPr>
              <w:jc w:val="center"/>
              <w:rPr>
                <w:rFonts w:ascii="宋体" w:hAnsi="宋体" w:eastAsia="宋体" w:cs="宋体"/>
                <w:sz w:val="18"/>
                <w:szCs w:val="18"/>
              </w:rPr>
            </w:pPr>
          </w:p>
        </w:tc>
      </w:tr>
      <w:tr w14:paraId="2C44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953" w:type="dxa"/>
            <w:vMerge w:val="continue"/>
            <w:shd w:val="clear" w:color="auto" w:fill="FFFFFF"/>
            <w:vAlign w:val="center"/>
          </w:tcPr>
          <w:p w14:paraId="416C0D07">
            <w:pPr>
              <w:jc w:val="center"/>
              <w:rPr>
                <w:rFonts w:ascii="宋体" w:hAnsi="宋体" w:eastAsia="宋体" w:cs="宋体"/>
                <w:sz w:val="18"/>
                <w:szCs w:val="18"/>
              </w:rPr>
            </w:pPr>
          </w:p>
        </w:tc>
        <w:tc>
          <w:tcPr>
            <w:tcW w:w="1436" w:type="dxa"/>
            <w:vMerge w:val="continue"/>
            <w:shd w:val="clear" w:color="auto" w:fill="FFFFFF"/>
            <w:vAlign w:val="center"/>
          </w:tcPr>
          <w:p w14:paraId="48FA6E30">
            <w:pPr>
              <w:rPr>
                <w:rFonts w:ascii="宋体" w:hAnsi="宋体" w:eastAsia="宋体" w:cs="宋体"/>
                <w:sz w:val="18"/>
                <w:szCs w:val="18"/>
              </w:rPr>
            </w:pPr>
          </w:p>
        </w:tc>
        <w:tc>
          <w:tcPr>
            <w:tcW w:w="959" w:type="dxa"/>
            <w:shd w:val="clear" w:color="auto" w:fill="FFFFFF"/>
            <w:vAlign w:val="center"/>
          </w:tcPr>
          <w:p w14:paraId="1F6E08B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资金分配合理性</w:t>
            </w:r>
          </w:p>
        </w:tc>
        <w:tc>
          <w:tcPr>
            <w:tcW w:w="2246" w:type="dxa"/>
            <w:shd w:val="clear" w:color="auto" w:fill="FFFFFF"/>
            <w:vAlign w:val="center"/>
          </w:tcPr>
          <w:p w14:paraId="24BA60E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项目预算资金分配是否有测算依据，与补助单位或地方实际是否相适应，用以反映和考核项目预算资金分配的科学性、合理性情况。</w:t>
            </w:r>
          </w:p>
        </w:tc>
        <w:tc>
          <w:tcPr>
            <w:tcW w:w="751" w:type="dxa"/>
            <w:shd w:val="clear" w:color="auto" w:fill="FFFFFF"/>
            <w:vAlign w:val="center"/>
          </w:tcPr>
          <w:p w14:paraId="4ED6BC7E">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2</w:t>
            </w:r>
          </w:p>
        </w:tc>
        <w:tc>
          <w:tcPr>
            <w:tcW w:w="6140" w:type="dxa"/>
            <w:shd w:val="clear" w:color="auto" w:fill="FFFFFF"/>
            <w:vAlign w:val="center"/>
          </w:tcPr>
          <w:p w14:paraId="6D10A302">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①预算资金分配依据充分（1分）否则，不得分；                           </w:t>
            </w:r>
          </w:p>
          <w:p w14:paraId="1AE6E32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②资金分配额度合理，与项目单位或地方实际相适应（1分）否则，不得分。</w:t>
            </w:r>
          </w:p>
        </w:tc>
        <w:tc>
          <w:tcPr>
            <w:tcW w:w="717" w:type="dxa"/>
            <w:noWrap/>
            <w:vAlign w:val="center"/>
          </w:tcPr>
          <w:p w14:paraId="11032659">
            <w:pPr>
              <w:widowControl/>
              <w:jc w:val="center"/>
              <w:textAlignment w:val="center"/>
              <w:rPr>
                <w:rFonts w:ascii="宋体" w:hAnsi="宋体" w:eastAsia="宋体" w:cs="宋体"/>
                <w:sz w:val="18"/>
                <w:szCs w:val="18"/>
              </w:rPr>
            </w:pPr>
            <w:r>
              <w:rPr>
                <w:rFonts w:hint="eastAsia" w:ascii="宋体" w:hAnsi="宋体" w:eastAsia="宋体" w:cs="宋体"/>
                <w:sz w:val="18"/>
                <w:szCs w:val="18"/>
              </w:rPr>
              <w:t>2</w:t>
            </w:r>
          </w:p>
        </w:tc>
        <w:tc>
          <w:tcPr>
            <w:tcW w:w="963" w:type="dxa"/>
            <w:vAlign w:val="center"/>
          </w:tcPr>
          <w:p w14:paraId="275E589B">
            <w:pPr>
              <w:jc w:val="center"/>
              <w:rPr>
                <w:rFonts w:ascii="宋体" w:hAnsi="宋体" w:eastAsia="宋体" w:cs="宋体"/>
                <w:sz w:val="18"/>
                <w:szCs w:val="18"/>
              </w:rPr>
            </w:pPr>
          </w:p>
        </w:tc>
      </w:tr>
      <w:tr w14:paraId="2A83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953" w:type="dxa"/>
            <w:vMerge w:val="restart"/>
            <w:shd w:val="clear" w:color="auto" w:fill="FFFFFF"/>
            <w:vAlign w:val="center"/>
          </w:tcPr>
          <w:p w14:paraId="444439C0">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过程</w:t>
            </w:r>
          </w:p>
        </w:tc>
        <w:tc>
          <w:tcPr>
            <w:tcW w:w="1436" w:type="dxa"/>
            <w:vMerge w:val="restart"/>
            <w:shd w:val="clear" w:color="auto" w:fill="FFFFFF"/>
            <w:vAlign w:val="center"/>
          </w:tcPr>
          <w:p w14:paraId="736E805A">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资金管理</w:t>
            </w:r>
          </w:p>
        </w:tc>
        <w:tc>
          <w:tcPr>
            <w:tcW w:w="959" w:type="dxa"/>
            <w:vAlign w:val="center"/>
          </w:tcPr>
          <w:p w14:paraId="0126FB54">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资金到位率</w:t>
            </w:r>
          </w:p>
        </w:tc>
        <w:tc>
          <w:tcPr>
            <w:tcW w:w="2246" w:type="dxa"/>
            <w:vAlign w:val="center"/>
          </w:tcPr>
          <w:p w14:paraId="3B335EC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实际到位资金与预算资金的比率，用以反映和考核资金落实情况对项目实施的总体保障程度</w:t>
            </w:r>
          </w:p>
        </w:tc>
        <w:tc>
          <w:tcPr>
            <w:tcW w:w="751" w:type="dxa"/>
            <w:vAlign w:val="center"/>
          </w:tcPr>
          <w:p w14:paraId="695D6E7A">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2</w:t>
            </w:r>
          </w:p>
        </w:tc>
        <w:tc>
          <w:tcPr>
            <w:tcW w:w="6140" w:type="dxa"/>
            <w:vAlign w:val="center"/>
          </w:tcPr>
          <w:p w14:paraId="0F49BE03">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①资金到位率为100%的，得满分。（2分）。             </w:t>
            </w:r>
          </w:p>
          <w:p w14:paraId="023733EC">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②资金未全额到位的，按照满分乘以到位率计算得分。</w:t>
            </w:r>
          </w:p>
          <w:p w14:paraId="4D274A9F">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（资金到位率=（实际到位资金/预算资金）×100% ）。</w:t>
            </w:r>
          </w:p>
        </w:tc>
        <w:tc>
          <w:tcPr>
            <w:tcW w:w="717" w:type="dxa"/>
            <w:noWrap/>
            <w:vAlign w:val="center"/>
          </w:tcPr>
          <w:p w14:paraId="2857B252">
            <w:pPr>
              <w:widowControl/>
              <w:jc w:val="center"/>
              <w:textAlignment w:val="center"/>
              <w:rPr>
                <w:rFonts w:ascii="宋体" w:hAnsi="宋体" w:eastAsia="宋体" w:cs="宋体"/>
                <w:sz w:val="18"/>
                <w:szCs w:val="18"/>
              </w:rPr>
            </w:pPr>
            <w:r>
              <w:rPr>
                <w:rFonts w:hint="eastAsia" w:ascii="宋体" w:hAnsi="宋体" w:eastAsia="宋体" w:cs="宋体"/>
                <w:sz w:val="18"/>
                <w:szCs w:val="18"/>
              </w:rPr>
              <w:t>2</w:t>
            </w:r>
          </w:p>
        </w:tc>
        <w:tc>
          <w:tcPr>
            <w:tcW w:w="963" w:type="dxa"/>
            <w:vAlign w:val="center"/>
          </w:tcPr>
          <w:p w14:paraId="6008DDB2">
            <w:pPr>
              <w:jc w:val="center"/>
              <w:rPr>
                <w:rFonts w:ascii="宋体" w:hAnsi="宋体" w:eastAsia="宋体" w:cs="宋体"/>
                <w:sz w:val="18"/>
                <w:szCs w:val="18"/>
              </w:rPr>
            </w:pPr>
          </w:p>
        </w:tc>
      </w:tr>
      <w:tr w14:paraId="5E57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53" w:type="dxa"/>
            <w:vMerge w:val="continue"/>
            <w:shd w:val="clear" w:color="auto" w:fill="FFFFFF"/>
            <w:vAlign w:val="center"/>
          </w:tcPr>
          <w:p w14:paraId="750C3984">
            <w:pPr>
              <w:jc w:val="center"/>
              <w:rPr>
                <w:rFonts w:ascii="宋体" w:hAnsi="宋体" w:eastAsia="宋体" w:cs="宋体"/>
                <w:sz w:val="18"/>
                <w:szCs w:val="18"/>
              </w:rPr>
            </w:pPr>
          </w:p>
        </w:tc>
        <w:tc>
          <w:tcPr>
            <w:tcW w:w="1436" w:type="dxa"/>
            <w:vMerge w:val="continue"/>
            <w:shd w:val="clear" w:color="auto" w:fill="FFFFFF"/>
            <w:vAlign w:val="center"/>
          </w:tcPr>
          <w:p w14:paraId="6190A53A">
            <w:pPr>
              <w:rPr>
                <w:rFonts w:ascii="宋体" w:hAnsi="宋体" w:eastAsia="宋体" w:cs="宋体"/>
                <w:sz w:val="18"/>
                <w:szCs w:val="18"/>
              </w:rPr>
            </w:pPr>
          </w:p>
        </w:tc>
        <w:tc>
          <w:tcPr>
            <w:tcW w:w="959" w:type="dxa"/>
            <w:vAlign w:val="center"/>
          </w:tcPr>
          <w:p w14:paraId="3325C31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预算执行率</w:t>
            </w:r>
          </w:p>
        </w:tc>
        <w:tc>
          <w:tcPr>
            <w:tcW w:w="2246" w:type="dxa"/>
            <w:vAlign w:val="center"/>
          </w:tcPr>
          <w:p w14:paraId="0BAA54F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项目预算资金是否按照计划执行，用以反映或考核项目预算执行情况</w:t>
            </w:r>
          </w:p>
        </w:tc>
        <w:tc>
          <w:tcPr>
            <w:tcW w:w="751" w:type="dxa"/>
            <w:vAlign w:val="center"/>
          </w:tcPr>
          <w:p w14:paraId="76761478">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vAlign w:val="center"/>
          </w:tcPr>
          <w:p w14:paraId="5B6C1873">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①预算执行率为100%的，得满分（5分）；</w:t>
            </w:r>
          </w:p>
          <w:p w14:paraId="5C6DBC10">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②资金未执行完毕的，按照满分乘以到位率计算得分。</w:t>
            </w:r>
          </w:p>
          <w:p w14:paraId="527D5FD8">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（预算执行率=（实际支出资金/实际到位资金）×100%）。</w:t>
            </w:r>
          </w:p>
        </w:tc>
        <w:tc>
          <w:tcPr>
            <w:tcW w:w="717" w:type="dxa"/>
            <w:vAlign w:val="center"/>
          </w:tcPr>
          <w:p w14:paraId="45BDE44B">
            <w:pPr>
              <w:widowControl/>
              <w:jc w:val="center"/>
              <w:textAlignment w:val="center"/>
              <w:rPr>
                <w:rFonts w:ascii="宋体" w:hAnsi="宋体" w:eastAsia="宋体" w:cs="宋体"/>
                <w:sz w:val="18"/>
                <w:szCs w:val="18"/>
              </w:rPr>
            </w:pPr>
            <w:r>
              <w:rPr>
                <w:rFonts w:hint="eastAsia" w:ascii="宋体" w:hAnsi="宋体" w:eastAsia="宋体" w:cs="宋体"/>
                <w:sz w:val="18"/>
                <w:szCs w:val="18"/>
              </w:rPr>
              <w:t>5</w:t>
            </w:r>
          </w:p>
        </w:tc>
        <w:tc>
          <w:tcPr>
            <w:tcW w:w="963" w:type="dxa"/>
            <w:vAlign w:val="center"/>
          </w:tcPr>
          <w:p w14:paraId="4376AF2B">
            <w:pPr>
              <w:jc w:val="center"/>
              <w:rPr>
                <w:rFonts w:ascii="宋体" w:hAnsi="宋体" w:eastAsia="宋体" w:cs="宋体"/>
                <w:sz w:val="18"/>
                <w:szCs w:val="18"/>
              </w:rPr>
            </w:pPr>
          </w:p>
        </w:tc>
      </w:tr>
      <w:tr w14:paraId="587B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953" w:type="dxa"/>
            <w:vMerge w:val="continue"/>
            <w:shd w:val="clear" w:color="auto" w:fill="FFFFFF"/>
            <w:vAlign w:val="center"/>
          </w:tcPr>
          <w:p w14:paraId="7794FB4B">
            <w:pPr>
              <w:jc w:val="center"/>
              <w:rPr>
                <w:rFonts w:ascii="宋体" w:hAnsi="宋体" w:eastAsia="宋体" w:cs="宋体"/>
                <w:sz w:val="18"/>
                <w:szCs w:val="18"/>
              </w:rPr>
            </w:pPr>
          </w:p>
        </w:tc>
        <w:tc>
          <w:tcPr>
            <w:tcW w:w="1436" w:type="dxa"/>
            <w:vMerge w:val="continue"/>
            <w:shd w:val="clear" w:color="auto" w:fill="FFFFFF"/>
            <w:vAlign w:val="center"/>
          </w:tcPr>
          <w:p w14:paraId="6EE5959B">
            <w:pPr>
              <w:rPr>
                <w:rFonts w:ascii="宋体" w:hAnsi="宋体" w:eastAsia="宋体" w:cs="宋体"/>
                <w:sz w:val="18"/>
                <w:szCs w:val="18"/>
              </w:rPr>
            </w:pPr>
          </w:p>
        </w:tc>
        <w:tc>
          <w:tcPr>
            <w:tcW w:w="959" w:type="dxa"/>
            <w:shd w:val="clear" w:color="auto" w:fill="FFFFFF"/>
            <w:vAlign w:val="center"/>
          </w:tcPr>
          <w:p w14:paraId="06B5B54E">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资金使用合规性</w:t>
            </w:r>
          </w:p>
        </w:tc>
        <w:tc>
          <w:tcPr>
            <w:tcW w:w="2246" w:type="dxa"/>
            <w:shd w:val="clear" w:color="auto" w:fill="FFFFFF"/>
            <w:vAlign w:val="center"/>
          </w:tcPr>
          <w:p w14:paraId="7EB26AC4">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项目资金使用是否符合相关的财务管理制度规定，用以反映和考核项目资金的规范运行情况</w:t>
            </w:r>
          </w:p>
        </w:tc>
        <w:tc>
          <w:tcPr>
            <w:tcW w:w="751" w:type="dxa"/>
            <w:shd w:val="clear" w:color="auto" w:fill="FFFFFF"/>
            <w:vAlign w:val="center"/>
          </w:tcPr>
          <w:p w14:paraId="49FE42D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5</w:t>
            </w:r>
          </w:p>
        </w:tc>
        <w:tc>
          <w:tcPr>
            <w:tcW w:w="6140" w:type="dxa"/>
            <w:shd w:val="clear" w:color="auto" w:fill="FFFFFF"/>
            <w:vAlign w:val="center"/>
          </w:tcPr>
          <w:p w14:paraId="759C3F06">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①符合国家财经法规和财务管理制度以及有关专项资金管理办法的规定（1分）否则，不得分；                                             </w:t>
            </w:r>
          </w:p>
          <w:p w14:paraId="3943FD03">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②资金的拨付有完整的审批程序和手续（1分）否则，不得分；               </w:t>
            </w:r>
          </w:p>
          <w:p w14:paraId="4D58D0FB">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③符合项目预算批复或合同规定的用途（1分）否则，不得分；               </w:t>
            </w:r>
          </w:p>
          <w:p w14:paraId="2F26B65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④不存在截留、挤占、挪用、虚列支出等情况（2分）否则，不得分。</w:t>
            </w:r>
          </w:p>
        </w:tc>
        <w:tc>
          <w:tcPr>
            <w:tcW w:w="717" w:type="dxa"/>
            <w:noWrap/>
            <w:vAlign w:val="center"/>
          </w:tcPr>
          <w:p w14:paraId="35A1BEA6">
            <w:pPr>
              <w:widowControl/>
              <w:jc w:val="center"/>
              <w:textAlignment w:val="center"/>
              <w:rPr>
                <w:rFonts w:ascii="宋体" w:hAnsi="宋体" w:eastAsia="宋体" w:cs="宋体"/>
                <w:sz w:val="18"/>
                <w:szCs w:val="18"/>
              </w:rPr>
            </w:pPr>
            <w:r>
              <w:rPr>
                <w:rFonts w:hint="eastAsia" w:ascii="宋体" w:hAnsi="宋体" w:eastAsia="宋体" w:cs="宋体"/>
                <w:sz w:val="18"/>
                <w:szCs w:val="18"/>
              </w:rPr>
              <w:t>5</w:t>
            </w:r>
          </w:p>
        </w:tc>
        <w:tc>
          <w:tcPr>
            <w:tcW w:w="963" w:type="dxa"/>
            <w:vAlign w:val="center"/>
          </w:tcPr>
          <w:p w14:paraId="6E5D1327">
            <w:pPr>
              <w:jc w:val="center"/>
              <w:rPr>
                <w:rFonts w:ascii="宋体" w:hAnsi="宋体" w:eastAsia="宋体" w:cs="宋体"/>
                <w:sz w:val="18"/>
                <w:szCs w:val="18"/>
              </w:rPr>
            </w:pPr>
          </w:p>
        </w:tc>
      </w:tr>
      <w:tr w14:paraId="3FE4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953" w:type="dxa"/>
            <w:vMerge w:val="continue"/>
            <w:shd w:val="clear" w:color="auto" w:fill="FFFFFF"/>
            <w:vAlign w:val="center"/>
          </w:tcPr>
          <w:p w14:paraId="356CDB6D">
            <w:pPr>
              <w:jc w:val="center"/>
              <w:rPr>
                <w:rFonts w:ascii="宋体" w:hAnsi="宋体" w:eastAsia="宋体" w:cs="宋体"/>
                <w:sz w:val="18"/>
                <w:szCs w:val="18"/>
              </w:rPr>
            </w:pPr>
          </w:p>
        </w:tc>
        <w:tc>
          <w:tcPr>
            <w:tcW w:w="1436" w:type="dxa"/>
            <w:vMerge w:val="restart"/>
            <w:shd w:val="clear" w:color="auto" w:fill="FFFFFF"/>
            <w:vAlign w:val="center"/>
          </w:tcPr>
          <w:p w14:paraId="5B43C12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组织实施</w:t>
            </w:r>
          </w:p>
        </w:tc>
        <w:tc>
          <w:tcPr>
            <w:tcW w:w="959" w:type="dxa"/>
            <w:shd w:val="clear" w:color="auto" w:fill="FFFFFF"/>
            <w:vAlign w:val="center"/>
          </w:tcPr>
          <w:p w14:paraId="100BC2C0">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管理制度健全性</w:t>
            </w:r>
          </w:p>
        </w:tc>
        <w:tc>
          <w:tcPr>
            <w:tcW w:w="2246" w:type="dxa"/>
            <w:shd w:val="clear" w:color="auto" w:fill="FFFFFF"/>
            <w:vAlign w:val="center"/>
          </w:tcPr>
          <w:p w14:paraId="091E7F3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项目实施单位的财务和业务管理制度是否健全，用以反映和考核财务和业务管理制度对项目顺利实施的保障情况。</w:t>
            </w:r>
          </w:p>
        </w:tc>
        <w:tc>
          <w:tcPr>
            <w:tcW w:w="751" w:type="dxa"/>
            <w:shd w:val="clear" w:color="auto" w:fill="FFFFFF"/>
            <w:vAlign w:val="center"/>
          </w:tcPr>
          <w:p w14:paraId="4451F404">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6140" w:type="dxa"/>
            <w:shd w:val="clear" w:color="auto" w:fill="FFFFFF"/>
            <w:vAlign w:val="center"/>
          </w:tcPr>
          <w:p w14:paraId="22548076">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①已制定或具有相应的财务和业务管理制度（2分）否则，不得分；           </w:t>
            </w:r>
          </w:p>
          <w:p w14:paraId="392FECF9">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②财务和业务管理制度合法、合规、完整（2分）否则，不得分。</w:t>
            </w:r>
          </w:p>
        </w:tc>
        <w:tc>
          <w:tcPr>
            <w:tcW w:w="717" w:type="dxa"/>
            <w:noWrap/>
            <w:vAlign w:val="center"/>
          </w:tcPr>
          <w:p w14:paraId="1CE12226">
            <w:pPr>
              <w:widowControl/>
              <w:jc w:val="center"/>
              <w:textAlignment w:val="center"/>
              <w:rPr>
                <w:rFonts w:ascii="宋体" w:hAnsi="宋体" w:eastAsia="宋体" w:cs="宋体"/>
                <w:sz w:val="18"/>
                <w:szCs w:val="18"/>
              </w:rPr>
            </w:pPr>
            <w:r>
              <w:rPr>
                <w:rFonts w:hint="eastAsia" w:ascii="宋体" w:hAnsi="宋体" w:eastAsia="宋体" w:cs="宋体"/>
                <w:sz w:val="18"/>
                <w:szCs w:val="18"/>
              </w:rPr>
              <w:t>4</w:t>
            </w:r>
          </w:p>
        </w:tc>
        <w:tc>
          <w:tcPr>
            <w:tcW w:w="963" w:type="dxa"/>
            <w:vAlign w:val="center"/>
          </w:tcPr>
          <w:p w14:paraId="6342F6EA">
            <w:pPr>
              <w:jc w:val="center"/>
              <w:rPr>
                <w:rFonts w:ascii="宋体" w:hAnsi="宋体" w:eastAsia="宋体" w:cs="宋体"/>
                <w:sz w:val="18"/>
                <w:szCs w:val="18"/>
              </w:rPr>
            </w:pPr>
          </w:p>
        </w:tc>
      </w:tr>
      <w:tr w14:paraId="5EE0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953" w:type="dxa"/>
            <w:vMerge w:val="continue"/>
            <w:shd w:val="clear" w:color="auto" w:fill="FFFFFF"/>
            <w:vAlign w:val="center"/>
          </w:tcPr>
          <w:p w14:paraId="5409DC52">
            <w:pPr>
              <w:jc w:val="center"/>
              <w:rPr>
                <w:rFonts w:ascii="宋体" w:hAnsi="宋体" w:eastAsia="宋体" w:cs="宋体"/>
                <w:sz w:val="18"/>
                <w:szCs w:val="18"/>
              </w:rPr>
            </w:pPr>
          </w:p>
        </w:tc>
        <w:tc>
          <w:tcPr>
            <w:tcW w:w="1436" w:type="dxa"/>
            <w:vMerge w:val="continue"/>
            <w:shd w:val="clear" w:color="auto" w:fill="FFFFFF"/>
            <w:vAlign w:val="center"/>
          </w:tcPr>
          <w:p w14:paraId="04CA5E2F">
            <w:pPr>
              <w:rPr>
                <w:rFonts w:ascii="宋体" w:hAnsi="宋体" w:eastAsia="宋体" w:cs="宋体"/>
                <w:sz w:val="18"/>
                <w:szCs w:val="18"/>
              </w:rPr>
            </w:pPr>
          </w:p>
        </w:tc>
        <w:tc>
          <w:tcPr>
            <w:tcW w:w="959" w:type="dxa"/>
            <w:shd w:val="clear" w:color="auto" w:fill="FFFFFF"/>
            <w:vAlign w:val="center"/>
          </w:tcPr>
          <w:p w14:paraId="2E3CC13D">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制度执行有效性</w:t>
            </w:r>
          </w:p>
        </w:tc>
        <w:tc>
          <w:tcPr>
            <w:tcW w:w="2246" w:type="dxa"/>
            <w:shd w:val="clear" w:color="auto" w:fill="FFFFFF"/>
            <w:vAlign w:val="center"/>
          </w:tcPr>
          <w:p w14:paraId="036E60B4">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项目实施是否符合相关管理规定，用以反映和考核相关管理制度的有效执行情况。</w:t>
            </w:r>
          </w:p>
        </w:tc>
        <w:tc>
          <w:tcPr>
            <w:tcW w:w="751" w:type="dxa"/>
            <w:shd w:val="clear" w:color="auto" w:fill="FFFFFF"/>
            <w:vAlign w:val="center"/>
          </w:tcPr>
          <w:p w14:paraId="2BE80844">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w:t>
            </w:r>
          </w:p>
        </w:tc>
        <w:tc>
          <w:tcPr>
            <w:tcW w:w="6140" w:type="dxa"/>
            <w:shd w:val="clear" w:color="auto" w:fill="FFFFFF"/>
            <w:vAlign w:val="center"/>
          </w:tcPr>
          <w:p w14:paraId="48DDAA7A">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①遵守相关法律法规和相关管理规定（1分）否则，不得分；                 </w:t>
            </w:r>
          </w:p>
          <w:p w14:paraId="71374BB3">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②项目调整及支出调整手续完备（1分）否则，不得分；                     </w:t>
            </w:r>
          </w:p>
          <w:p w14:paraId="5F6EE686">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③项目合同书、验收报告、技术鉴定等资料齐全并及时归档（1分）否则，不得分；                                                 </w:t>
            </w:r>
          </w:p>
          <w:p w14:paraId="0A7C1A5F">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④项目实施的人员条件、场地设备、信息支撑等落实到位（1分）否则，不得分。</w:t>
            </w:r>
          </w:p>
        </w:tc>
        <w:tc>
          <w:tcPr>
            <w:tcW w:w="717" w:type="dxa"/>
            <w:noWrap/>
            <w:vAlign w:val="center"/>
          </w:tcPr>
          <w:p w14:paraId="40A088FB">
            <w:pPr>
              <w:widowControl/>
              <w:jc w:val="center"/>
              <w:textAlignment w:val="center"/>
              <w:rPr>
                <w:rFonts w:ascii="宋体" w:hAnsi="宋体" w:eastAsia="宋体" w:cs="宋体"/>
                <w:sz w:val="18"/>
                <w:szCs w:val="18"/>
              </w:rPr>
            </w:pPr>
            <w:r>
              <w:rPr>
                <w:rFonts w:hint="eastAsia" w:ascii="宋体" w:hAnsi="宋体" w:eastAsia="宋体" w:cs="宋体"/>
                <w:sz w:val="18"/>
                <w:szCs w:val="18"/>
              </w:rPr>
              <w:t>4</w:t>
            </w:r>
          </w:p>
        </w:tc>
        <w:tc>
          <w:tcPr>
            <w:tcW w:w="963" w:type="dxa"/>
            <w:vAlign w:val="center"/>
          </w:tcPr>
          <w:p w14:paraId="72C5D434">
            <w:pPr>
              <w:jc w:val="center"/>
              <w:rPr>
                <w:rFonts w:ascii="宋体" w:hAnsi="宋体" w:eastAsia="宋体" w:cs="宋体"/>
                <w:sz w:val="18"/>
                <w:szCs w:val="18"/>
              </w:rPr>
            </w:pPr>
          </w:p>
        </w:tc>
      </w:tr>
      <w:tr w14:paraId="7069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3" w:type="dxa"/>
            <w:vMerge w:val="restart"/>
            <w:shd w:val="clear" w:color="auto" w:fill="FFFFFF"/>
            <w:vAlign w:val="center"/>
          </w:tcPr>
          <w:p w14:paraId="46692382">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产出</w:t>
            </w:r>
          </w:p>
        </w:tc>
        <w:tc>
          <w:tcPr>
            <w:tcW w:w="1436" w:type="dxa"/>
            <w:shd w:val="clear" w:color="auto" w:fill="FFFFFF"/>
            <w:vAlign w:val="center"/>
          </w:tcPr>
          <w:p w14:paraId="6E6A2B6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产出数量</w:t>
            </w:r>
          </w:p>
        </w:tc>
        <w:tc>
          <w:tcPr>
            <w:tcW w:w="959" w:type="dxa"/>
            <w:shd w:val="clear" w:color="auto" w:fill="FFFFFF"/>
            <w:vAlign w:val="center"/>
          </w:tcPr>
          <w:p w14:paraId="76C38C90">
            <w:pPr>
              <w:widowControl/>
              <w:textAlignment w:val="center"/>
              <w:rPr>
                <w:rFonts w:ascii="宋体" w:hAnsi="宋体" w:eastAsia="宋体" w:cs="宋体"/>
                <w:sz w:val="18"/>
                <w:szCs w:val="18"/>
              </w:rPr>
            </w:pPr>
            <w:r>
              <w:rPr>
                <w:rFonts w:hint="eastAsia" w:eastAsia="宋体"/>
                <w:bCs/>
                <w:kern w:val="0"/>
                <w:sz w:val="18"/>
                <w:szCs w:val="18"/>
                <w:lang w:bidi="ar"/>
              </w:rPr>
              <w:t>实际完成率</w:t>
            </w:r>
          </w:p>
        </w:tc>
        <w:tc>
          <w:tcPr>
            <w:tcW w:w="2246" w:type="dxa"/>
            <w:shd w:val="clear" w:color="auto" w:fill="FFFFFF"/>
            <w:vAlign w:val="center"/>
          </w:tcPr>
          <w:p w14:paraId="742CD3A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项目实施的实际产出数与计划产出数的比率，用以反映和考核项目产出数量目标的实现程度</w:t>
            </w:r>
          </w:p>
        </w:tc>
        <w:tc>
          <w:tcPr>
            <w:tcW w:w="751" w:type="dxa"/>
            <w:shd w:val="clear" w:color="auto" w:fill="FFFFFF"/>
            <w:vAlign w:val="center"/>
          </w:tcPr>
          <w:p w14:paraId="2520BC1A">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shd w:val="clear" w:color="auto" w:fill="FFFFFF"/>
            <w:vAlign w:val="center"/>
          </w:tcPr>
          <w:p w14:paraId="7B482EFB">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①零星维修等物业服务工作完成该指标得满分（5分）否则不得分；</w:t>
            </w:r>
          </w:p>
          <w:p w14:paraId="58B266CE">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②办公 及宿舍物业管理面积完成该指标得满分（5分）否则不得分；</w:t>
            </w:r>
          </w:p>
          <w:p w14:paraId="3AE7C29B">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实际完成率=（实际产出数/计划产出数）×100% 。             </w:t>
            </w:r>
          </w:p>
          <w:p w14:paraId="4FCE28D4">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实际产出数：一定时期（本年度或项目期）内项目实际产出的产品或提供的服务数量。</w:t>
            </w:r>
          </w:p>
        </w:tc>
        <w:tc>
          <w:tcPr>
            <w:tcW w:w="717" w:type="dxa"/>
            <w:noWrap/>
            <w:vAlign w:val="center"/>
          </w:tcPr>
          <w:p w14:paraId="62D1597D">
            <w:pPr>
              <w:widowControl/>
              <w:jc w:val="center"/>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275C3E87">
            <w:pPr>
              <w:jc w:val="center"/>
              <w:rPr>
                <w:rFonts w:ascii="宋体" w:hAnsi="宋体" w:eastAsia="宋体" w:cs="宋体"/>
                <w:sz w:val="18"/>
                <w:szCs w:val="18"/>
              </w:rPr>
            </w:pPr>
          </w:p>
        </w:tc>
      </w:tr>
      <w:tr w14:paraId="577F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953" w:type="dxa"/>
            <w:vMerge w:val="continue"/>
            <w:shd w:val="clear" w:color="auto" w:fill="FFFFFF"/>
            <w:vAlign w:val="center"/>
          </w:tcPr>
          <w:p w14:paraId="73974C15">
            <w:pPr>
              <w:jc w:val="center"/>
              <w:rPr>
                <w:rFonts w:ascii="宋体" w:hAnsi="宋体" w:eastAsia="宋体" w:cs="宋体"/>
                <w:sz w:val="18"/>
                <w:szCs w:val="18"/>
              </w:rPr>
            </w:pPr>
          </w:p>
        </w:tc>
        <w:tc>
          <w:tcPr>
            <w:tcW w:w="1436" w:type="dxa"/>
            <w:shd w:val="clear" w:color="auto" w:fill="FFFFFF"/>
            <w:vAlign w:val="center"/>
          </w:tcPr>
          <w:p w14:paraId="016819D8">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产出质量</w:t>
            </w:r>
          </w:p>
        </w:tc>
        <w:tc>
          <w:tcPr>
            <w:tcW w:w="959" w:type="dxa"/>
            <w:shd w:val="clear" w:color="auto" w:fill="FFFFFF"/>
            <w:vAlign w:val="center"/>
          </w:tcPr>
          <w:p w14:paraId="673B726E">
            <w:pPr>
              <w:pStyle w:val="2"/>
              <w:rPr>
                <w:lang w:bidi="ar"/>
              </w:rPr>
            </w:pPr>
            <w:r>
              <w:rPr>
                <w:rFonts w:hint="eastAsia" w:ascii="Times New Roman" w:hAnsi="Times New Roman"/>
                <w:bCs/>
                <w:kern w:val="0"/>
                <w:sz w:val="18"/>
                <w:szCs w:val="18"/>
                <w:lang w:bidi="ar"/>
              </w:rPr>
              <w:t>质量达标率</w:t>
            </w:r>
          </w:p>
        </w:tc>
        <w:tc>
          <w:tcPr>
            <w:tcW w:w="2246" w:type="dxa"/>
            <w:shd w:val="clear" w:color="auto" w:fill="FFFFFF"/>
            <w:vAlign w:val="center"/>
          </w:tcPr>
          <w:p w14:paraId="641D4889">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项目完成的质量达标产出数与实际产出数的比率，用以反映和考核项目产出质量目标的实现程度。</w:t>
            </w:r>
          </w:p>
        </w:tc>
        <w:tc>
          <w:tcPr>
            <w:tcW w:w="751" w:type="dxa"/>
            <w:shd w:val="clear" w:color="auto" w:fill="FFFFFF"/>
            <w:vAlign w:val="center"/>
          </w:tcPr>
          <w:p w14:paraId="1992F6CF">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shd w:val="clear" w:color="auto" w:fill="FFFFFF"/>
            <w:vAlign w:val="center"/>
          </w:tcPr>
          <w:p w14:paraId="2B6CB1AF">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①物业管理服务达标率完成该指标得满分（5分）否则不得分；</w:t>
            </w:r>
          </w:p>
          <w:p w14:paraId="049CFAE2">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②零星维修等服务达标率完成该指标得满分（5分）否则不得分；</w:t>
            </w:r>
          </w:p>
          <w:p w14:paraId="0F9123EA">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质量达标率=（质量达标产出数/实际产出数）×100%。          </w:t>
            </w:r>
          </w:p>
          <w:p w14:paraId="44655F71">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质量达标产出数：一定时期（本年度或项目期）内实际达到既定质量标准的产品或服务数量。</w:t>
            </w:r>
          </w:p>
        </w:tc>
        <w:tc>
          <w:tcPr>
            <w:tcW w:w="717" w:type="dxa"/>
            <w:noWrap/>
            <w:vAlign w:val="center"/>
          </w:tcPr>
          <w:p w14:paraId="3A0E1CA0">
            <w:pPr>
              <w:widowControl/>
              <w:jc w:val="center"/>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600D3C5D">
            <w:pPr>
              <w:jc w:val="center"/>
              <w:rPr>
                <w:rFonts w:ascii="宋体" w:hAnsi="宋体" w:eastAsia="宋体" w:cs="宋体"/>
                <w:sz w:val="18"/>
                <w:szCs w:val="18"/>
              </w:rPr>
            </w:pPr>
          </w:p>
        </w:tc>
      </w:tr>
      <w:tr w14:paraId="32CE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953" w:type="dxa"/>
            <w:vMerge w:val="continue"/>
            <w:shd w:val="clear" w:color="auto" w:fill="FFFFFF"/>
            <w:vAlign w:val="center"/>
          </w:tcPr>
          <w:p w14:paraId="145D2719">
            <w:pPr>
              <w:jc w:val="center"/>
              <w:rPr>
                <w:rFonts w:ascii="宋体" w:hAnsi="宋体" w:eastAsia="宋体" w:cs="宋体"/>
                <w:sz w:val="18"/>
                <w:szCs w:val="18"/>
              </w:rPr>
            </w:pPr>
          </w:p>
        </w:tc>
        <w:tc>
          <w:tcPr>
            <w:tcW w:w="1436" w:type="dxa"/>
            <w:vAlign w:val="center"/>
          </w:tcPr>
          <w:p w14:paraId="5EBA520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产出时效</w:t>
            </w:r>
          </w:p>
        </w:tc>
        <w:tc>
          <w:tcPr>
            <w:tcW w:w="959" w:type="dxa"/>
            <w:vAlign w:val="center"/>
          </w:tcPr>
          <w:p w14:paraId="399E622E">
            <w:pPr>
              <w:widowControl/>
              <w:textAlignment w:val="center"/>
              <w:rPr>
                <w:rFonts w:ascii="宋体" w:hAnsi="宋体" w:eastAsia="宋体" w:cs="宋体"/>
                <w:sz w:val="18"/>
                <w:szCs w:val="18"/>
              </w:rPr>
            </w:pPr>
            <w:r>
              <w:rPr>
                <w:rFonts w:hint="eastAsia" w:eastAsia="宋体"/>
                <w:bCs/>
                <w:kern w:val="0"/>
                <w:sz w:val="18"/>
                <w:szCs w:val="18"/>
                <w:lang w:bidi="ar"/>
              </w:rPr>
              <w:t>完成及时性</w:t>
            </w:r>
          </w:p>
        </w:tc>
        <w:tc>
          <w:tcPr>
            <w:tcW w:w="2246" w:type="dxa"/>
            <w:vAlign w:val="center"/>
          </w:tcPr>
          <w:p w14:paraId="7915D252">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项目实际完成时间与计划完成时间的比较，用以反映和考核项目产出时效目标的实现程度。</w:t>
            </w:r>
          </w:p>
        </w:tc>
        <w:tc>
          <w:tcPr>
            <w:tcW w:w="751" w:type="dxa"/>
            <w:vAlign w:val="center"/>
          </w:tcPr>
          <w:p w14:paraId="58F3C7C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vAlign w:val="center"/>
          </w:tcPr>
          <w:p w14:paraId="351E70A3">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①后勤保障时间完成该指标得满分（5分）否则不得分；；</w:t>
            </w:r>
          </w:p>
          <w:p w14:paraId="6A49C4F3">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②物业服务及时率完成该指标得满分（5分）否则不得分；；</w:t>
            </w:r>
          </w:p>
          <w:p w14:paraId="10B54CF3">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实际完成时间：项目实施单位完成该项目实际所耗用的时间。                                                计划完成时间：按照项目实施计划或相关规定完成该项目所需的时间。</w:t>
            </w:r>
          </w:p>
        </w:tc>
        <w:tc>
          <w:tcPr>
            <w:tcW w:w="717" w:type="dxa"/>
            <w:noWrap/>
            <w:vAlign w:val="center"/>
          </w:tcPr>
          <w:p w14:paraId="14FE9BB9">
            <w:pPr>
              <w:widowControl/>
              <w:jc w:val="center"/>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6E5B3324">
            <w:pPr>
              <w:jc w:val="center"/>
              <w:rPr>
                <w:rFonts w:ascii="宋体" w:hAnsi="宋体" w:eastAsia="宋体" w:cs="宋体"/>
                <w:sz w:val="18"/>
                <w:szCs w:val="18"/>
              </w:rPr>
            </w:pPr>
          </w:p>
        </w:tc>
      </w:tr>
      <w:tr w14:paraId="2ACBD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53" w:type="dxa"/>
            <w:vMerge w:val="continue"/>
            <w:shd w:val="clear" w:color="auto" w:fill="FFFFFF"/>
            <w:vAlign w:val="center"/>
          </w:tcPr>
          <w:p w14:paraId="21835E78">
            <w:pPr>
              <w:jc w:val="center"/>
              <w:rPr>
                <w:rFonts w:ascii="宋体" w:hAnsi="宋体" w:eastAsia="宋体" w:cs="宋体"/>
                <w:sz w:val="18"/>
                <w:szCs w:val="18"/>
              </w:rPr>
            </w:pPr>
          </w:p>
        </w:tc>
        <w:tc>
          <w:tcPr>
            <w:tcW w:w="1436" w:type="dxa"/>
            <w:shd w:val="clear" w:color="auto" w:fill="FFFFFF"/>
            <w:vAlign w:val="center"/>
          </w:tcPr>
          <w:p w14:paraId="2E3B8491">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产出成本</w:t>
            </w:r>
          </w:p>
        </w:tc>
        <w:tc>
          <w:tcPr>
            <w:tcW w:w="959" w:type="dxa"/>
            <w:shd w:val="clear" w:color="auto" w:fill="FFFFFF"/>
            <w:vAlign w:val="center"/>
          </w:tcPr>
          <w:p w14:paraId="20038D58">
            <w:pPr>
              <w:widowControl/>
              <w:textAlignment w:val="center"/>
              <w:rPr>
                <w:rFonts w:ascii="宋体" w:hAnsi="宋体" w:eastAsia="宋体" w:cs="宋体"/>
                <w:sz w:val="18"/>
                <w:szCs w:val="18"/>
              </w:rPr>
            </w:pPr>
            <w:r>
              <w:rPr>
                <w:rFonts w:hint="eastAsia" w:eastAsia="宋体"/>
                <w:bCs/>
                <w:kern w:val="0"/>
                <w:sz w:val="18"/>
                <w:szCs w:val="18"/>
                <w:lang w:bidi="ar"/>
              </w:rPr>
              <w:t>成本节约率</w:t>
            </w:r>
          </w:p>
        </w:tc>
        <w:tc>
          <w:tcPr>
            <w:tcW w:w="2246" w:type="dxa"/>
            <w:shd w:val="clear" w:color="auto" w:fill="FFFFFF"/>
            <w:vAlign w:val="center"/>
          </w:tcPr>
          <w:p w14:paraId="2247134C">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完成项目计划工作目标的实际节约成本与计划成本的比率，用以反映和考核项目的成本节约程度。</w:t>
            </w:r>
          </w:p>
        </w:tc>
        <w:tc>
          <w:tcPr>
            <w:tcW w:w="751" w:type="dxa"/>
            <w:shd w:val="clear" w:color="auto" w:fill="FFFFFF"/>
            <w:vAlign w:val="center"/>
          </w:tcPr>
          <w:p w14:paraId="6D90B905">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shd w:val="clear" w:color="auto" w:fill="FFFFFF"/>
            <w:vAlign w:val="center"/>
          </w:tcPr>
          <w:p w14:paraId="4B9C6041">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①零星维修等服务支出完成该指标得满分（4分）否则不得分；</w:t>
            </w:r>
          </w:p>
          <w:p w14:paraId="7128FC18">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②物业管理费补助费用完成该指标得满分（4分）否则不得分；</w:t>
            </w:r>
          </w:p>
          <w:p w14:paraId="7A5C0C53">
            <w:pPr>
              <w:pStyle w:val="2"/>
              <w:rPr>
                <w:lang w:bidi="ar"/>
              </w:rPr>
            </w:pPr>
            <w:r>
              <w:rPr>
                <w:rFonts w:hint="eastAsia" w:ascii="宋体" w:hAnsi="宋体" w:cs="宋体"/>
                <w:kern w:val="0"/>
                <w:sz w:val="18"/>
                <w:szCs w:val="18"/>
                <w:lang w:bidi="ar"/>
              </w:rPr>
              <w:t>③其他商品服务支出完成该指标得满分（2分）否则不得分；</w:t>
            </w:r>
          </w:p>
        </w:tc>
        <w:tc>
          <w:tcPr>
            <w:tcW w:w="717" w:type="dxa"/>
            <w:noWrap/>
            <w:vAlign w:val="center"/>
          </w:tcPr>
          <w:p w14:paraId="0B153D6E">
            <w:pPr>
              <w:widowControl/>
              <w:jc w:val="center"/>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356874B2">
            <w:pPr>
              <w:jc w:val="center"/>
              <w:rPr>
                <w:rFonts w:ascii="宋体" w:hAnsi="宋体" w:eastAsia="宋体" w:cs="宋体"/>
                <w:sz w:val="18"/>
                <w:szCs w:val="18"/>
              </w:rPr>
            </w:pPr>
          </w:p>
        </w:tc>
      </w:tr>
      <w:tr w14:paraId="0E0D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953" w:type="dxa"/>
            <w:vMerge w:val="restart"/>
            <w:shd w:val="clear" w:color="auto" w:fill="FFFFFF"/>
            <w:vAlign w:val="center"/>
          </w:tcPr>
          <w:p w14:paraId="43C8C64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效益　</w:t>
            </w:r>
          </w:p>
        </w:tc>
        <w:tc>
          <w:tcPr>
            <w:tcW w:w="1436" w:type="dxa"/>
            <w:vMerge w:val="restart"/>
            <w:shd w:val="clear" w:color="auto" w:fill="FFFFFF"/>
            <w:vAlign w:val="center"/>
          </w:tcPr>
          <w:p w14:paraId="22C64F35">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项目效益</w:t>
            </w:r>
          </w:p>
        </w:tc>
        <w:tc>
          <w:tcPr>
            <w:tcW w:w="959" w:type="dxa"/>
            <w:shd w:val="clear" w:color="auto" w:fill="FFFFFF"/>
            <w:vAlign w:val="center"/>
          </w:tcPr>
          <w:p w14:paraId="60D7B56F">
            <w:pPr>
              <w:widowControl/>
              <w:textAlignment w:val="center"/>
              <w:rPr>
                <w:rFonts w:ascii="宋体" w:hAnsi="宋体" w:eastAsia="宋体" w:cs="宋体"/>
                <w:sz w:val="18"/>
                <w:szCs w:val="18"/>
              </w:rPr>
            </w:pPr>
            <w:r>
              <w:rPr>
                <w:rFonts w:hint="eastAsia" w:eastAsia="宋体"/>
                <w:bCs/>
                <w:kern w:val="0"/>
                <w:sz w:val="18"/>
                <w:szCs w:val="18"/>
                <w:lang w:bidi="ar"/>
              </w:rPr>
              <w:t>实施效益</w:t>
            </w:r>
          </w:p>
        </w:tc>
        <w:tc>
          <w:tcPr>
            <w:tcW w:w="2246" w:type="dxa"/>
            <w:shd w:val="clear" w:color="auto" w:fill="FFFFFF"/>
            <w:vAlign w:val="center"/>
          </w:tcPr>
          <w:p w14:paraId="7CB4C848">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项目实施所产生的效益</w:t>
            </w:r>
          </w:p>
        </w:tc>
        <w:tc>
          <w:tcPr>
            <w:tcW w:w="751" w:type="dxa"/>
            <w:shd w:val="clear" w:color="auto" w:fill="FFFFFF"/>
            <w:vAlign w:val="center"/>
          </w:tcPr>
          <w:p w14:paraId="34A497E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shd w:val="clear" w:color="auto" w:fill="FFFFFF"/>
            <w:vAlign w:val="center"/>
          </w:tcPr>
          <w:p w14:paraId="686B44B6">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①经济效益：无</w:t>
            </w:r>
          </w:p>
          <w:p w14:paraId="101E612A">
            <w:pPr>
              <w:widowControl/>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②社会效益：保障发改委后勤工作得满分（5分），否则不得分；</w:t>
            </w:r>
          </w:p>
          <w:p w14:paraId="2D0350B9">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   改善办公及公共住宅的环境工作得满分（5分），否则不得分；                            </w:t>
            </w:r>
          </w:p>
          <w:p w14:paraId="6DD5A1B5">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 xml:space="preserve">③生态效益：无                                                      </w:t>
            </w:r>
          </w:p>
          <w:p w14:paraId="33B7E690">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④可持续影响：无</w:t>
            </w:r>
          </w:p>
        </w:tc>
        <w:tc>
          <w:tcPr>
            <w:tcW w:w="717" w:type="dxa"/>
            <w:noWrap/>
            <w:vAlign w:val="center"/>
          </w:tcPr>
          <w:p w14:paraId="653BBF7D">
            <w:pPr>
              <w:widowControl/>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32C979AB">
            <w:pPr>
              <w:jc w:val="center"/>
              <w:rPr>
                <w:rFonts w:ascii="宋体" w:hAnsi="宋体" w:eastAsia="宋体" w:cs="宋体"/>
                <w:sz w:val="18"/>
                <w:szCs w:val="18"/>
              </w:rPr>
            </w:pPr>
          </w:p>
        </w:tc>
      </w:tr>
      <w:tr w14:paraId="537FB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953" w:type="dxa"/>
            <w:vMerge w:val="continue"/>
            <w:shd w:val="clear" w:color="auto" w:fill="FFFFFF"/>
            <w:vAlign w:val="center"/>
          </w:tcPr>
          <w:p w14:paraId="0645CE7E">
            <w:pPr>
              <w:jc w:val="center"/>
              <w:rPr>
                <w:rFonts w:ascii="宋体" w:hAnsi="宋体" w:eastAsia="宋体" w:cs="宋体"/>
                <w:sz w:val="18"/>
                <w:szCs w:val="18"/>
              </w:rPr>
            </w:pPr>
          </w:p>
        </w:tc>
        <w:tc>
          <w:tcPr>
            <w:tcW w:w="1436" w:type="dxa"/>
            <w:vMerge w:val="continue"/>
            <w:shd w:val="clear" w:color="auto" w:fill="FFFFFF"/>
            <w:vAlign w:val="center"/>
          </w:tcPr>
          <w:p w14:paraId="2FA8A726">
            <w:pPr>
              <w:rPr>
                <w:rFonts w:ascii="宋体" w:hAnsi="宋体" w:eastAsia="宋体" w:cs="宋体"/>
                <w:sz w:val="18"/>
                <w:szCs w:val="18"/>
              </w:rPr>
            </w:pPr>
          </w:p>
        </w:tc>
        <w:tc>
          <w:tcPr>
            <w:tcW w:w="959" w:type="dxa"/>
            <w:shd w:val="clear" w:color="auto" w:fill="FFFFFF"/>
            <w:vAlign w:val="center"/>
          </w:tcPr>
          <w:p w14:paraId="25158999">
            <w:pPr>
              <w:widowControl/>
              <w:textAlignment w:val="center"/>
              <w:rPr>
                <w:rFonts w:ascii="宋体" w:hAnsi="宋体" w:eastAsia="宋体" w:cs="宋体"/>
                <w:sz w:val="18"/>
                <w:szCs w:val="18"/>
              </w:rPr>
            </w:pPr>
            <w:r>
              <w:rPr>
                <w:rFonts w:hint="eastAsia" w:eastAsia="宋体"/>
                <w:bCs/>
                <w:kern w:val="0"/>
                <w:sz w:val="18"/>
                <w:szCs w:val="18"/>
                <w:lang w:bidi="ar"/>
              </w:rPr>
              <w:t>满意度</w:t>
            </w:r>
          </w:p>
        </w:tc>
        <w:tc>
          <w:tcPr>
            <w:tcW w:w="2246" w:type="dxa"/>
            <w:shd w:val="clear" w:color="auto" w:fill="FFFFFF"/>
            <w:vAlign w:val="center"/>
          </w:tcPr>
          <w:p w14:paraId="1E6977A0">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社会公众或服务对象对项目实施效果的满意程度。</w:t>
            </w:r>
          </w:p>
        </w:tc>
        <w:tc>
          <w:tcPr>
            <w:tcW w:w="751" w:type="dxa"/>
            <w:shd w:val="clear" w:color="auto" w:fill="FFFFFF"/>
            <w:vAlign w:val="center"/>
          </w:tcPr>
          <w:p w14:paraId="0647B322">
            <w:pPr>
              <w:widowControl/>
              <w:textAlignment w:val="center"/>
              <w:rPr>
                <w:rFonts w:ascii="宋体" w:hAnsi="宋体" w:eastAsia="宋体" w:cs="宋体"/>
                <w:kern w:val="0"/>
                <w:sz w:val="18"/>
                <w:szCs w:val="18"/>
                <w:lang w:bidi="ar"/>
              </w:rPr>
            </w:pPr>
          </w:p>
          <w:p w14:paraId="2D0006BA">
            <w:pPr>
              <w:widowControl/>
              <w:textAlignment w:val="center"/>
              <w:rPr>
                <w:rFonts w:ascii="宋体" w:hAnsi="宋体" w:eastAsia="宋体" w:cs="宋体"/>
                <w:kern w:val="0"/>
                <w:sz w:val="18"/>
                <w:szCs w:val="18"/>
                <w:lang w:bidi="ar"/>
              </w:rPr>
            </w:pPr>
          </w:p>
          <w:p w14:paraId="7F543838">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10</w:t>
            </w:r>
          </w:p>
        </w:tc>
        <w:tc>
          <w:tcPr>
            <w:tcW w:w="6140" w:type="dxa"/>
            <w:shd w:val="clear" w:color="auto" w:fill="FFFFFF"/>
            <w:vAlign w:val="center"/>
          </w:tcPr>
          <w:p w14:paraId="4E0C699F">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根据问卷调查，受益群众满意度达到满意的人数：                                      ①人数大于等于95%，得10分；</w:t>
            </w:r>
          </w:p>
          <w:p w14:paraId="71D3A222">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②人数小于95%大于等于85%，得8分；</w:t>
            </w:r>
          </w:p>
          <w:p w14:paraId="43D56BB1">
            <w:pPr>
              <w:widowControl/>
              <w:textAlignment w:val="center"/>
              <w:rPr>
                <w:rFonts w:hint="eastAsia" w:ascii="宋体" w:hAnsi="宋体" w:eastAsia="宋体" w:cs="宋体"/>
                <w:kern w:val="0"/>
                <w:sz w:val="18"/>
                <w:szCs w:val="18"/>
                <w:lang w:eastAsia="zh-CN" w:bidi="ar"/>
              </w:rPr>
            </w:pPr>
            <w:r>
              <w:rPr>
                <w:rFonts w:hint="eastAsia" w:ascii="宋体" w:hAnsi="宋体" w:eastAsia="宋体" w:cs="宋体"/>
                <w:kern w:val="0"/>
                <w:sz w:val="18"/>
                <w:szCs w:val="18"/>
                <w:lang w:bidi="ar"/>
              </w:rPr>
              <w:t>③人数小于85%大于等于70%，得5分；</w:t>
            </w:r>
          </w:p>
          <w:p w14:paraId="3460A619">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④人数小于等于70%，不得分。</w:t>
            </w:r>
          </w:p>
        </w:tc>
        <w:tc>
          <w:tcPr>
            <w:tcW w:w="717" w:type="dxa"/>
            <w:noWrap/>
            <w:vAlign w:val="center"/>
          </w:tcPr>
          <w:p w14:paraId="6E5C3F1F">
            <w:pPr>
              <w:widowControl/>
              <w:textAlignment w:val="center"/>
              <w:rPr>
                <w:rFonts w:ascii="宋体" w:hAnsi="宋体" w:eastAsia="宋体" w:cs="宋体"/>
                <w:sz w:val="18"/>
                <w:szCs w:val="18"/>
              </w:rPr>
            </w:pPr>
            <w:r>
              <w:rPr>
                <w:rFonts w:hint="eastAsia" w:ascii="宋体" w:hAnsi="宋体" w:eastAsia="宋体" w:cs="宋体"/>
                <w:sz w:val="18"/>
                <w:szCs w:val="18"/>
              </w:rPr>
              <w:t>10</w:t>
            </w:r>
          </w:p>
        </w:tc>
        <w:tc>
          <w:tcPr>
            <w:tcW w:w="963" w:type="dxa"/>
            <w:vAlign w:val="center"/>
          </w:tcPr>
          <w:p w14:paraId="2E397DEF">
            <w:pPr>
              <w:jc w:val="center"/>
              <w:rPr>
                <w:rFonts w:ascii="宋体" w:hAnsi="宋体" w:eastAsia="宋体" w:cs="宋体"/>
                <w:sz w:val="18"/>
                <w:szCs w:val="18"/>
              </w:rPr>
            </w:pPr>
          </w:p>
        </w:tc>
      </w:tr>
      <w:tr w14:paraId="0406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348" w:type="dxa"/>
            <w:gridSpan w:val="3"/>
            <w:noWrap/>
            <w:vAlign w:val="center"/>
          </w:tcPr>
          <w:p w14:paraId="2EC2B0B5">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合计</w:t>
            </w:r>
          </w:p>
        </w:tc>
        <w:tc>
          <w:tcPr>
            <w:tcW w:w="2246" w:type="dxa"/>
            <w:noWrap/>
            <w:vAlign w:val="center"/>
          </w:tcPr>
          <w:p w14:paraId="6EE8556D">
            <w:pPr>
              <w:jc w:val="left"/>
              <w:rPr>
                <w:rFonts w:ascii="宋体" w:hAnsi="宋体" w:eastAsia="宋体" w:cs="宋体"/>
                <w:sz w:val="18"/>
                <w:szCs w:val="18"/>
              </w:rPr>
            </w:pPr>
          </w:p>
        </w:tc>
        <w:tc>
          <w:tcPr>
            <w:tcW w:w="751" w:type="dxa"/>
            <w:noWrap/>
            <w:vAlign w:val="center"/>
          </w:tcPr>
          <w:p w14:paraId="044BB693">
            <w:pPr>
              <w:widowControl/>
              <w:textAlignment w:val="center"/>
              <w:rPr>
                <w:rFonts w:ascii="宋体" w:hAnsi="宋体" w:eastAsia="宋体" w:cs="宋体"/>
                <w:sz w:val="18"/>
                <w:szCs w:val="18"/>
              </w:rPr>
            </w:pPr>
            <w:r>
              <w:rPr>
                <w:rFonts w:hint="eastAsia" w:ascii="宋体" w:hAnsi="宋体" w:eastAsia="宋体" w:cs="宋体"/>
                <w:kern w:val="0"/>
                <w:sz w:val="18"/>
                <w:szCs w:val="18"/>
                <w:lang w:bidi="ar"/>
              </w:rPr>
              <w:t>100</w:t>
            </w:r>
          </w:p>
        </w:tc>
        <w:tc>
          <w:tcPr>
            <w:tcW w:w="6140" w:type="dxa"/>
            <w:vAlign w:val="center"/>
          </w:tcPr>
          <w:p w14:paraId="09003865">
            <w:pPr>
              <w:jc w:val="left"/>
              <w:rPr>
                <w:rFonts w:ascii="宋体" w:hAnsi="宋体" w:eastAsia="宋体" w:cs="宋体"/>
                <w:sz w:val="18"/>
                <w:szCs w:val="18"/>
              </w:rPr>
            </w:pPr>
          </w:p>
        </w:tc>
        <w:tc>
          <w:tcPr>
            <w:tcW w:w="717" w:type="dxa"/>
            <w:noWrap/>
            <w:vAlign w:val="center"/>
          </w:tcPr>
          <w:p w14:paraId="5379A4D7">
            <w:pPr>
              <w:widowControl/>
              <w:textAlignment w:val="center"/>
              <w:rPr>
                <w:rFonts w:ascii="宋体" w:hAnsi="宋体" w:eastAsia="宋体" w:cs="宋体"/>
                <w:sz w:val="18"/>
                <w:szCs w:val="18"/>
              </w:rPr>
            </w:pPr>
            <w:r>
              <w:rPr>
                <w:rFonts w:hint="eastAsia" w:ascii="宋体" w:hAnsi="宋体" w:eastAsia="宋体" w:cs="宋体"/>
                <w:sz w:val="18"/>
                <w:szCs w:val="18"/>
              </w:rPr>
              <w:t>100</w:t>
            </w:r>
          </w:p>
        </w:tc>
        <w:tc>
          <w:tcPr>
            <w:tcW w:w="963" w:type="dxa"/>
            <w:vAlign w:val="center"/>
          </w:tcPr>
          <w:p w14:paraId="56E42025">
            <w:pPr>
              <w:jc w:val="center"/>
              <w:rPr>
                <w:rFonts w:ascii="宋体" w:hAnsi="宋体" w:eastAsia="宋体" w:cs="宋体"/>
                <w:sz w:val="18"/>
                <w:szCs w:val="18"/>
              </w:rPr>
            </w:pPr>
          </w:p>
        </w:tc>
      </w:tr>
    </w:tbl>
    <w:p w14:paraId="4F974739">
      <w:pPr>
        <w:spacing w:line="600" w:lineRule="exact"/>
        <w:rPr>
          <w:rFonts w:ascii="黑体" w:hAnsi="黑体" w:eastAsia="黑体"/>
        </w:rPr>
      </w:pPr>
    </w:p>
    <w:sectPr>
      <w:pgSz w:w="16838" w:h="11906" w:orient="landscape"/>
      <w:pgMar w:top="1531" w:right="1103" w:bottom="1531" w:left="1701" w:header="737" w:footer="851" w:gutter="0"/>
      <w:cols w:space="720" w:num="1"/>
      <w:docGrid w:type="linesAndChar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287337-FDBD-47F8-BA78-9FA3A99EA4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90D42DE-0705-4BBB-B941-A3B0EE16D169}"/>
  </w:font>
  <w:font w:name="FangSong_GB2312">
    <w:altName w:val="仿宋_GB2312"/>
    <w:panose1 w:val="02010609060101010101"/>
    <w:charset w:val="86"/>
    <w:family w:val="modern"/>
    <w:pitch w:val="default"/>
    <w:sig w:usb0="00000000" w:usb1="00000000" w:usb2="00000010" w:usb3="00000000" w:csb0="00040000" w:csb1="00000000"/>
    <w:embedRegular r:id="rId3" w:fontKey="{72B3EC25-845F-41F7-900D-9314FFD2D5D2}"/>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4" w:fontKey="{DE0EA4F5-8EA0-41C1-925B-B084AE09EA1A}"/>
  </w:font>
  <w:font w:name="方正小标宋_GBK">
    <w:panose1 w:val="02000000000000000000"/>
    <w:charset w:val="86"/>
    <w:family w:val="script"/>
    <w:pitch w:val="default"/>
    <w:sig w:usb0="A00002BF" w:usb1="38CF7CFA" w:usb2="00082016" w:usb3="00000000" w:csb0="00040001" w:csb1="00000000"/>
    <w:embedRegular r:id="rId5" w:fontKey="{36E66566-AC9E-4E96-A8D4-959D495C8F78}"/>
  </w:font>
  <w:font w:name="仿宋_GB2312">
    <w:panose1 w:val="02010609030101010101"/>
    <w:charset w:val="86"/>
    <w:family w:val="auto"/>
    <w:pitch w:val="default"/>
    <w:sig w:usb0="00000001" w:usb1="080E0000" w:usb2="00000000" w:usb3="00000000" w:csb0="00040000" w:csb1="00000000"/>
    <w:embedRegular r:id="rId6" w:fontKey="{77A58A57-3CF3-47DC-AA90-8110732EE3BE}"/>
  </w:font>
  <w:font w:name="KaiTi_GB2312">
    <w:altName w:val="楷体_GB2312"/>
    <w:panose1 w:val="02010609060101010101"/>
    <w:charset w:val="86"/>
    <w:family w:val="modern"/>
    <w:pitch w:val="default"/>
    <w:sig w:usb0="00000000" w:usb1="00000000" w:usb2="00000010" w:usb3="00000000" w:csb0="00040000" w:csb1="00000000"/>
    <w:embedRegular r:id="rId7" w:fontKey="{751D49C7-A799-4DC2-AC5D-9CEE0F124876}"/>
  </w:font>
  <w:font w:name="仿宋">
    <w:panose1 w:val="02010609060101010101"/>
    <w:charset w:val="86"/>
    <w:family w:val="modern"/>
    <w:pitch w:val="default"/>
    <w:sig w:usb0="800002BF" w:usb1="38CF7CFA" w:usb2="00000016" w:usb3="00000000" w:csb0="00040001" w:csb1="00000000"/>
    <w:embedRegular r:id="rId8" w:fontKey="{2DC4D98F-0B49-4492-84C9-83A59DDE2FED}"/>
  </w:font>
  <w:font w:name="华文仿宋">
    <w:panose1 w:val="02010600040101010101"/>
    <w:charset w:val="86"/>
    <w:family w:val="auto"/>
    <w:pitch w:val="default"/>
    <w:sig w:usb0="00000287" w:usb1="080F0000" w:usb2="00000000" w:usb3="00000000" w:csb0="0004009F" w:csb1="DFD70000"/>
    <w:embedRegular r:id="rId9" w:fontKey="{18E6CA97-0B4A-447C-88DC-E28411D1BBF9}"/>
  </w:font>
  <w:font w:name="MS Mincho">
    <w:altName w:val="Yu Gothic UI"/>
    <w:panose1 w:val="02020609040205080304"/>
    <w:charset w:val="80"/>
    <w:family w:val="modern"/>
    <w:pitch w:val="default"/>
    <w:sig w:usb0="00000000" w:usb1="00000000" w:usb2="00000012" w:usb3="00000000" w:csb0="0002009F" w:csb1="00000000"/>
    <w:embedRegular r:id="rId10" w:fontKey="{A0718016-00DC-41A1-9E03-FD8DD0A8A9FF}"/>
  </w:font>
  <w:font w:name="楷体_GB2312">
    <w:panose1 w:val="02010609030101010101"/>
    <w:charset w:val="86"/>
    <w:family w:val="auto"/>
    <w:pitch w:val="default"/>
    <w:sig w:usb0="00000001" w:usb1="080E0000" w:usb2="0000000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48115"/>
    <w:multiLevelType w:val="singleLevel"/>
    <w:tmpl w:val="A1C48115"/>
    <w:lvl w:ilvl="0" w:tentative="0">
      <w:start w:val="4"/>
      <w:numFmt w:val="decimal"/>
      <w:suff w:val="nothing"/>
      <w:lvlText w:val="（%1）"/>
      <w:lvlJc w:val="left"/>
      <w:rPr>
        <w:b w:val="0"/>
      </w:rPr>
    </w:lvl>
  </w:abstractNum>
  <w:abstractNum w:abstractNumId="1">
    <w:nsid w:val="A8262736"/>
    <w:multiLevelType w:val="singleLevel"/>
    <w:tmpl w:val="A8262736"/>
    <w:lvl w:ilvl="0" w:tentative="0">
      <w:start w:val="1"/>
      <w:numFmt w:val="decimal"/>
      <w:suff w:val="nothing"/>
      <w:lvlText w:val="（%1）"/>
      <w:lvlJc w:val="left"/>
    </w:lvl>
  </w:abstractNum>
  <w:abstractNum w:abstractNumId="2">
    <w:nsid w:val="BB81A9C7"/>
    <w:multiLevelType w:val="singleLevel"/>
    <w:tmpl w:val="BB81A9C7"/>
    <w:lvl w:ilvl="0" w:tentative="0">
      <w:start w:val="1"/>
      <w:numFmt w:val="decimal"/>
      <w:suff w:val="nothing"/>
      <w:lvlText w:val="（%1）"/>
      <w:lvlJc w:val="left"/>
      <w:rPr>
        <w:b w:val="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ZTI3ODM4ZmVjOGE5NDFiYmE3OTRiMjQ5OTEyNzIifQ=="/>
  </w:docVars>
  <w:rsids>
    <w:rsidRoot w:val="00E951C7"/>
    <w:rsid w:val="00007E2C"/>
    <w:rsid w:val="00035B0D"/>
    <w:rsid w:val="000F61B0"/>
    <w:rsid w:val="00171498"/>
    <w:rsid w:val="00234550"/>
    <w:rsid w:val="004E554A"/>
    <w:rsid w:val="005F2C2F"/>
    <w:rsid w:val="00601980"/>
    <w:rsid w:val="006945F2"/>
    <w:rsid w:val="007219AB"/>
    <w:rsid w:val="00806668"/>
    <w:rsid w:val="00842FC7"/>
    <w:rsid w:val="008611CD"/>
    <w:rsid w:val="008A48C3"/>
    <w:rsid w:val="009F75AC"/>
    <w:rsid w:val="00A21480"/>
    <w:rsid w:val="00B242D3"/>
    <w:rsid w:val="00B36361"/>
    <w:rsid w:val="00CE026C"/>
    <w:rsid w:val="00CE6932"/>
    <w:rsid w:val="00D62C2D"/>
    <w:rsid w:val="00D96F3C"/>
    <w:rsid w:val="00E951C7"/>
    <w:rsid w:val="00FA6EBF"/>
    <w:rsid w:val="00FC1405"/>
    <w:rsid w:val="027F55E3"/>
    <w:rsid w:val="06FD4082"/>
    <w:rsid w:val="1F0B55D3"/>
    <w:rsid w:val="2AD17B51"/>
    <w:rsid w:val="45EC0627"/>
    <w:rsid w:val="5D7E7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0"/>
      <w:szCs w:val="24"/>
      <w:lang w:val="en-US" w:eastAsia="zh-CN" w:bidi="ar-SA"/>
    </w:rPr>
  </w:style>
  <w:style w:type="paragraph" w:styleId="3">
    <w:name w:val="heading 2"/>
    <w:basedOn w:val="1"/>
    <w:next w:val="1"/>
    <w:link w:val="23"/>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qFormat/>
    <w:uiPriority w:val="9"/>
    <w:pPr>
      <w:keepNext/>
      <w:keepLines/>
      <w:spacing w:before="260" w:after="260" w:line="416" w:lineRule="auto"/>
      <w:ind w:firstLine="600" w:firstLineChars="200"/>
      <w:jc w:val="left"/>
      <w:outlineLvl w:val="2"/>
    </w:pPr>
    <w:rPr>
      <w:rFonts w:ascii="Calibri" w:hAnsi="Calibri"/>
      <w:bCs/>
      <w:kern w:val="0"/>
      <w:sz w:val="28"/>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_Style 1"/>
    <w:autoRedefine/>
    <w:qFormat/>
    <w:uiPriority w:val="0"/>
    <w:pPr>
      <w:widowControl w:val="0"/>
      <w:jc w:val="both"/>
    </w:pPr>
    <w:rPr>
      <w:rFonts w:ascii="Calibri" w:hAnsi="Calibri" w:eastAsia="宋体" w:cs="Times New Roman"/>
      <w:kern w:val="2"/>
      <w:sz w:val="21"/>
      <w:szCs w:val="22"/>
      <w:lang w:val="en-US" w:eastAsia="zh-CN" w:bidi="ar-SA"/>
    </w:rPr>
  </w:style>
  <w:style w:type="paragraph" w:styleId="5">
    <w:name w:val="annotation text"/>
    <w:basedOn w:val="1"/>
    <w:qFormat/>
    <w:uiPriority w:val="0"/>
    <w:pPr>
      <w:jc w:val="left"/>
    </w:pPr>
  </w:style>
  <w:style w:type="paragraph" w:styleId="6">
    <w:name w:val="Body Text"/>
    <w:basedOn w:val="1"/>
    <w:link w:val="25"/>
    <w:qFormat/>
    <w:uiPriority w:val="0"/>
    <w:pPr>
      <w:spacing w:before="240" w:after="240" w:line="360" w:lineRule="auto"/>
      <w:ind w:firstLine="600" w:firstLineChars="200"/>
      <w:jc w:val="center"/>
    </w:pPr>
    <w:rPr>
      <w:rFonts w:cs="黑体"/>
      <w:b/>
      <w:sz w:val="44"/>
      <w:szCs w:val="22"/>
    </w:rPr>
  </w:style>
  <w:style w:type="paragraph" w:styleId="7">
    <w:name w:val="Balloon Text"/>
    <w:basedOn w:val="1"/>
    <w:link w:val="28"/>
    <w:qFormat/>
    <w:uiPriority w:val="0"/>
    <w:rPr>
      <w:sz w:val="18"/>
      <w:szCs w:val="18"/>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spacing w:before="100" w:beforeAutospacing="1" w:after="100" w:afterAutospacing="1"/>
      <w:jc w:val="left"/>
    </w:pPr>
    <w:rPr>
      <w:rFonts w:ascii="Calibri" w:hAnsi="Calibri" w:eastAsia="宋体"/>
      <w:kern w:val="0"/>
      <w:sz w:val="24"/>
    </w:rPr>
  </w:style>
  <w:style w:type="character" w:styleId="13">
    <w:name w:val="annotation reference"/>
    <w:basedOn w:val="12"/>
    <w:qFormat/>
    <w:uiPriority w:val="0"/>
    <w:rPr>
      <w:sz w:val="21"/>
      <w:szCs w:val="21"/>
    </w:rPr>
  </w:style>
  <w:style w:type="character" w:customStyle="1" w:styleId="14">
    <w:name w:val="页眉 Char"/>
    <w:basedOn w:val="12"/>
    <w:link w:val="9"/>
    <w:qFormat/>
    <w:uiPriority w:val="0"/>
    <w:rPr>
      <w:rFonts w:ascii="Times New Roman" w:hAnsi="Times New Roman" w:eastAsia="FangSong_GB2312" w:cs="Times New Roman"/>
      <w:kern w:val="2"/>
      <w:sz w:val="18"/>
      <w:szCs w:val="18"/>
    </w:rPr>
  </w:style>
  <w:style w:type="character" w:customStyle="1" w:styleId="15">
    <w:name w:val="页脚 Char"/>
    <w:basedOn w:val="12"/>
    <w:link w:val="8"/>
    <w:autoRedefine/>
    <w:qFormat/>
    <w:uiPriority w:val="0"/>
    <w:rPr>
      <w:rFonts w:ascii="Times New Roman" w:hAnsi="Times New Roman" w:eastAsia="FangSong_GB2312" w:cs="Times New Roman"/>
      <w:kern w:val="2"/>
      <w:sz w:val="18"/>
      <w:szCs w:val="18"/>
    </w:rPr>
  </w:style>
  <w:style w:type="character" w:customStyle="1" w:styleId="16">
    <w:name w:val="闻政-正文段落文字 Char"/>
    <w:link w:val="17"/>
    <w:autoRedefine/>
    <w:qFormat/>
    <w:uiPriority w:val="3"/>
    <w:rPr>
      <w:rFonts w:ascii="Times New Roman" w:hAnsi="Times New Roman" w:eastAsia="FangSong_GB2312"/>
      <w:sz w:val="28"/>
      <w:szCs w:val="28"/>
    </w:rPr>
  </w:style>
  <w:style w:type="paragraph" w:customStyle="1" w:styleId="17">
    <w:name w:val="闻政-正文段落文字"/>
    <w:basedOn w:val="1"/>
    <w:link w:val="16"/>
    <w:qFormat/>
    <w:uiPriority w:val="3"/>
    <w:pPr>
      <w:spacing w:line="500" w:lineRule="exact"/>
      <w:ind w:firstLine="200" w:firstLineChars="200"/>
    </w:pPr>
    <w:rPr>
      <w:rFonts w:cstheme="minorBidi"/>
      <w:kern w:val="0"/>
      <w:sz w:val="28"/>
      <w:szCs w:val="28"/>
    </w:rPr>
  </w:style>
  <w:style w:type="character" w:customStyle="1" w:styleId="18">
    <w:name w:val="标题 3 Char"/>
    <w:basedOn w:val="12"/>
    <w:link w:val="4"/>
    <w:qFormat/>
    <w:uiPriority w:val="9"/>
    <w:rPr>
      <w:rFonts w:ascii="Calibri" w:hAnsi="Calibri" w:eastAsia="FangSong_GB2312" w:cs="Times New Roman"/>
      <w:bCs/>
      <w:sz w:val="28"/>
      <w:szCs w:val="32"/>
    </w:rPr>
  </w:style>
  <w:style w:type="paragraph" w:styleId="19">
    <w:name w:val="List Paragraph"/>
    <w:basedOn w:val="1"/>
    <w:autoRedefine/>
    <w:qFormat/>
    <w:uiPriority w:val="34"/>
    <w:pPr>
      <w:ind w:firstLine="420" w:firstLineChars="200"/>
    </w:pPr>
    <w:rPr>
      <w:rFonts w:cs="黑体"/>
      <w:sz w:val="28"/>
      <w:szCs w:val="22"/>
    </w:rPr>
  </w:style>
  <w:style w:type="character" w:customStyle="1" w:styleId="20">
    <w:name w:val="闻政-正文二级标题 Char"/>
    <w:link w:val="21"/>
    <w:qFormat/>
    <w:uiPriority w:val="3"/>
    <w:rPr>
      <w:rFonts w:ascii="Times New Roman" w:hAnsi="Times New Roman" w:eastAsia="FangSong_GB2312"/>
      <w:b/>
      <w:bCs/>
      <w:sz w:val="28"/>
      <w:szCs w:val="32"/>
    </w:rPr>
  </w:style>
  <w:style w:type="paragraph" w:customStyle="1" w:styleId="21">
    <w:name w:val="闻政-正文二级标题"/>
    <w:basedOn w:val="3"/>
    <w:next w:val="17"/>
    <w:link w:val="20"/>
    <w:autoRedefine/>
    <w:qFormat/>
    <w:uiPriority w:val="3"/>
    <w:pPr>
      <w:spacing w:before="120" w:after="60" w:line="500" w:lineRule="exact"/>
      <w:ind w:left="200" w:leftChars="200"/>
      <w:jc w:val="left"/>
    </w:pPr>
    <w:rPr>
      <w:rFonts w:ascii="Times New Roman" w:hAnsi="Times New Roman" w:eastAsia="FangSong_GB2312" w:cstheme="minorBidi"/>
      <w:kern w:val="0"/>
      <w:sz w:val="28"/>
    </w:rPr>
  </w:style>
  <w:style w:type="paragraph" w:customStyle="1" w:styleId="22">
    <w:name w:val="闻政表"/>
    <w:basedOn w:val="1"/>
    <w:autoRedefine/>
    <w:qFormat/>
    <w:uiPriority w:val="0"/>
    <w:pPr>
      <w:spacing w:before="60" w:after="60"/>
      <w:ind w:firstLine="600" w:firstLineChars="200"/>
      <w:jc w:val="center"/>
    </w:pPr>
    <w:rPr>
      <w:b/>
      <w:sz w:val="24"/>
      <w:szCs w:val="28"/>
    </w:rPr>
  </w:style>
  <w:style w:type="character" w:customStyle="1" w:styleId="23">
    <w:name w:val="标题 2 Char"/>
    <w:basedOn w:val="12"/>
    <w:link w:val="3"/>
    <w:autoRedefine/>
    <w:semiHidden/>
    <w:qFormat/>
    <w:uiPriority w:val="0"/>
    <w:rPr>
      <w:rFonts w:asciiTheme="majorHAnsi" w:hAnsiTheme="majorHAnsi" w:eastAsiaTheme="majorEastAsia" w:cstheme="majorBidi"/>
      <w:b/>
      <w:bCs/>
      <w:kern w:val="2"/>
      <w:sz w:val="32"/>
      <w:szCs w:val="32"/>
    </w:rPr>
  </w:style>
  <w:style w:type="paragraph" w:customStyle="1" w:styleId="24">
    <w:name w:val="闻政标题5"/>
    <w:basedOn w:val="1"/>
    <w:qFormat/>
    <w:uiPriority w:val="99"/>
    <w:pPr>
      <w:spacing w:before="120" w:after="60" w:line="500" w:lineRule="exact"/>
      <w:ind w:firstLine="200" w:firstLineChars="200"/>
    </w:pPr>
    <w:rPr>
      <w:rFonts w:eastAsia="楷体"/>
      <w:kern w:val="0"/>
      <w:sz w:val="28"/>
      <w:szCs w:val="28"/>
    </w:rPr>
  </w:style>
  <w:style w:type="character" w:customStyle="1" w:styleId="25">
    <w:name w:val="正文文本 Char"/>
    <w:basedOn w:val="12"/>
    <w:link w:val="6"/>
    <w:qFormat/>
    <w:uiPriority w:val="0"/>
    <w:rPr>
      <w:rFonts w:ascii="Times New Roman" w:hAnsi="Times New Roman" w:eastAsia="FangSong_GB2312" w:cs="黑体"/>
      <w:b/>
      <w:kern w:val="2"/>
      <w:sz w:val="44"/>
      <w:szCs w:val="22"/>
    </w:rPr>
  </w:style>
  <w:style w:type="character" w:customStyle="1" w:styleId="26">
    <w:name w:val="闻政-正文一级标题 Char"/>
    <w:link w:val="27"/>
    <w:qFormat/>
    <w:uiPriority w:val="3"/>
    <w:rPr>
      <w:rFonts w:ascii="黑体" w:hAnsi="黑体" w:eastAsia="黑体"/>
      <w:bCs/>
      <w:sz w:val="32"/>
      <w:szCs w:val="32"/>
    </w:rPr>
  </w:style>
  <w:style w:type="paragraph" w:customStyle="1" w:styleId="27">
    <w:name w:val="闻政-正文一级标题"/>
    <w:basedOn w:val="4"/>
    <w:next w:val="17"/>
    <w:link w:val="26"/>
    <w:autoRedefine/>
    <w:qFormat/>
    <w:uiPriority w:val="3"/>
    <w:pPr>
      <w:spacing w:before="120" w:after="60" w:line="500" w:lineRule="exact"/>
      <w:ind w:firstLine="0" w:firstLineChars="0"/>
      <w:outlineLvl w:val="0"/>
    </w:pPr>
    <w:rPr>
      <w:rFonts w:ascii="黑体" w:hAnsi="黑体" w:eastAsia="黑体" w:cstheme="minorBidi"/>
      <w:sz w:val="32"/>
    </w:rPr>
  </w:style>
  <w:style w:type="character" w:customStyle="1" w:styleId="28">
    <w:name w:val="批注框文本 Char"/>
    <w:basedOn w:val="12"/>
    <w:link w:val="7"/>
    <w:qFormat/>
    <w:uiPriority w:val="0"/>
    <w:rPr>
      <w:rFonts w:ascii="Times New Roman" w:hAnsi="Times New Roman" w:eastAsia="FangSong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25</Pages>
  <Words>11491</Words>
  <Characters>11905</Characters>
  <Lines>91</Lines>
  <Paragraphs>25</Paragraphs>
  <TotalTime>0</TotalTime>
  <ScaleCrop>false</ScaleCrop>
  <LinksUpToDate>false</LinksUpToDate>
  <CharactersWithSpaces>12571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雨。</cp:lastModifiedBy>
  <cp:lastPrinted>2024-03-04T11:32:00Z</cp:lastPrinted>
  <dcterms:modified xsi:type="dcterms:W3CDTF">2024-09-19T08:08:08Z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