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240" w:lineRule="auto"/>
        <w:textAlignment w:val="auto"/>
        <w:rPr>
          <w:rFonts w:ascii="黑体" w:hAnsi="黑体" w:eastAsia="黑体"/>
          <w:sz w:val="32"/>
          <w:szCs w:val="32"/>
          <w:highlight w:val="none"/>
        </w:rPr>
      </w:pPr>
    </w:p>
    <w:p>
      <w:pPr>
        <w:widowControl w:val="0"/>
        <w:wordWrap/>
        <w:adjustRightInd/>
        <w:snapToGrid/>
        <w:spacing w:line="240" w:lineRule="auto"/>
        <w:jc w:val="center"/>
        <w:textAlignment w:val="auto"/>
        <w:rPr>
          <w:rFonts w:hint="eastAsia" w:ascii="方正小标宋_GBK" w:hAnsi="宋体" w:eastAsia="方正小标宋_GBK"/>
          <w:sz w:val="44"/>
          <w:szCs w:val="44"/>
          <w:highlight w:val="none"/>
        </w:rPr>
      </w:pPr>
    </w:p>
    <w:p>
      <w:pPr>
        <w:widowControl w:val="0"/>
        <w:wordWrap/>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新疆维吾尔自治区审计厅机关服务中心</w:t>
      </w:r>
    </w:p>
    <w:p>
      <w:pPr>
        <w:widowControl w:val="0"/>
        <w:wordWrap/>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 xml:space="preserve"> 2023年度</w:t>
      </w:r>
      <w:r>
        <w:rPr>
          <w:rFonts w:hint="eastAsia" w:ascii="方正小标宋_GBK" w:hAnsi="宋体" w:eastAsia="方正小标宋_GBK"/>
          <w:sz w:val="44"/>
          <w:szCs w:val="44"/>
          <w:highlight w:val="none"/>
        </w:rPr>
        <w:t>部门决算</w:t>
      </w:r>
    </w:p>
    <w:p>
      <w:pPr>
        <w:widowControl w:val="0"/>
        <w:wordWrap/>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widowControl w:val="0"/>
        <w:wordWrap/>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 xml:space="preserve">第一部分 </w:t>
      </w:r>
      <w:r>
        <w:rPr>
          <w:rFonts w:hint="eastAsia" w:ascii="仿宋_GB2312" w:hAnsi="仿宋_GB2312" w:eastAsia="仿宋_GB2312" w:cs="仿宋_GB2312"/>
          <w:b/>
          <w:bCs/>
          <w:sz w:val="32"/>
          <w:szCs w:val="32"/>
          <w:highlight w:val="none"/>
          <w:lang w:eastAsia="zh-CN"/>
        </w:rPr>
        <w:t>单位</w:t>
      </w:r>
      <w:r>
        <w:rPr>
          <w:rFonts w:hint="eastAsia" w:ascii="仿宋_GB2312" w:hAnsi="仿宋_GB2312" w:eastAsia="仿宋_GB2312" w:cs="仿宋_GB2312"/>
          <w:b/>
          <w:bCs/>
          <w:sz w:val="32"/>
          <w:szCs w:val="32"/>
          <w:highlight w:val="none"/>
        </w:rPr>
        <w:t>概况</w:t>
      </w:r>
      <w:r>
        <w:rPr>
          <w:rFonts w:hint="eastAsia" w:ascii="仿宋_GB2312" w:hAnsi="仿宋_GB2312" w:eastAsia="仿宋_GB2312" w:cs="仿宋_GB2312"/>
          <w:b/>
          <w:bCs/>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widowControl w:val="0"/>
        <w:wordWrap/>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rPr>
          <w:rFonts w:hint="eastAsia" w:ascii="仿宋_GB2312" w:eastAsia="仿宋_GB2312"/>
          <w:sz w:val="32"/>
          <w:szCs w:val="32"/>
          <w:highlight w:val="none"/>
        </w:rPr>
      </w:pPr>
      <w:r>
        <w:rPr>
          <w:rFonts w:hint="eastAsia" w:ascii="仿宋_GB2312" w:eastAsia="仿宋_GB2312"/>
          <w:sz w:val="32"/>
          <w:szCs w:val="32"/>
          <w:highlight w:val="none"/>
        </w:rPr>
        <w:br w:type="page"/>
      </w:r>
    </w:p>
    <w:p>
      <w:pPr>
        <w:widowControl w:val="0"/>
        <w:wordWrap/>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0" w:name="_Toc32314"/>
      <w:bookmarkStart w:id="1" w:name="_Toc24028"/>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pPr>
        <w:widowControl w:val="0"/>
        <w:wordWrap/>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567"/>
      <w:bookmarkStart w:id="3" w:name="_Toc30738"/>
      <w:r>
        <w:rPr>
          <w:rFonts w:hint="eastAsia" w:ascii="黑体" w:hAnsi="黑体" w:eastAsia="黑体" w:cs="宋体"/>
          <w:bCs/>
          <w:kern w:val="0"/>
          <w:sz w:val="32"/>
          <w:szCs w:val="32"/>
          <w:highlight w:val="none"/>
        </w:rPr>
        <w:t>一、主要职能</w:t>
      </w:r>
      <w:bookmarkEnd w:id="2"/>
      <w:bookmarkEnd w:id="3"/>
    </w:p>
    <w:p>
      <w:pPr>
        <w:widowControl w:val="0"/>
        <w:wordWrap/>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负责厅机关的后勤服务，负责办公楼及住宅楼内消防、水、电、暖、维修、安全、保卫、卫生管理等工作，承担厅机关综合治理，为机关办公与职工生活提供后勤服务保障工作。同时，肩负着厅办公楼、中山路办公楼的管理及厅房产、消防安全、社会治安、综合治理、庭院绿化、爱国卫生等工作</w:t>
      </w:r>
      <w:r>
        <w:rPr>
          <w:rFonts w:hint="eastAsia" w:ascii="仿宋_GB2312" w:eastAsia="仿宋_GB2312"/>
          <w:sz w:val="32"/>
          <w:szCs w:val="32"/>
        </w:rPr>
        <w:t>。</w:t>
      </w: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eastAsia="仿宋_GB2312"/>
          <w:sz w:val="32"/>
          <w:szCs w:val="32"/>
          <w:highlight w:val="none"/>
          <w:lang w:val="en-US" w:eastAsia="zh-CN"/>
        </w:rPr>
        <w:t>新疆维吾尔自治区审计厅机关服务中心</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32</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19</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13</w:t>
      </w:r>
      <w:r>
        <w:rPr>
          <w:rFonts w:hint="eastAsia" w:ascii="仿宋_GB2312" w:eastAsia="仿宋_GB2312"/>
          <w:sz w:val="32"/>
          <w:szCs w:val="32"/>
          <w:highlight w:val="none"/>
        </w:rPr>
        <w:t>人。</w:t>
      </w:r>
    </w:p>
    <w:p>
      <w:pPr>
        <w:widowControl w:val="0"/>
        <w:wordWrap/>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sectPr>
          <w:footerReference r:id="rId4"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无</w:t>
      </w:r>
      <w:r>
        <w:rPr>
          <w:rFonts w:hint="eastAsia" w:ascii="仿宋_GB2312" w:hAnsi="黑体" w:eastAsia="仿宋_GB2312" w:cs="宋体"/>
          <w:bCs/>
          <w:kern w:val="0"/>
          <w:sz w:val="32"/>
          <w:szCs w:val="32"/>
          <w:highlight w:val="none"/>
        </w:rPr>
        <w:t>下设处室</w:t>
      </w:r>
      <w:r>
        <w:rPr>
          <w:rFonts w:hint="eastAsia" w:ascii="仿宋_GB2312" w:hAnsi="宋体" w:eastAsia="仿宋_GB2312" w:cs="宋体"/>
          <w:kern w:val="0"/>
          <w:sz w:val="32"/>
          <w:szCs w:val="32"/>
          <w:highlight w:val="none"/>
        </w:rPr>
        <w:t>。</w:t>
      </w:r>
    </w:p>
    <w:p>
      <w:pPr>
        <w:widowControl w:val="0"/>
        <w:wordWrap/>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3092"/>
      <w:bookmarkStart w:id="7" w:name="_Toc29374"/>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25314"/>
      <w:bookmarkStart w:id="9" w:name="_Toc12566"/>
      <w:r>
        <w:rPr>
          <w:rFonts w:hint="eastAsia" w:ascii="黑体" w:hAnsi="黑体" w:eastAsia="黑体" w:cs="宋体"/>
          <w:bCs/>
          <w:kern w:val="0"/>
          <w:sz w:val="32"/>
          <w:szCs w:val="32"/>
          <w:highlight w:val="none"/>
        </w:rPr>
        <w:t>一、收入支出决算总体情况说明</w:t>
      </w:r>
      <w:bookmarkEnd w:id="8"/>
      <w:bookmarkEnd w:id="9"/>
    </w:p>
    <w:p>
      <w:pPr>
        <w:widowControl w:val="0"/>
        <w:wordWrap/>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w:t>
      </w:r>
      <w:r>
        <w:rPr>
          <w:rFonts w:hint="eastAsia" w:ascii="仿宋_GB2312" w:eastAsia="仿宋_GB2312"/>
          <w:spacing w:val="0"/>
          <w:sz w:val="32"/>
          <w:szCs w:val="32"/>
          <w:highlight w:val="none"/>
          <w:lang w:val="en-US" w:eastAsia="zh-CN"/>
        </w:rPr>
        <w:t>收入总计</w:t>
      </w:r>
      <w:r>
        <w:rPr>
          <w:rFonts w:hint="eastAsia" w:ascii="仿宋_GB2312" w:eastAsia="仿宋_GB2312"/>
          <w:spacing w:val="0"/>
          <w:sz w:val="32"/>
          <w:szCs w:val="32"/>
          <w:highlight w:val="none"/>
          <w:lang w:eastAsia="zh-CN"/>
        </w:rPr>
        <w:t>368.60万元，</w:t>
      </w:r>
      <w:r>
        <w:rPr>
          <w:rFonts w:hint="eastAsia" w:ascii="仿宋_GB2312" w:eastAsia="仿宋_GB2312"/>
          <w:spacing w:val="0"/>
          <w:sz w:val="32"/>
          <w:szCs w:val="32"/>
          <w:highlight w:val="none"/>
          <w:lang w:val="en-US" w:eastAsia="zh-CN"/>
        </w:rPr>
        <w:t>其中：本年收入合计</w:t>
      </w:r>
      <w:r>
        <w:rPr>
          <w:rFonts w:hint="eastAsia" w:ascii="仿宋_GB2312" w:eastAsia="仿宋_GB2312"/>
          <w:spacing w:val="0"/>
          <w:sz w:val="32"/>
          <w:szCs w:val="32"/>
          <w:highlight w:val="none"/>
          <w:lang w:eastAsia="zh-CN"/>
        </w:rPr>
        <w:t>368.36万元，使用非财政拨款结余0.00万元，年初结转和结余0.24万元。</w:t>
      </w:r>
    </w:p>
    <w:p>
      <w:pPr>
        <w:widowControl w:val="0"/>
        <w:wordWrap/>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val="en-US" w:eastAsia="zh-CN"/>
        </w:rPr>
        <w:t>2023</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度</w:t>
      </w:r>
      <w:r>
        <w:rPr>
          <w:rFonts w:hint="eastAsia" w:ascii="仿宋_GB2312" w:eastAsia="仿宋_GB2312"/>
          <w:spacing w:val="0"/>
          <w:sz w:val="32"/>
          <w:szCs w:val="32"/>
          <w:highlight w:val="none"/>
          <w:lang w:eastAsia="zh-CN"/>
        </w:rPr>
        <w:t>支出</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eastAsia="zh-CN"/>
        </w:rPr>
        <w:t>368.60万元，</w:t>
      </w:r>
      <w:r>
        <w:rPr>
          <w:rFonts w:hint="eastAsia" w:ascii="仿宋_GB2312" w:eastAsia="仿宋_GB2312"/>
          <w:spacing w:val="0"/>
          <w:sz w:val="32"/>
          <w:szCs w:val="32"/>
          <w:highlight w:val="none"/>
          <w:lang w:val="en-US" w:eastAsia="zh-CN"/>
        </w:rPr>
        <w:t>其中：本年支出合计</w:t>
      </w:r>
      <w:r>
        <w:rPr>
          <w:rFonts w:hint="eastAsia" w:ascii="仿宋_GB2312" w:eastAsia="仿宋_GB2312"/>
          <w:spacing w:val="0"/>
          <w:sz w:val="32"/>
          <w:szCs w:val="32"/>
          <w:highlight w:val="none"/>
          <w:lang w:eastAsia="zh-CN"/>
        </w:rPr>
        <w:t>368.23万元，</w:t>
      </w:r>
      <w:r>
        <w:rPr>
          <w:rFonts w:hint="eastAsia" w:ascii="仿宋_GB2312" w:eastAsia="仿宋_GB2312"/>
          <w:spacing w:val="0"/>
          <w:sz w:val="32"/>
          <w:szCs w:val="32"/>
          <w:highlight w:val="none"/>
          <w:lang w:val="en-US" w:eastAsia="zh-CN"/>
        </w:rPr>
        <w:t>结余分配</w:t>
      </w:r>
      <w:r>
        <w:rPr>
          <w:rFonts w:hint="eastAsia" w:ascii="仿宋_GB2312" w:eastAsia="仿宋_GB2312"/>
          <w:spacing w:val="0"/>
          <w:sz w:val="32"/>
          <w:szCs w:val="32"/>
          <w:highlight w:val="none"/>
          <w:lang w:eastAsia="zh-CN"/>
        </w:rPr>
        <w:t>0.00万元，年末结转和结余0.36万元。</w:t>
      </w:r>
    </w:p>
    <w:p>
      <w:pPr>
        <w:widowControl w:val="0"/>
        <w:wordWrap/>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val="en-US" w:eastAsia="zh-CN"/>
        </w:rPr>
        <w:t>收入支出总计</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减少15.59万元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en-US" w:eastAsia="zh-CN"/>
        </w:rPr>
        <w:t>下降4.06%</w:t>
      </w:r>
      <w:r>
        <w:rPr>
          <w:rFonts w:hint="eastAsia" w:ascii="仿宋_GB2312" w:eastAsia="仿宋_GB2312"/>
          <w:spacing w:val="0"/>
          <w:sz w:val="32"/>
          <w:szCs w:val="32"/>
          <w:highlight w:val="none"/>
          <w:lang w:eastAsia="zh-CN"/>
        </w:rPr>
        <w:t>，主要原因是：压减运行经费，减少开支。</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rPr>
      </w:pPr>
      <w:bookmarkStart w:id="10" w:name="_Toc1979"/>
      <w:bookmarkStart w:id="11" w:name="_Toc12142"/>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本年收入</w:t>
      </w:r>
      <w:r>
        <w:rPr>
          <w:rFonts w:hint="eastAsia" w:ascii="仿宋_GB2312" w:eastAsia="仿宋_GB2312"/>
          <w:sz w:val="32"/>
          <w:szCs w:val="32"/>
          <w:highlight w:val="none"/>
          <w:lang w:eastAsia="zh-CN"/>
        </w:rPr>
        <w:t>368.36</w:t>
      </w:r>
      <w:r>
        <w:rPr>
          <w:rFonts w:hint="eastAsia" w:ascii="仿宋_GB2312" w:eastAsia="仿宋_GB2312"/>
          <w:sz w:val="32"/>
          <w:szCs w:val="32"/>
          <w:highlight w:val="none"/>
        </w:rPr>
        <w:t>万元，其中：财政拨款收入</w:t>
      </w:r>
      <w:r>
        <w:rPr>
          <w:rFonts w:hint="eastAsia" w:ascii="仿宋_GB2312" w:eastAsia="仿宋_GB2312"/>
          <w:sz w:val="32"/>
          <w:szCs w:val="32"/>
          <w:highlight w:val="none"/>
          <w:lang w:val="zh-CN"/>
        </w:rPr>
        <w:t>368.06</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99.92</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0.30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0.08</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2" w:name="_Toc13201"/>
      <w:bookmarkStart w:id="13" w:name="_Toc27961"/>
      <w:r>
        <w:rPr>
          <w:rFonts w:hint="eastAsia" w:ascii="黑体" w:hAnsi="黑体" w:eastAsia="黑体" w:cs="宋体"/>
          <w:bCs/>
          <w:kern w:val="0"/>
          <w:sz w:val="32"/>
          <w:szCs w:val="32"/>
          <w:highlight w:val="none"/>
          <w:lang w:eastAsia="zh-CN"/>
        </w:rPr>
        <w:t>三、支出决算情况说明</w:t>
      </w:r>
      <w:bookmarkEnd w:id="12"/>
      <w:bookmarkEnd w:id="13"/>
    </w:p>
    <w:p>
      <w:pPr>
        <w:widowControl w:val="0"/>
        <w:wordWrap/>
        <w:adjustRightInd/>
        <w:snapToGrid/>
        <w:spacing w:line="240" w:lineRule="auto"/>
        <w:ind w:firstLine="640" w:firstLineChars="200"/>
        <w:jc w:val="left"/>
        <w:textAlignment w:val="auto"/>
        <w:rPr>
          <w:rFonts w:hint="eastAsia" w:ascii="Times New Roman" w:hAnsi="Times New Roman" w:eastAsia="仿宋_GB2312" w:cs="仿宋_GB2312"/>
          <w:sz w:val="30"/>
          <w:szCs w:val="30"/>
          <w:highlight w:val="none"/>
          <w:lang w:val="zh-CN" w:eastAsia="zh-CN"/>
        </w:rPr>
      </w:pPr>
      <w:r>
        <w:rPr>
          <w:rFonts w:hint="eastAsia" w:ascii="Times New Roman" w:hAnsi="Times New Roman" w:eastAsia="仿宋_GB2312" w:cs="仿宋_GB2312"/>
          <w:sz w:val="32"/>
          <w:szCs w:val="32"/>
          <w:highlight w:val="none"/>
          <w:lang w:val="zh-CN" w:eastAsia="zh-CN"/>
        </w:rPr>
        <w:t>本年支出368.23万元，其中：基本支出368.23万元，占100.00%；项目支出0.00万元，占0.00%；上缴上级支出0.00万元，占0.00%；经营支出0.00万元，占0.00%；对附属单位补助支出0.00万元，占0.00%。</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4" w:name="_Toc26564"/>
      <w:bookmarkStart w:id="15" w:name="_Toc4393"/>
      <w:r>
        <w:rPr>
          <w:rFonts w:hint="eastAsia" w:ascii="黑体" w:hAnsi="黑体" w:eastAsia="黑体" w:cs="宋体"/>
          <w:bCs/>
          <w:kern w:val="0"/>
          <w:sz w:val="32"/>
          <w:szCs w:val="32"/>
          <w:highlight w:val="none"/>
          <w:lang w:eastAsia="zh-CN"/>
        </w:rPr>
        <w:t>四、财政拨款收入支出决算总体情况说明</w:t>
      </w:r>
      <w:bookmarkEnd w:id="14"/>
      <w:bookmarkEnd w:id="15"/>
    </w:p>
    <w:p>
      <w:pPr>
        <w:widowControl w:val="0"/>
        <w:wordWrap/>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2023年度财政拨款收入</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其中：年初财政拨款结转和结余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本年财政拨款收入</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万元。财政拨款支出</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其中：年末财政拨款结转和结余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本年财政拨款支出</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w:t>
      </w:r>
    </w:p>
    <w:p>
      <w:pPr>
        <w:widowControl w:val="0"/>
        <w:wordWrap/>
        <w:adjustRightInd/>
        <w:snapToGrid/>
        <w:spacing w:line="240" w:lineRule="auto"/>
        <w:ind w:firstLine="640" w:firstLineChars="200"/>
        <w:jc w:val="left"/>
        <w:textAlignment w:val="auto"/>
        <w:rPr>
          <w:rFonts w:hint="eastAsia" w:ascii="仿宋_GB2312" w:eastAsia="仿宋_GB2312"/>
          <w:spacing w:val="0"/>
          <w:sz w:val="32"/>
          <w:szCs w:val="32"/>
          <w:highlight w:val="none"/>
          <w:lang w:val="en-US" w:eastAsia="zh-CN"/>
        </w:rPr>
      </w:pPr>
      <w:r>
        <w:rPr>
          <w:rFonts w:hint="eastAsia" w:ascii="仿宋_GB2312" w:eastAsia="仿宋_GB2312"/>
          <w:spacing w:val="0"/>
          <w:sz w:val="32"/>
          <w:szCs w:val="32"/>
          <w:highlight w:val="none"/>
          <w:lang w:eastAsia="zh-CN"/>
        </w:rPr>
        <w:t>财政拨款</w:t>
      </w:r>
      <w:r>
        <w:rPr>
          <w:rFonts w:hint="eastAsia" w:ascii="仿宋_GB2312" w:eastAsia="仿宋_GB2312"/>
          <w:spacing w:val="0"/>
          <w:sz w:val="32"/>
          <w:szCs w:val="32"/>
          <w:highlight w:val="none"/>
          <w:lang w:val="en-US" w:eastAsia="zh-CN"/>
        </w:rPr>
        <w:t>收入支出总计</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en-US" w:eastAsia="zh-CN"/>
        </w:rPr>
        <w:t>,</w:t>
      </w:r>
      <w:r>
        <w:rPr>
          <w:rFonts w:hint="eastAsia" w:ascii="仿宋_GB2312" w:eastAsia="仿宋_GB2312"/>
          <w:spacing w:val="0"/>
          <w:sz w:val="32"/>
          <w:szCs w:val="32"/>
          <w:highlight w:val="none"/>
          <w:lang w:val="zh-CN" w:eastAsia="zh-CN"/>
        </w:rPr>
        <w:t>减少15.34万元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下降4.00%，</w:t>
      </w:r>
      <w:r>
        <w:rPr>
          <w:rFonts w:hint="eastAsia" w:ascii="仿宋_GB2312" w:eastAsia="仿宋_GB2312"/>
          <w:spacing w:val="0"/>
          <w:sz w:val="32"/>
          <w:szCs w:val="32"/>
          <w:highlight w:val="none"/>
          <w:lang w:eastAsia="zh-CN"/>
        </w:rPr>
        <w:t>主要原因是：压减运行经费，减少开支。与年初预算相比，年初预算数</w:t>
      </w:r>
      <w:r>
        <w:rPr>
          <w:rFonts w:hint="eastAsia" w:ascii="仿宋_GB2312" w:eastAsia="仿宋_GB2312"/>
          <w:spacing w:val="0"/>
          <w:sz w:val="32"/>
          <w:szCs w:val="32"/>
          <w:highlight w:val="none"/>
          <w:lang w:val="zh-CN" w:eastAsia="zh-CN"/>
        </w:rPr>
        <w:t>386.21</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万元，预决算差异率-4.70%，主要原因是：压减运行经费，减少开支。</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6" w:name="_Toc20360"/>
      <w:bookmarkStart w:id="17" w:name="_Toc13833"/>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widowControl w:val="0"/>
        <w:wordWrap/>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（一）一般公共预算财政拨款支出决算总体情况</w:t>
      </w:r>
    </w:p>
    <w:p>
      <w:pPr>
        <w:widowControl w:val="0"/>
        <w:wordWrap/>
        <w:adjustRightInd/>
        <w:snapToGrid/>
        <w:spacing w:line="600" w:lineRule="exact"/>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2023年度一般公共预算财政拨款支出368.06万元，占本年支出合计的</w:t>
      </w:r>
      <w:r>
        <w:rPr>
          <w:rFonts w:hint="eastAsia" w:ascii="仿宋_GB2312" w:eastAsia="仿宋_GB2312"/>
          <w:spacing w:val="0"/>
          <w:sz w:val="32"/>
          <w:szCs w:val="32"/>
          <w:highlight w:val="none"/>
          <w:lang w:val="zh-CN" w:eastAsia="zh-CN"/>
        </w:rPr>
        <w:t>99.95%</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减少15.34万元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下降4.00%，</w:t>
      </w:r>
      <w:r>
        <w:rPr>
          <w:rFonts w:hint="eastAsia" w:ascii="仿宋_GB2312" w:eastAsia="仿宋_GB2312"/>
          <w:spacing w:val="0"/>
          <w:sz w:val="32"/>
          <w:szCs w:val="32"/>
          <w:highlight w:val="none"/>
          <w:lang w:eastAsia="zh-CN"/>
        </w:rPr>
        <w:t>主要原因是：压减运行经费，减少开支。与年初预算相比，年初预算数</w:t>
      </w:r>
      <w:r>
        <w:rPr>
          <w:rFonts w:hint="eastAsia" w:ascii="仿宋_GB2312" w:eastAsia="仿宋_GB2312"/>
          <w:spacing w:val="0"/>
          <w:sz w:val="32"/>
          <w:szCs w:val="32"/>
          <w:highlight w:val="none"/>
          <w:lang w:val="zh-CN" w:eastAsia="zh-CN"/>
        </w:rPr>
        <w:t>386.21</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368.06</w:t>
      </w:r>
      <w:r>
        <w:rPr>
          <w:rFonts w:hint="eastAsia" w:ascii="仿宋_GB2312" w:eastAsia="仿宋_GB2312"/>
          <w:spacing w:val="0"/>
          <w:sz w:val="32"/>
          <w:szCs w:val="32"/>
          <w:highlight w:val="none"/>
          <w:lang w:eastAsia="zh-CN"/>
        </w:rPr>
        <w:t>万元，预决算差异率</w:t>
      </w:r>
      <w:r>
        <w:rPr>
          <w:rFonts w:hint="eastAsia" w:ascii="仿宋_GB2312" w:eastAsia="仿宋_GB2312"/>
          <w:spacing w:val="0"/>
          <w:sz w:val="32"/>
          <w:szCs w:val="32"/>
          <w:highlight w:val="none"/>
          <w:lang w:val="zh-CN" w:eastAsia="zh-CN"/>
        </w:rPr>
        <w:t>4.70%</w:t>
      </w:r>
      <w:r>
        <w:rPr>
          <w:rFonts w:hint="eastAsia" w:ascii="仿宋_GB2312" w:eastAsia="仿宋_GB2312"/>
          <w:spacing w:val="0"/>
          <w:sz w:val="32"/>
          <w:szCs w:val="32"/>
          <w:highlight w:val="none"/>
          <w:lang w:eastAsia="zh-CN"/>
        </w:rPr>
        <w:t>，主要原因是：压减运行经费，减少开支。</w:t>
      </w:r>
    </w:p>
    <w:p>
      <w:pPr>
        <w:widowControl w:val="0"/>
        <w:numPr>
          <w:ilvl w:val="0"/>
          <w:numId w:val="1"/>
        </w:numPr>
        <w:wordWrap/>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1.</w:t>
      </w:r>
      <w:r>
        <w:rPr>
          <w:rFonts w:hint="default" w:ascii="仿宋_GB2312" w:hAnsi="Times New Roman" w:eastAsia="仿宋_GB2312" w:cs="Times New Roman"/>
          <w:spacing w:val="0"/>
          <w:kern w:val="2"/>
          <w:sz w:val="32"/>
          <w:szCs w:val="32"/>
          <w:highlight w:val="none"/>
          <w:lang w:val="zh-CN" w:eastAsia="zh-CN" w:bidi="ar-SA"/>
        </w:rPr>
        <w:t>一般公共服务支出（类）</w:t>
      </w:r>
      <w:r>
        <w:rPr>
          <w:rFonts w:hint="eastAsia" w:ascii="仿宋_GB2312" w:hAnsi="Times New Roman" w:eastAsia="仿宋_GB2312" w:cs="Times New Roman"/>
          <w:spacing w:val="0"/>
          <w:kern w:val="2"/>
          <w:sz w:val="32"/>
          <w:szCs w:val="32"/>
          <w:highlight w:val="none"/>
          <w:lang w:val="zh-CN" w:eastAsia="zh-CN" w:bidi="ar-SA"/>
        </w:rPr>
        <w:t>259.10</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70.39</w:t>
      </w:r>
      <w:r>
        <w:rPr>
          <w:rFonts w:hint="default" w:ascii="仿宋_GB2312" w:hAnsi="Times New Roman" w:eastAsia="仿宋_GB2312" w:cs="Times New Roman"/>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en-US" w:eastAsia="zh-CN" w:bidi="ar-SA"/>
        </w:rPr>
        <w:t>2.</w:t>
      </w:r>
      <w:r>
        <w:rPr>
          <w:rFonts w:hint="default" w:ascii="仿宋_GB2312" w:hAnsi="Times New Roman" w:eastAsia="仿宋_GB2312" w:cs="Times New Roman"/>
          <w:spacing w:val="0"/>
          <w:kern w:val="2"/>
          <w:sz w:val="32"/>
          <w:szCs w:val="32"/>
          <w:highlight w:val="none"/>
          <w:lang w:val="zh-CN" w:eastAsia="zh-CN" w:bidi="ar-SA"/>
        </w:rPr>
        <w:t>社会保障和就业支出（类）</w:t>
      </w:r>
      <w:r>
        <w:rPr>
          <w:rFonts w:hint="eastAsia" w:ascii="仿宋_GB2312" w:hAnsi="Times New Roman" w:eastAsia="仿宋_GB2312" w:cs="Times New Roman"/>
          <w:spacing w:val="0"/>
          <w:kern w:val="2"/>
          <w:sz w:val="32"/>
          <w:szCs w:val="32"/>
          <w:highlight w:val="none"/>
          <w:lang w:val="zh-CN" w:eastAsia="zh-CN" w:bidi="ar-SA"/>
        </w:rPr>
        <w:t>54.05</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14.69</w:t>
      </w:r>
      <w:r>
        <w:rPr>
          <w:rFonts w:hint="default" w:ascii="仿宋_GB2312" w:hAnsi="Times New Roman" w:eastAsia="仿宋_GB2312" w:cs="Times New Roman"/>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3</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卫生健康支出（类）</w:t>
      </w:r>
      <w:r>
        <w:rPr>
          <w:rFonts w:hint="eastAsia" w:ascii="仿宋_GB2312" w:hAnsi="Times New Roman" w:eastAsia="仿宋_GB2312" w:cs="Times New Roman"/>
          <w:spacing w:val="0"/>
          <w:kern w:val="2"/>
          <w:sz w:val="32"/>
          <w:szCs w:val="32"/>
          <w:highlight w:val="none"/>
          <w:lang w:val="zh-CN" w:eastAsia="zh-CN" w:bidi="ar-SA"/>
        </w:rPr>
        <w:t>30.05</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8.16</w:t>
      </w:r>
      <w:r>
        <w:rPr>
          <w:rFonts w:hint="default" w:ascii="仿宋_GB2312" w:hAnsi="Times New Roman" w:eastAsia="仿宋_GB2312" w:cs="Times New Roman"/>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4</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住房保障支出（类）</w:t>
      </w:r>
      <w:r>
        <w:rPr>
          <w:rFonts w:hint="eastAsia" w:ascii="仿宋_GB2312" w:hAnsi="Times New Roman" w:eastAsia="仿宋_GB2312" w:cs="Times New Roman"/>
          <w:spacing w:val="0"/>
          <w:kern w:val="2"/>
          <w:sz w:val="32"/>
          <w:szCs w:val="32"/>
          <w:highlight w:val="none"/>
          <w:lang w:val="zh-CN" w:eastAsia="zh-CN" w:bidi="ar-SA"/>
        </w:rPr>
        <w:t>24.87</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6.76</w:t>
      </w:r>
      <w:r>
        <w:rPr>
          <w:rFonts w:hint="default" w:ascii="仿宋_GB2312" w:hAnsi="Times New Roman" w:eastAsia="仿宋_GB2312" w:cs="Times New Roman"/>
          <w:spacing w:val="0"/>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kern w:val="2"/>
          <w:sz w:val="32"/>
          <w:szCs w:val="32"/>
          <w:highlight w:val="none"/>
          <w:lang w:val="en-US" w:eastAsia="zh-CN" w:bidi="ar-SA"/>
        </w:rPr>
        <w:t>1.卫生健康支出（类）行政事业单位医疗（款）事业单位医疗（项）:支出决算数为15.54</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15.54</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w:t>
      </w:r>
      <w:r>
        <w:rPr>
          <w:rFonts w:hint="eastAsia" w:ascii="Times New Roman" w:hAnsi="Times New Roman" w:eastAsia="仿宋_GB2312" w:cs="Times New Roman"/>
          <w:kern w:val="2"/>
          <w:sz w:val="32"/>
          <w:szCs w:val="32"/>
          <w:highlight w:val="none"/>
          <w:lang w:val="en-US" w:eastAsia="zh-CN" w:bidi="ar-SA"/>
        </w:rPr>
        <w:t>100%，主要原因是：</w:t>
      </w:r>
      <w:r>
        <w:rPr>
          <w:rFonts w:hint="eastAsia" w:eastAsia="仿宋_GB2312" w:cs="Times New Roman"/>
          <w:kern w:val="2"/>
          <w:sz w:val="32"/>
          <w:szCs w:val="32"/>
          <w:highlight w:val="none"/>
          <w:lang w:val="en-US" w:eastAsia="zh-CN" w:bidi="ar-SA"/>
        </w:rPr>
        <w:t>2022年度职工医疗医疗保险计入事业运行科目，2023年度调整到事业单位医疗科目</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kern w:val="2"/>
          <w:sz w:val="32"/>
          <w:szCs w:val="32"/>
          <w:highlight w:val="none"/>
          <w:lang w:val="en-US" w:eastAsia="zh-CN" w:bidi="ar-SA"/>
        </w:rPr>
        <w:t>2.卫生健康支出（类）行政事业单位医疗（款）公务员医疗补助（项）:支出决算数为14.51</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2.26</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w:t>
      </w:r>
      <w:r>
        <w:rPr>
          <w:rFonts w:hint="eastAsia" w:ascii="Times New Roman" w:hAnsi="Times New Roman" w:eastAsia="仿宋_GB2312" w:cs="Times New Roman"/>
          <w:kern w:val="2"/>
          <w:sz w:val="32"/>
          <w:szCs w:val="32"/>
          <w:highlight w:val="none"/>
          <w:lang w:val="en-US" w:eastAsia="zh-CN" w:bidi="ar-SA"/>
        </w:rPr>
        <w:t>18.47%，主要原因是：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yellow"/>
          <w:lang w:val="zh-CN" w:eastAsia="zh-CN" w:bidi="ar-SA"/>
        </w:rPr>
      </w:pPr>
      <w:r>
        <w:rPr>
          <w:rFonts w:hint="eastAsia" w:ascii="Times New Roman" w:hAnsi="Times New Roman" w:eastAsia="仿宋_GB2312" w:cs="Times New Roman"/>
          <w:kern w:val="2"/>
          <w:sz w:val="32"/>
          <w:szCs w:val="32"/>
          <w:highlight w:val="none"/>
          <w:lang w:val="en-US" w:eastAsia="zh-CN" w:bidi="ar-SA"/>
        </w:rPr>
        <w:t>3.住房保障支出（类）住房改革支出（款）住房公积金（项）:支出决算数为24.87</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2.98</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w:t>
      </w:r>
      <w:r>
        <w:rPr>
          <w:rFonts w:hint="eastAsia" w:ascii="Times New Roman" w:hAnsi="Times New Roman" w:eastAsia="仿宋_GB2312" w:cs="Times New Roman"/>
          <w:kern w:val="2"/>
          <w:sz w:val="32"/>
          <w:szCs w:val="32"/>
          <w:highlight w:val="none"/>
          <w:lang w:val="en-US" w:eastAsia="zh-CN" w:bidi="ar-SA"/>
        </w:rPr>
        <w:t>13.64%，主要原因是：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kern w:val="2"/>
          <w:sz w:val="32"/>
          <w:szCs w:val="32"/>
          <w:highlight w:val="none"/>
          <w:lang w:val="en-US" w:eastAsia="zh-CN" w:bidi="ar-SA"/>
        </w:rPr>
        <w:t>4.一般公共服务支出（类）审计事务（款）机关服务（项）:支出决算数为259.10</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31.84</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w:t>
      </w:r>
      <w:r>
        <w:rPr>
          <w:rFonts w:hint="eastAsia" w:ascii="Times New Roman" w:hAnsi="Times New Roman" w:eastAsia="仿宋_GB2312" w:cs="Times New Roman"/>
          <w:kern w:val="2"/>
          <w:sz w:val="32"/>
          <w:szCs w:val="32"/>
          <w:highlight w:val="none"/>
          <w:lang w:val="en-US" w:eastAsia="zh-CN" w:bidi="ar-SA"/>
        </w:rPr>
        <w:t>10.94%，主要原因是：</w:t>
      </w:r>
      <w:r>
        <w:rPr>
          <w:rFonts w:hint="eastAsia" w:eastAsia="仿宋_GB2312" w:cs="Times New Roman"/>
          <w:kern w:val="2"/>
          <w:sz w:val="32"/>
          <w:szCs w:val="32"/>
          <w:highlight w:val="none"/>
          <w:lang w:val="en-US" w:eastAsia="zh-CN" w:bidi="ar-SA"/>
        </w:rPr>
        <w:t>压缩运行经费，减少开支</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kern w:val="2"/>
          <w:sz w:val="32"/>
          <w:szCs w:val="32"/>
          <w:highlight w:val="none"/>
          <w:lang w:val="en-US" w:eastAsia="zh-CN" w:bidi="ar-SA"/>
        </w:rPr>
        <w:t>5.社会保障和就业支出（类）行政事业单位养老支出（款）事业单位离退休（项）:支出决算数为24.30</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4.87</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w:t>
      </w:r>
      <w:r>
        <w:rPr>
          <w:rFonts w:hint="eastAsia" w:ascii="Times New Roman" w:hAnsi="Times New Roman" w:eastAsia="仿宋_GB2312" w:cs="Times New Roman"/>
          <w:kern w:val="2"/>
          <w:sz w:val="32"/>
          <w:szCs w:val="32"/>
          <w:highlight w:val="none"/>
          <w:lang w:val="en-US" w:eastAsia="zh-CN" w:bidi="ar-SA"/>
        </w:rPr>
        <w:t>16.68%，主要原因是：</w:t>
      </w:r>
      <w:r>
        <w:rPr>
          <w:rFonts w:hint="eastAsia" w:eastAsia="仿宋_GB2312" w:cs="Times New Roman"/>
          <w:kern w:val="2"/>
          <w:sz w:val="32"/>
          <w:szCs w:val="32"/>
          <w:highlight w:val="none"/>
          <w:lang w:val="en-US" w:eastAsia="zh-CN" w:bidi="ar-SA"/>
        </w:rPr>
        <w:t>退休人员医疗补助减少</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kern w:val="2"/>
          <w:sz w:val="32"/>
          <w:szCs w:val="32"/>
          <w:highlight w:val="none"/>
          <w:lang w:val="en-US" w:eastAsia="zh-CN" w:bidi="ar-SA"/>
        </w:rPr>
        <w:t>6.社会保障和就业支出（类）行政事业单位养老支出（款）机关事业单位基本养老保险缴费支出（项）:支出决算数为29.75</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0.57</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w:t>
      </w:r>
      <w:r>
        <w:rPr>
          <w:rFonts w:hint="eastAsia" w:ascii="Times New Roman" w:hAnsi="Times New Roman" w:eastAsia="仿宋_GB2312" w:cs="Times New Roman"/>
          <w:kern w:val="2"/>
          <w:sz w:val="32"/>
          <w:szCs w:val="32"/>
          <w:highlight w:val="none"/>
          <w:lang w:val="en-US" w:eastAsia="zh-CN" w:bidi="ar-SA"/>
        </w:rPr>
        <w:t>1.96%，主要原因是：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lang w:eastAsia="zh-CN"/>
        </w:rPr>
        <w:t>2023年度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eastAsia="zh-CN"/>
        </w:rPr>
        <w:t>368.06</w:t>
      </w:r>
      <w:r>
        <w:rPr>
          <w:rFonts w:hint="eastAsia" w:ascii="仿宋_GB2312" w:eastAsia="仿宋_GB2312"/>
          <w:sz w:val="32"/>
          <w:szCs w:val="32"/>
          <w:highlight w:val="none"/>
        </w:rPr>
        <w:t>万元，其中：人员经费</w:t>
      </w:r>
      <w:r>
        <w:rPr>
          <w:rFonts w:hint="eastAsia" w:ascii="仿宋_GB2312" w:eastAsia="仿宋_GB2312"/>
          <w:sz w:val="32"/>
          <w:szCs w:val="32"/>
          <w:highlight w:val="none"/>
          <w:lang w:eastAsia="zh-CN"/>
        </w:rPr>
        <w:t>350.09</w:t>
      </w:r>
      <w:r>
        <w:rPr>
          <w:rFonts w:hint="eastAsia" w:ascii="仿宋_GB2312" w:eastAsia="仿宋_GB2312"/>
          <w:sz w:val="32"/>
          <w:szCs w:val="32"/>
          <w:highlight w:val="none"/>
        </w:rPr>
        <w:t>万元，包括：</w:t>
      </w:r>
      <w:r>
        <w:rPr>
          <w:rFonts w:hint="eastAsia" w:ascii="仿宋_GB2312" w:eastAsia="仿宋_GB2312"/>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基本工资、津贴补贴、奖金、绩效工资、机关事业单位基本养老保险缴费、职业年金缴费、职工基本医疗保险缴费、公务员医疗补助缴费、其他社会保障缴费、住房公积金、其他工资福利支出、退休费、奖励金。</w:t>
      </w:r>
    </w:p>
    <w:p>
      <w:pPr>
        <w:widowControl w:val="0"/>
        <w:wordWrap/>
        <w:adjustRightInd/>
        <w:snapToGrid/>
        <w:spacing w:line="240" w:lineRule="auto"/>
        <w:ind w:firstLine="640" w:firstLineChars="200"/>
        <w:jc w:val="left"/>
        <w:textAlignment w:val="auto"/>
        <w:rPr>
          <w:rFonts w:hint="default" w:ascii="仿宋_GB2312" w:eastAsia="仿宋_GB2312"/>
          <w:sz w:val="32"/>
          <w:szCs w:val="32"/>
          <w:highlight w:val="red"/>
          <w:lang w:val="en-US" w:eastAsia="zh-CN"/>
        </w:rPr>
      </w:pPr>
      <w:r>
        <w:rPr>
          <w:rFonts w:hint="eastAsia" w:ascii="仿宋_GB2312" w:eastAsia="仿宋_GB2312"/>
          <w:sz w:val="32"/>
          <w:szCs w:val="32"/>
          <w:highlight w:val="none"/>
        </w:rPr>
        <w:t>公用经费</w:t>
      </w:r>
      <w:r>
        <w:rPr>
          <w:rFonts w:hint="eastAsia" w:ascii="仿宋_GB2312" w:eastAsia="仿宋_GB2312"/>
          <w:sz w:val="32"/>
          <w:szCs w:val="32"/>
          <w:highlight w:val="none"/>
          <w:lang w:eastAsia="zh-CN"/>
        </w:rPr>
        <w:t>17.97</w:t>
      </w:r>
      <w:r>
        <w:rPr>
          <w:rFonts w:hint="eastAsia" w:ascii="仿宋_GB2312" w:eastAsia="仿宋_GB2312"/>
          <w:sz w:val="32"/>
          <w:szCs w:val="32"/>
          <w:highlight w:val="none"/>
        </w:rPr>
        <w:t>万元，包括：</w:t>
      </w:r>
      <w:r>
        <w:rPr>
          <w:rFonts w:hint="eastAsia" w:ascii="仿宋_GB2312" w:eastAsia="仿宋_GB2312"/>
          <w:sz w:val="32"/>
          <w:szCs w:val="32"/>
          <w:highlight w:val="none"/>
          <w:lang w:val="en-US" w:eastAsia="zh-CN"/>
        </w:rPr>
        <w:t>办公费、水费、邮电费、差旅费、工会经费、福利费、其他商品和服务支出</w:t>
      </w:r>
      <w:r>
        <w:rPr>
          <w:rFonts w:hint="eastAsia" w:ascii="仿宋_GB2312" w:eastAsia="仿宋_GB2312"/>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2023年度</w:t>
      </w:r>
      <w:r>
        <w:rPr>
          <w:rFonts w:hint="eastAsia" w:ascii="仿宋_GB2312" w:eastAsia="仿宋_GB2312"/>
          <w:sz w:val="32"/>
          <w:szCs w:val="32"/>
          <w:highlight w:val="none"/>
          <w:lang w:val="en-US" w:eastAsia="zh-CN"/>
        </w:rPr>
        <w:t>财政拨款</w:t>
      </w:r>
      <w:r>
        <w:rPr>
          <w:rFonts w:hint="eastAsia" w:ascii="仿宋_GB2312" w:eastAsia="仿宋_GB2312"/>
          <w:sz w:val="32"/>
          <w:szCs w:val="32"/>
          <w:highlight w:val="none"/>
          <w:lang w:val="zh-CN" w:eastAsia="zh-CN"/>
        </w:rPr>
        <w:t>“三公”经费支出</w:t>
      </w:r>
      <w:r>
        <w:rPr>
          <w:rFonts w:hint="eastAsia" w:ascii="仿宋_GB2312" w:eastAsia="仿宋_GB2312"/>
          <w:sz w:val="32"/>
          <w:szCs w:val="32"/>
          <w:highlight w:val="none"/>
          <w:lang w:val="en-US" w:eastAsia="zh-CN"/>
        </w:rPr>
        <w:t>决算</w:t>
      </w:r>
      <w:r>
        <w:rPr>
          <w:rFonts w:hint="eastAsia" w:ascii="仿宋_GB2312" w:eastAsia="仿宋_GB2312"/>
          <w:sz w:val="32"/>
          <w:szCs w:val="32"/>
          <w:highlight w:val="none"/>
          <w:lang w:val="zh-CN" w:eastAsia="zh-CN"/>
        </w:rPr>
        <w:t>0.00万元，</w:t>
      </w:r>
      <w:r>
        <w:rPr>
          <w:rFonts w:hint="eastAsia" w:ascii="仿宋_GB2312" w:eastAsia="仿宋_GB2312"/>
          <w:sz w:val="32"/>
          <w:szCs w:val="32"/>
          <w:highlight w:val="none"/>
          <w:lang w:val="en-US" w:eastAsia="zh-CN"/>
        </w:rPr>
        <w:t>比上年</w:t>
      </w:r>
      <w:r>
        <w:rPr>
          <w:rFonts w:hint="eastAsia" w:ascii="仿宋_GB2312" w:eastAsia="仿宋_GB2312"/>
          <w:sz w:val="32"/>
          <w:szCs w:val="32"/>
          <w:highlight w:val="none"/>
          <w:lang w:val="zh-CN" w:eastAsia="zh-CN"/>
        </w:rPr>
        <w:t>减少1.20万元，下降100.00%，主要原因是：本年度未安排“三公”经费。其中：因公出国（境）费支出0.00万元，占0.00%，比上年增加0.00万元，增长0.00%，主要原因是：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highlight w:val="none"/>
          <w:lang w:val="zh-CN" w:eastAsia="zh-CN"/>
        </w:rPr>
        <w:t>；公务用车购置及运行维护费支出0.00万元，占0.00%，比上年减少1.20万元，下降100.00%，主要原因是：我单位本年度未安排公务用车购置及运行维护费；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具体情况如下：</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highlight w:val="none"/>
          <w:lang w:val="zh-CN" w:eastAsia="zh-CN"/>
        </w:rPr>
        <w:t>。单位全年安排的因公出国（境）团组0个，因公出国（境）0人次。</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无公务用车运行维护费开支</w:t>
      </w:r>
      <w:r>
        <w:rPr>
          <w:rFonts w:hint="eastAsia" w:ascii="仿宋_GB2312" w:eastAsia="仿宋_GB2312"/>
          <w:sz w:val="32"/>
          <w:szCs w:val="32"/>
          <w:highlight w:val="none"/>
          <w:lang w:val="zh-CN" w:eastAsia="zh-CN"/>
        </w:rPr>
        <w:t>。公务用车购置数0辆，公务用车保有量0辆。国有资产占用情况</w:t>
      </w:r>
      <w:r>
        <w:rPr>
          <w:rFonts w:hint="eastAsia" w:ascii="仿宋_GB2312" w:eastAsia="仿宋_GB2312"/>
          <w:sz w:val="32"/>
          <w:szCs w:val="32"/>
          <w:highlight w:val="none"/>
          <w:lang w:val="en-US" w:eastAsia="zh-CN"/>
        </w:rPr>
        <w:t>中固定资产车辆</w:t>
      </w:r>
      <w:r>
        <w:rPr>
          <w:rFonts w:hint="eastAsia" w:ascii="仿宋_GB2312" w:eastAsia="仿宋_GB2312"/>
          <w:sz w:val="32"/>
          <w:szCs w:val="32"/>
          <w:highlight w:val="none"/>
          <w:lang w:val="zh-CN" w:eastAsia="zh-CN"/>
        </w:rPr>
        <w:t>0辆，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lang w:val="zh-CN" w:eastAsia="zh-CN"/>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val="zh-CN" w:eastAsia="zh-CN"/>
        </w:rPr>
        <w:t>原因是：无差异。</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highlight w:val="none"/>
          <w:lang w:val="zh-CN" w:eastAsia="zh-CN"/>
        </w:rPr>
        <w:t>。单位全年安排的国内公务接待0批次，0人次。</w:t>
      </w:r>
    </w:p>
    <w:p>
      <w:pPr>
        <w:widowControl w:val="0"/>
        <w:wordWrap/>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与</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预算相比</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val="zh-CN" w:eastAsia="zh-CN"/>
        </w:rPr>
        <w:t>财政拨款“三公”经费支出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预算数0.00万元，决算数0.00万元，预决算差异率0.00%，主要原因是：我单位本年度未安排“三公”经费。其中：因公出国（境）费</w:t>
      </w:r>
      <w:r>
        <w:rPr>
          <w:rFonts w:hint="eastAsia" w:ascii="仿宋_GB2312" w:eastAsia="仿宋_GB2312"/>
          <w:sz w:val="32"/>
          <w:szCs w:val="32"/>
          <w:highlight w:val="none"/>
          <w:lang w:val="en-US" w:eastAsia="zh-CN"/>
        </w:rPr>
        <w:t>全年预算数</w:t>
      </w:r>
      <w:r>
        <w:rPr>
          <w:rFonts w:hint="eastAsia" w:ascii="仿宋_GB2312" w:eastAsia="仿宋_GB2312"/>
          <w:sz w:val="32"/>
          <w:szCs w:val="32"/>
          <w:highlight w:val="none"/>
          <w:lang w:val="zh-CN" w:eastAsia="zh-CN"/>
        </w:rPr>
        <w:t>0.00万元，决算数0.00万元，预决算差异率0.00%，主要原因是：我单位无公出国（境）费；公务用车购置费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预算数0.00万元，决算数0.00万元，预决算差异率0.00%，主要原因是：我单位无公务用车运行费；公务接待费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预算数0.00万元，决算数0.00万元，预决算差异率0.00%，主要原因是：我单位无公务接待费。</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8" w:name="_Toc7927"/>
      <w:bookmarkStart w:id="19" w:name="_Toc5810"/>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、政府性基金预算财政拨款收入支出决算情况说明</w:t>
      </w:r>
      <w:bookmarkEnd w:id="18"/>
      <w:bookmarkEnd w:id="19"/>
    </w:p>
    <w:p>
      <w:pPr>
        <w:widowControl w:val="0"/>
        <w:numPr>
          <w:numId w:val="0"/>
        </w:numPr>
        <w:wordWrap/>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、国有资本经营预算财政拨款收入支出决算情况说明</w:t>
      </w:r>
    </w:p>
    <w:p>
      <w:pPr>
        <w:widowControl w:val="0"/>
        <w:numPr>
          <w:numId w:val="0"/>
        </w:numPr>
        <w:wordWrap/>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0" w:name="_Toc1235"/>
      <w:bookmarkStart w:id="21"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0"/>
      <w:bookmarkEnd w:id="21"/>
    </w:p>
    <w:p>
      <w:pPr>
        <w:widowControl w:val="0"/>
        <w:wordWrap/>
        <w:adjustRightInd/>
        <w:snapToGrid/>
        <w:spacing w:line="240" w:lineRule="auto"/>
        <w:ind w:firstLine="640" w:firstLineChars="200"/>
        <w:jc w:val="left"/>
        <w:textAlignment w:val="auto"/>
        <w:outlineLvl w:val="2"/>
        <w:rPr>
          <w:rFonts w:hint="eastAsia" w:ascii="黑体" w:hAnsi="黑体" w:eastAsia="黑体"/>
          <w:sz w:val="32"/>
          <w:szCs w:val="32"/>
          <w:highlight w:val="none"/>
        </w:rPr>
      </w:pPr>
      <w:bookmarkStart w:id="22" w:name="_Toc13105"/>
      <w:bookmarkStart w:id="23" w:name="_Toc14519"/>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2"/>
      <w:bookmarkEnd w:id="23"/>
    </w:p>
    <w:p>
      <w:pPr>
        <w:widowControl w:val="0"/>
        <w:wordWrap/>
        <w:adjustRightInd/>
        <w:snapToGrid/>
        <w:ind w:firstLine="640" w:firstLineChars="200"/>
        <w:textAlignment w:val="auto"/>
        <w:rPr>
          <w:rFonts w:hint="eastAsia" w:ascii="Times New Roman" w:hAnsi="Times New Roman" w:eastAsia="仿宋_GB2312" w:cs="Times New Roman"/>
          <w:sz w:val="32"/>
          <w:szCs w:val="32"/>
          <w:highlight w:val="none"/>
          <w:lang w:val="zh-CN" w:eastAsia="zh-CN"/>
        </w:rPr>
      </w:pPr>
      <w:bookmarkStart w:id="24" w:name="_Toc26704"/>
      <w:bookmarkStart w:id="25" w:name="_Toc227"/>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新疆维吾尔自治区审计厅机关服务中心</w:t>
      </w:r>
      <w:r>
        <w:rPr>
          <w:rFonts w:hint="eastAsia" w:ascii="Times New Roman" w:hAnsi="Times New Roman" w:eastAsia="仿宋_GB2312" w:cs="Times New Roman"/>
          <w:sz w:val="32"/>
          <w:szCs w:val="32"/>
          <w:highlight w:val="none"/>
          <w:lang w:val="zh-CN" w:eastAsia="zh-CN"/>
        </w:rPr>
        <w:t>（事业单位和企业）公用经费支出17.97万元，比上年增加1.64万元，增长10.04%，主要原因是：</w:t>
      </w:r>
      <w:r>
        <w:rPr>
          <w:rFonts w:hint="eastAsia" w:eastAsia="仿宋_GB2312" w:cs="Times New Roman"/>
          <w:sz w:val="32"/>
          <w:szCs w:val="32"/>
          <w:highlight w:val="none"/>
          <w:lang w:val="zh-CN" w:eastAsia="zh-CN"/>
        </w:rPr>
        <w:t>因审计相关</w:t>
      </w:r>
      <w:r>
        <w:rPr>
          <w:rFonts w:hint="eastAsia" w:ascii="仿宋_GB2312" w:eastAsia="仿宋_GB2312"/>
          <w:sz w:val="32"/>
          <w:szCs w:val="32"/>
          <w:highlight w:val="none"/>
          <w:lang w:eastAsia="zh-CN"/>
        </w:rPr>
        <w:t>工作安排，差旅费增加</w:t>
      </w:r>
      <w:r>
        <w:rPr>
          <w:rFonts w:hint="eastAsia" w:ascii="Times New Roman" w:hAnsi="Times New Roman" w:eastAsia="仿宋_GB2312" w:cs="Times New Roman"/>
          <w:sz w:val="32"/>
          <w:szCs w:val="32"/>
          <w:highlight w:val="none"/>
          <w:lang w:val="zh-CN" w:eastAsia="zh-CN"/>
        </w:rPr>
        <w:t>。</w:t>
      </w:r>
      <w:bookmarkStart w:id="48" w:name="_GoBack"/>
      <w:bookmarkEnd w:id="48"/>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r>
        <w:rPr>
          <w:rFonts w:hint="eastAsia" w:ascii="Times New Roman" w:hAnsi="Times New Roman" w:eastAsia="黑体" w:cs="Times New Roman"/>
          <w:sz w:val="32"/>
          <w:szCs w:val="30"/>
          <w:highlight w:val="none"/>
          <w:lang w:val="zh-CN" w:eastAsia="zh-CN"/>
        </w:rPr>
        <w:t>（二）政府采购情况</w:t>
      </w:r>
      <w:bookmarkEnd w:id="24"/>
      <w:bookmarkEnd w:id="25"/>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政府采购支出总额</w:t>
      </w:r>
      <w:r>
        <w:rPr>
          <w:rFonts w:hint="eastAsia" w:ascii="Times New Roman" w:hAnsi="Times New Roman" w:eastAsia="仿宋_GB2312" w:cs="Times New Roman"/>
          <w:sz w:val="32"/>
          <w:szCs w:val="32"/>
          <w:highlight w:val="none"/>
          <w:lang w:val="zh-CN" w:eastAsia="zh-CN"/>
        </w:rPr>
        <w:t>2.22万元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其中：政府采购货物支出2.22万元、政府采购工程支出0.00万元、政府采购服务支出0.00万元。</w:t>
      </w:r>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授予中小企业合同金额2.22万元，占政府采购支出总额的100.00</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，其中：授予小微企业合同金额2.22万元，占政府采购支出总额的100.00</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6" w:name="_Toc4591"/>
      <w:bookmarkStart w:id="27" w:name="_Toc8391"/>
      <w:r>
        <w:rPr>
          <w:rFonts w:hint="eastAsia" w:ascii="Times New Roman" w:hAnsi="Times New Roman" w:eastAsia="黑体" w:cs="Times New Roman"/>
          <w:sz w:val="32"/>
          <w:szCs w:val="30"/>
          <w:highlight w:val="none"/>
          <w:lang w:val="zh-CN" w:eastAsia="zh-CN"/>
        </w:rPr>
        <w:t>（三）国有资产占用情况说明</w:t>
      </w:r>
      <w:bookmarkEnd w:id="26"/>
      <w:bookmarkEnd w:id="27"/>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截至2023</w:t>
      </w:r>
      <w:r>
        <w:rPr>
          <w:rFonts w:hint="eastAsia" w:ascii="Times New Roman" w:hAnsi="Times New Roman" w:eastAsia="仿宋_GB2312" w:cs="Times New Roman"/>
          <w:sz w:val="32"/>
          <w:szCs w:val="32"/>
          <w:highlight w:val="none"/>
          <w:lang w:val="zh-CN" w:eastAsia="zh-CN"/>
        </w:rPr>
        <w:t>年</w:t>
      </w:r>
      <w:r>
        <w:rPr>
          <w:rFonts w:hint="eastAsia" w:ascii="Times New Roman" w:hAnsi="Times New Roman" w:eastAsia="仿宋_GB2312" w:cs="Times New Roman"/>
          <w:sz w:val="32"/>
          <w:szCs w:val="32"/>
          <w:highlight w:val="none"/>
          <w:lang w:val="en-US" w:eastAsia="zh-CN"/>
        </w:rPr>
        <w:t>12月31日</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固定资产原值</w:t>
      </w:r>
      <w:r>
        <w:rPr>
          <w:rFonts w:hint="eastAsia" w:ascii="Times New Roman" w:hAnsi="Times New Roman" w:eastAsia="仿宋_GB2312" w:cs="Times New Roman"/>
          <w:sz w:val="32"/>
          <w:szCs w:val="32"/>
          <w:highlight w:val="none"/>
          <w:lang w:val="zh-CN" w:eastAsia="zh-CN"/>
        </w:rPr>
        <w:t>1.31</w:t>
      </w:r>
      <w:r>
        <w:rPr>
          <w:rFonts w:hint="eastAsia" w:ascii="Times New Roman" w:hAnsi="Times New Roman" w:eastAsia="仿宋_GB2312" w:cs="Times New Roman"/>
          <w:sz w:val="32"/>
          <w:szCs w:val="32"/>
          <w:highlight w:val="none"/>
          <w:lang w:val="en-US" w:eastAsia="zh-CN"/>
        </w:rPr>
        <w:t>万元，房</w:t>
      </w:r>
      <w:r>
        <w:rPr>
          <w:rFonts w:hint="eastAsia" w:ascii="Times New Roman" w:hAnsi="Times New Roman" w:eastAsia="仿宋_GB2312" w:cs="Times New Roman"/>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sz w:val="32"/>
          <w:szCs w:val="32"/>
          <w:highlight w:val="none"/>
          <w:lang w:val="en-US" w:eastAsia="zh-CN"/>
        </w:rPr>
        <w:t>负责人</w:t>
      </w:r>
      <w:r>
        <w:rPr>
          <w:rFonts w:hint="eastAsia" w:ascii="Times New Roman" w:hAnsi="Times New Roman" w:eastAsia="仿宋_GB2312" w:cs="Times New Roman"/>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sz w:val="32"/>
          <w:szCs w:val="32"/>
          <w:highlight w:val="none"/>
          <w:lang w:val="en-US" w:eastAsia="zh-CN"/>
        </w:rPr>
        <w:t>服务</w:t>
      </w:r>
      <w:r>
        <w:rPr>
          <w:rFonts w:hint="eastAsia" w:ascii="Times New Roman" w:hAnsi="Times New Roman" w:eastAsia="仿宋_GB2312" w:cs="Times New Roman"/>
          <w:sz w:val="32"/>
          <w:szCs w:val="32"/>
          <w:highlight w:val="none"/>
          <w:lang w:val="zh-CN" w:eastAsia="zh-CN"/>
        </w:rPr>
        <w:t>用车0辆、其他用车0辆，其他用车主要是：</w:t>
      </w:r>
      <w:r>
        <w:rPr>
          <w:rFonts w:hint="eastAsia" w:eastAsia="仿宋_GB2312" w:cs="Times New Roman"/>
          <w:sz w:val="32"/>
          <w:szCs w:val="32"/>
          <w:highlight w:val="none"/>
          <w:lang w:val="zh-CN" w:eastAsia="zh-CN"/>
        </w:rPr>
        <w:t>无</w:t>
      </w:r>
      <w:r>
        <w:rPr>
          <w:rFonts w:hint="eastAsia" w:ascii="Times New Roman" w:hAnsi="Times New Roman" w:eastAsia="仿宋_GB2312" w:cs="Times New Roman"/>
          <w:sz w:val="32"/>
          <w:szCs w:val="32"/>
          <w:highlight w:val="none"/>
          <w:lang w:val="zh-CN" w:eastAsia="zh-CN"/>
        </w:rPr>
        <w:t>其他用车；单价100万元（含）以上设备（不含车辆）0</w:t>
      </w:r>
      <w:r>
        <w:rPr>
          <w:rFonts w:hint="eastAsia" w:ascii="Times New Roman" w:hAnsi="Times New Roman" w:eastAsia="仿宋_GB2312" w:cs="Times New Roman"/>
          <w:sz w:val="32"/>
          <w:szCs w:val="32"/>
          <w:highlight w:val="none"/>
          <w:lang w:val="en-US" w:eastAsia="zh-CN"/>
        </w:rPr>
        <w:t>台（</w:t>
      </w:r>
      <w:r>
        <w:rPr>
          <w:rFonts w:hint="eastAsia" w:ascii="Times New Roman" w:hAnsi="Times New Roman" w:eastAsia="仿宋_GB2312" w:cs="Times New Roman"/>
          <w:sz w:val="32"/>
          <w:szCs w:val="32"/>
          <w:highlight w:val="none"/>
          <w:lang w:val="zh-CN" w:eastAsia="zh-CN"/>
        </w:rPr>
        <w:t>套）。</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8" w:name="_Toc11283"/>
      <w:bookmarkStart w:id="29"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28"/>
      <w:bookmarkEnd w:id="29"/>
    </w:p>
    <w:p>
      <w:pPr>
        <w:widowControl w:val="0"/>
        <w:wordWrap/>
        <w:adjustRightInd/>
        <w:snapToGrid/>
        <w:spacing w:line="240" w:lineRule="auto"/>
        <w:ind w:firstLine="640" w:firstLineChars="200"/>
        <w:jc w:val="left"/>
        <w:textAlignment w:val="auto"/>
        <w:rPr>
          <w:rFonts w:hint="eastAsia" w:ascii="仿宋_GB2312" w:eastAsia="仿宋_GB2312"/>
          <w:sz w:val="32"/>
          <w:szCs w:val="32"/>
        </w:rPr>
      </w:pPr>
      <w:r>
        <w:rPr>
          <w:rFonts w:hint="eastAsia" w:ascii="仿宋_GB2312" w:eastAsia="仿宋_GB2312"/>
          <w:sz w:val="32"/>
          <w:szCs w:val="32"/>
          <w:highlight w:val="none"/>
          <w:lang w:eastAsia="zh-CN"/>
        </w:rPr>
        <w:t>根据预算绩效管理要求，我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2023年度预算绩效评价项目</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全年执行数0.00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w:t>
      </w:r>
      <w:r>
        <w:rPr>
          <w:rFonts w:ascii="仿宋_GB2312" w:eastAsia="仿宋_GB2312"/>
          <w:sz w:val="32"/>
          <w:szCs w:val="32"/>
        </w:rPr>
        <w:t>我单位无项目支出，仅涉及基本支出，故没有对项目进行自评</w:t>
      </w:r>
      <w:r>
        <w:rPr>
          <w:rFonts w:hint="eastAsia" w:ascii="仿宋_GB2312" w:eastAsia="仿宋_GB2312"/>
          <w:sz w:val="32"/>
          <w:szCs w:val="32"/>
        </w:rPr>
        <w:t>。</w:t>
      </w:r>
      <w:r>
        <w:rPr>
          <w:rFonts w:hint="eastAsia" w:ascii="仿宋_GB2312" w:eastAsia="仿宋_GB2312"/>
          <w:sz w:val="32"/>
          <w:szCs w:val="32"/>
          <w:highlight w:val="none"/>
          <w:lang w:eastAsia="zh-CN"/>
        </w:rPr>
        <w:t>发现的问题及原因：</w:t>
      </w:r>
      <w:r>
        <w:rPr>
          <w:rFonts w:ascii="仿宋_GB2312" w:eastAsia="仿宋_GB2312"/>
          <w:sz w:val="32"/>
          <w:szCs w:val="32"/>
        </w:rPr>
        <w:t>我单位无项目支出，仅涉及基本支出，故没有对项目进行自评</w:t>
      </w:r>
      <w:r>
        <w:rPr>
          <w:rFonts w:hint="eastAsia" w:ascii="仿宋_GB2312" w:eastAsia="仿宋_GB2312"/>
          <w:sz w:val="32"/>
          <w:szCs w:val="32"/>
          <w:highlight w:val="none"/>
          <w:lang w:eastAsia="zh-CN"/>
        </w:rPr>
        <w:t>。下一步改进措施：</w:t>
      </w:r>
      <w:r>
        <w:rPr>
          <w:rFonts w:ascii="仿宋_GB2312" w:eastAsia="仿宋_GB2312"/>
          <w:sz w:val="32"/>
          <w:szCs w:val="32"/>
        </w:rPr>
        <w:t>我单位无项目支出，仅涉及基本支出，故没有对项目进行自评</w:t>
      </w:r>
      <w:r>
        <w:rPr>
          <w:rFonts w:hint="eastAsia" w:ascii="仿宋_GB2312" w:eastAsia="仿宋_GB2312"/>
          <w:sz w:val="32"/>
          <w:szCs w:val="32"/>
        </w:rPr>
        <w:t>。</w:t>
      </w:r>
    </w:p>
    <w:p>
      <w:pPr>
        <w:widowControl w:val="0"/>
        <w:wordWrap/>
        <w:adjustRightInd/>
        <w:snapToGrid/>
        <w:spacing w:line="240" w:lineRule="auto"/>
        <w:ind w:firstLine="640" w:firstLineChars="200"/>
        <w:jc w:val="lef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widowControl w:val="0"/>
        <w:wordWrap/>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0" w:name="_Toc24143"/>
      <w:bookmarkStart w:id="31" w:name="_Toc3250"/>
      <w:r>
        <w:rPr>
          <w:rFonts w:hint="eastAsia" w:ascii="黑体" w:hAnsi="黑体" w:eastAsia="黑体"/>
          <w:sz w:val="32"/>
          <w:szCs w:val="32"/>
          <w:highlight w:val="none"/>
        </w:rPr>
        <w:br w:type="page"/>
      </w: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0"/>
      <w:bookmarkEnd w:id="31"/>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widowControl w:val="0"/>
        <w:wordWrap/>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widowControl w:val="0"/>
        <w:wordWrap/>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2" w:name="_Toc2183"/>
      <w:bookmarkStart w:id="33" w:name="_Toc6062"/>
      <w:r>
        <w:rPr>
          <w:rFonts w:hint="eastAsia" w:ascii="黑体" w:hAnsi="黑体" w:eastAsia="仿宋_GB2312" w:cs="宋体"/>
          <w:bCs/>
          <w:kern w:val="0"/>
          <w:sz w:val="32"/>
          <w:szCs w:val="32"/>
          <w:highlight w:val="none"/>
        </w:rPr>
        <w:t>一、《收入支出决算总表》</w:t>
      </w:r>
      <w:bookmarkEnd w:id="32"/>
      <w:bookmarkEnd w:id="3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4" w:name="_Toc30364"/>
      <w:bookmarkStart w:id="35" w:name="_Toc24532"/>
      <w:r>
        <w:rPr>
          <w:rFonts w:hint="eastAsia" w:ascii="黑体" w:hAnsi="黑体" w:eastAsia="仿宋_GB2312" w:cs="宋体"/>
          <w:bCs/>
          <w:kern w:val="0"/>
          <w:sz w:val="32"/>
          <w:szCs w:val="32"/>
          <w:highlight w:val="none"/>
        </w:rPr>
        <w:t>二、《收入决算表》</w:t>
      </w:r>
      <w:bookmarkEnd w:id="34"/>
      <w:bookmarkEnd w:id="3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6" w:name="_Toc21304"/>
      <w:bookmarkStart w:id="37" w:name="_Toc32434"/>
      <w:r>
        <w:rPr>
          <w:rFonts w:hint="eastAsia" w:ascii="黑体" w:hAnsi="黑体" w:eastAsia="仿宋_GB2312" w:cs="宋体"/>
          <w:bCs/>
          <w:kern w:val="0"/>
          <w:sz w:val="32"/>
          <w:szCs w:val="32"/>
          <w:highlight w:val="none"/>
        </w:rPr>
        <w:t>三、《支出决算表》</w:t>
      </w:r>
      <w:bookmarkEnd w:id="36"/>
      <w:bookmarkEnd w:id="3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8" w:name="_Toc28786"/>
      <w:bookmarkStart w:id="39" w:name="_Toc14238"/>
      <w:r>
        <w:rPr>
          <w:rFonts w:hint="eastAsia" w:ascii="黑体" w:hAnsi="黑体" w:eastAsia="仿宋_GB2312" w:cs="宋体"/>
          <w:bCs/>
          <w:kern w:val="0"/>
          <w:sz w:val="32"/>
          <w:szCs w:val="32"/>
          <w:highlight w:val="none"/>
        </w:rPr>
        <w:t>四、《财政拨款收入支出决算总表》</w:t>
      </w:r>
      <w:bookmarkEnd w:id="38"/>
      <w:bookmarkEnd w:id="39"/>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0" w:name="_Toc14869"/>
      <w:bookmarkStart w:id="41" w:name="_Toc10347"/>
      <w:r>
        <w:rPr>
          <w:rFonts w:hint="eastAsia" w:ascii="黑体" w:hAnsi="黑体" w:eastAsia="仿宋_GB2312" w:cs="宋体"/>
          <w:bCs/>
          <w:kern w:val="0"/>
          <w:sz w:val="32"/>
          <w:szCs w:val="32"/>
          <w:highlight w:val="none"/>
        </w:rPr>
        <w:t>五、《一般公共预算财政拨款支出决算表》</w:t>
      </w:r>
      <w:bookmarkEnd w:id="40"/>
      <w:bookmarkEnd w:id="41"/>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2" w:name="_Toc5626"/>
      <w:bookmarkStart w:id="43" w:name="_Toc8884"/>
      <w:r>
        <w:rPr>
          <w:rFonts w:hint="eastAsia" w:ascii="黑体" w:hAnsi="黑体" w:eastAsia="仿宋_GB2312" w:cs="宋体"/>
          <w:bCs/>
          <w:kern w:val="0"/>
          <w:sz w:val="32"/>
          <w:szCs w:val="32"/>
          <w:highlight w:val="none"/>
        </w:rPr>
        <w:t>六、《一般公共预算财政拨款基本支出决算表》</w:t>
      </w:r>
      <w:bookmarkEnd w:id="42"/>
      <w:bookmarkEnd w:id="4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29106"/>
      <w:bookmarkStart w:id="45" w:name="_Toc32663"/>
      <w:r>
        <w:rPr>
          <w:rFonts w:hint="eastAsia" w:ascii="黑体" w:hAnsi="黑体" w:eastAsia="仿宋_GB2312" w:cs="宋体"/>
          <w:bCs/>
          <w:kern w:val="0"/>
          <w:sz w:val="32"/>
          <w:szCs w:val="32"/>
          <w:highlight w:val="none"/>
        </w:rPr>
        <w:t>《财政拨款“三公”经费支出决算表》</w:t>
      </w:r>
      <w:bookmarkEnd w:id="44"/>
      <w:bookmarkEnd w:id="4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6" w:name="_Toc5453"/>
      <w:bookmarkStart w:id="47" w:name="_Toc7643"/>
      <w:r>
        <w:rPr>
          <w:rFonts w:hint="eastAsia" w:ascii="黑体" w:hAnsi="黑体" w:eastAsia="仿宋_GB2312" w:cs="宋体"/>
          <w:bCs/>
          <w:kern w:val="0"/>
          <w:sz w:val="32"/>
          <w:szCs w:val="32"/>
          <w:highlight w:val="none"/>
        </w:rPr>
        <w:t>八、《政府性基金预算财政拨款收入支出决算表》</w:t>
      </w:r>
      <w:bookmarkEnd w:id="46"/>
      <w:bookmarkEnd w:id="4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lang w:val="en-US" w:eastAsia="zh-CN"/>
        </w:rPr>
        <w:t>九</w:t>
      </w:r>
      <w:r>
        <w:rPr>
          <w:rFonts w:hint="eastAsia" w:ascii="黑体" w:hAnsi="黑体" w:eastAsia="仿宋_GB2312" w:cs="宋体"/>
          <w:bCs/>
          <w:kern w:val="0"/>
          <w:sz w:val="32"/>
          <w:szCs w:val="32"/>
          <w:highlight w:val="none"/>
        </w:rPr>
        <w:t>、《</w:t>
      </w:r>
      <w:r>
        <w:rPr>
          <w:rFonts w:hint="eastAsia" w:ascii="黑体" w:hAnsi="黑体" w:eastAsia="仿宋_GB2312" w:cs="宋体"/>
          <w:bCs/>
          <w:kern w:val="0"/>
          <w:sz w:val="32"/>
          <w:szCs w:val="32"/>
          <w:highlight w:val="none"/>
          <w:lang w:eastAsia="zh-CN"/>
        </w:rPr>
        <w:t>国有资本经营</w:t>
      </w:r>
      <w:r>
        <w:rPr>
          <w:rFonts w:hint="eastAsia" w:ascii="黑体" w:hAnsi="黑体" w:eastAsia="仿宋_GB2312" w:cs="宋体"/>
          <w:bCs/>
          <w:kern w:val="0"/>
          <w:sz w:val="32"/>
          <w:szCs w:val="32"/>
          <w:highlight w:val="none"/>
        </w:rPr>
        <w:t>预算财政拨款收入支出决算表》</w:t>
      </w:r>
    </w:p>
    <w:p>
      <w:pPr>
        <w:widowControl w:val="0"/>
        <w:wordWrap/>
        <w:adjustRightInd/>
        <w:snapToGrid/>
        <w:spacing w:line="240" w:lineRule="auto"/>
        <w:ind w:firstLine="640" w:firstLineChars="200"/>
        <w:textAlignment w:val="auto"/>
        <w:rPr>
          <w:rFonts w:hint="eastAsia" w:ascii="仿宋_GB2312" w:eastAsia="仿宋_GB2312"/>
          <w:sz w:val="32"/>
          <w:szCs w:val="32"/>
          <w:highlight w:val="none"/>
        </w:rPr>
      </w:pP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_GBK">
    <w:altName w:val="Arial Unicode MS"/>
    <w:panose1 w:val="03000502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Times New Roman" w:hAnsi="Times New Roman" w:eastAsia="宋体" w:cs="Times New Roman"/>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jAyOGZmZWJiZjkzMTc5MjUxM2FlYjUzNmFjOTJhZmYifQ=="/>
  </w:docVars>
  <w:rsids>
    <w:rsidRoot w:val="00000000"/>
    <w:rsid w:val="00213C59"/>
    <w:rsid w:val="003210CE"/>
    <w:rsid w:val="00B70D59"/>
    <w:rsid w:val="019404F8"/>
    <w:rsid w:val="02F73D26"/>
    <w:rsid w:val="034D4FEF"/>
    <w:rsid w:val="035D1785"/>
    <w:rsid w:val="039F47CE"/>
    <w:rsid w:val="03E05CE8"/>
    <w:rsid w:val="03F973EE"/>
    <w:rsid w:val="0403085B"/>
    <w:rsid w:val="043E5B56"/>
    <w:rsid w:val="04C04386"/>
    <w:rsid w:val="04FA68C4"/>
    <w:rsid w:val="051A7AAF"/>
    <w:rsid w:val="053F5AE6"/>
    <w:rsid w:val="057C0B0F"/>
    <w:rsid w:val="05EF4B48"/>
    <w:rsid w:val="05F76ECA"/>
    <w:rsid w:val="06792773"/>
    <w:rsid w:val="07093795"/>
    <w:rsid w:val="07804730"/>
    <w:rsid w:val="079052BE"/>
    <w:rsid w:val="08422688"/>
    <w:rsid w:val="0879188F"/>
    <w:rsid w:val="08A0354D"/>
    <w:rsid w:val="08CD4C49"/>
    <w:rsid w:val="09114954"/>
    <w:rsid w:val="095A5B83"/>
    <w:rsid w:val="096466E3"/>
    <w:rsid w:val="0968304D"/>
    <w:rsid w:val="09AF3D17"/>
    <w:rsid w:val="0A7B4867"/>
    <w:rsid w:val="0A840954"/>
    <w:rsid w:val="0A9928ED"/>
    <w:rsid w:val="0B8C3ECC"/>
    <w:rsid w:val="0B9C639D"/>
    <w:rsid w:val="0BB052B2"/>
    <w:rsid w:val="0BD33FFC"/>
    <w:rsid w:val="0BE97AC1"/>
    <w:rsid w:val="0C1C4780"/>
    <w:rsid w:val="0C3613A3"/>
    <w:rsid w:val="0C5E519C"/>
    <w:rsid w:val="0C7227A7"/>
    <w:rsid w:val="0CA52EE8"/>
    <w:rsid w:val="0CBD6988"/>
    <w:rsid w:val="0CD208AC"/>
    <w:rsid w:val="0D4903E8"/>
    <w:rsid w:val="0E640559"/>
    <w:rsid w:val="0E817608"/>
    <w:rsid w:val="0F1113DA"/>
    <w:rsid w:val="0F78534A"/>
    <w:rsid w:val="0F89358A"/>
    <w:rsid w:val="0F8C6D51"/>
    <w:rsid w:val="105B0B5E"/>
    <w:rsid w:val="10E81560"/>
    <w:rsid w:val="112E58D0"/>
    <w:rsid w:val="11731CAC"/>
    <w:rsid w:val="119500A0"/>
    <w:rsid w:val="11C0733B"/>
    <w:rsid w:val="120E0809"/>
    <w:rsid w:val="127F665A"/>
    <w:rsid w:val="12F7068C"/>
    <w:rsid w:val="14B932DA"/>
    <w:rsid w:val="154C1139"/>
    <w:rsid w:val="158C5B77"/>
    <w:rsid w:val="160D1149"/>
    <w:rsid w:val="163563C0"/>
    <w:rsid w:val="164315EF"/>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C290ED5"/>
    <w:rsid w:val="1C317E4F"/>
    <w:rsid w:val="1C472464"/>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3326B7F"/>
    <w:rsid w:val="2380045B"/>
    <w:rsid w:val="23BC04D2"/>
    <w:rsid w:val="2483647E"/>
    <w:rsid w:val="24A32D55"/>
    <w:rsid w:val="25292727"/>
    <w:rsid w:val="256F7692"/>
    <w:rsid w:val="25BA2154"/>
    <w:rsid w:val="25C8773F"/>
    <w:rsid w:val="264A7253"/>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389023A"/>
    <w:rsid w:val="33CB74FA"/>
    <w:rsid w:val="343642F2"/>
    <w:rsid w:val="343F3010"/>
    <w:rsid w:val="345D0A00"/>
    <w:rsid w:val="34713BFD"/>
    <w:rsid w:val="34C13589"/>
    <w:rsid w:val="35E00D72"/>
    <w:rsid w:val="36965B9D"/>
    <w:rsid w:val="36C549FD"/>
    <w:rsid w:val="37A755DD"/>
    <w:rsid w:val="37F94FA0"/>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ED7F8A"/>
    <w:rsid w:val="40094AEF"/>
    <w:rsid w:val="405470BD"/>
    <w:rsid w:val="40794A29"/>
    <w:rsid w:val="40834692"/>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D90D14"/>
    <w:rsid w:val="48387FB0"/>
    <w:rsid w:val="483A6114"/>
    <w:rsid w:val="488727DB"/>
    <w:rsid w:val="48C354B3"/>
    <w:rsid w:val="493D58B5"/>
    <w:rsid w:val="494A7A04"/>
    <w:rsid w:val="4A2019A5"/>
    <w:rsid w:val="4A241A0B"/>
    <w:rsid w:val="4A7B2875"/>
    <w:rsid w:val="4A934476"/>
    <w:rsid w:val="4AAA220A"/>
    <w:rsid w:val="4AE12E67"/>
    <w:rsid w:val="4B4C0111"/>
    <w:rsid w:val="4BDB3730"/>
    <w:rsid w:val="4C200F7A"/>
    <w:rsid w:val="4CEE3180"/>
    <w:rsid w:val="4DBC378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B5F45"/>
    <w:rsid w:val="51025EB1"/>
    <w:rsid w:val="51141503"/>
    <w:rsid w:val="518D0ED5"/>
    <w:rsid w:val="52F647F7"/>
    <w:rsid w:val="52F92565"/>
    <w:rsid w:val="53D03877"/>
    <w:rsid w:val="542F73CA"/>
    <w:rsid w:val="5430786D"/>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D456CE"/>
    <w:rsid w:val="5C0D1F49"/>
    <w:rsid w:val="5CBB0CE2"/>
    <w:rsid w:val="5CC17177"/>
    <w:rsid w:val="5CF306BC"/>
    <w:rsid w:val="5D3F3D64"/>
    <w:rsid w:val="5D833043"/>
    <w:rsid w:val="5DD92690"/>
    <w:rsid w:val="5DDB1CFD"/>
    <w:rsid w:val="5E7E6D93"/>
    <w:rsid w:val="5ED44800"/>
    <w:rsid w:val="5F350BDE"/>
    <w:rsid w:val="5FA17648"/>
    <w:rsid w:val="5FE705CB"/>
    <w:rsid w:val="603D5080"/>
    <w:rsid w:val="60D0261B"/>
    <w:rsid w:val="61947DCA"/>
    <w:rsid w:val="61A46A97"/>
    <w:rsid w:val="61D1382F"/>
    <w:rsid w:val="61F114A2"/>
    <w:rsid w:val="62512BB4"/>
    <w:rsid w:val="625D7D1A"/>
    <w:rsid w:val="62DD7D21"/>
    <w:rsid w:val="637D586B"/>
    <w:rsid w:val="63A5560B"/>
    <w:rsid w:val="63E9091F"/>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586DCB"/>
    <w:rsid w:val="6B68175F"/>
    <w:rsid w:val="6BFD799F"/>
    <w:rsid w:val="6C4A2E5A"/>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57AE4"/>
    <w:rsid w:val="73674C62"/>
    <w:rsid w:val="73845865"/>
    <w:rsid w:val="739B6D9E"/>
    <w:rsid w:val="73BC1D76"/>
    <w:rsid w:val="73FB6630"/>
    <w:rsid w:val="748D790E"/>
    <w:rsid w:val="749820CC"/>
    <w:rsid w:val="74CE04EC"/>
    <w:rsid w:val="74E76DCD"/>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E2D96"/>
    <w:rsid w:val="791B54B2"/>
    <w:rsid w:val="795A0A34"/>
    <w:rsid w:val="79F00650"/>
    <w:rsid w:val="7A6242BF"/>
    <w:rsid w:val="7AE952D2"/>
    <w:rsid w:val="7C976D69"/>
    <w:rsid w:val="7CD752DA"/>
    <w:rsid w:val="7CDE40AB"/>
    <w:rsid w:val="7D1548B5"/>
    <w:rsid w:val="7DF84014"/>
    <w:rsid w:val="7E207949"/>
    <w:rsid w:val="7E670C75"/>
    <w:rsid w:val="7EE24272"/>
    <w:rsid w:val="7EEA6053"/>
    <w:rsid w:val="7F487C04"/>
    <w:rsid w:val="7FB45F21"/>
    <w:rsid w:val="7FE5708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6508</Words>
  <Characters>21857</Characters>
  <Lines>0</Lines>
  <Paragraphs>0</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sjt</cp:lastModifiedBy>
  <dcterms:modified xsi:type="dcterms:W3CDTF">2024-08-27T02:16:37Z</dcterms:modified>
  <dc:title>新疆维吾尔自治区审计厅机关服务中心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34A4DC6C1FEF42448F61363EE04F5F4F_13</vt:lpwstr>
  </property>
</Properties>
</file>