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697"/>
        <w:gridCol w:w="1063"/>
        <w:gridCol w:w="1384"/>
        <w:gridCol w:w="909"/>
        <w:gridCol w:w="1204"/>
        <w:gridCol w:w="1211"/>
        <w:gridCol w:w="778"/>
        <w:gridCol w:w="662"/>
        <w:gridCol w:w="1094"/>
        <w:gridCol w:w="1123"/>
        <w:gridCol w:w="1282"/>
        <w:gridCol w:w="1051"/>
        <w:gridCol w:w="1065"/>
      </w:tblGrid>
      <w:tr w14:paraId="65BD9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0D280E1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bookmarkStart w:id="0" w:name="_GoBack"/>
            <w:bookmarkEnd w:id="0"/>
            <w:r>
              <w:rPr>
                <w:rFonts w:hint="eastAsia" w:ascii="仿宋GB2312" w:hAnsi="仿宋GB2312" w:eastAsia="仿宋GB2312" w:cs="仿宋GB2312"/>
                <w:b/>
                <w:bCs/>
                <w:color w:val="000000"/>
                <w:kern w:val="0"/>
                <w:sz w:val="28"/>
                <w:szCs w:val="28"/>
                <w:lang w:val="en-US" w:eastAsia="zh-CN" w:bidi="ar"/>
              </w:rPr>
              <w:t>项目支出绩效自评表</w:t>
            </w:r>
          </w:p>
        </w:tc>
      </w:tr>
      <w:tr w14:paraId="7B4EE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80CF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(2023年度)</w:t>
            </w:r>
          </w:p>
        </w:tc>
      </w:tr>
      <w:tr w14:paraId="78D62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CB4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项目名称</w:t>
            </w:r>
          </w:p>
        </w:tc>
        <w:tc>
          <w:tcPr>
            <w:tcW w:w="45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5C40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政务服务和公共资源交易运转保障项目</w:t>
            </w:r>
          </w:p>
        </w:tc>
      </w:tr>
      <w:tr w14:paraId="391F7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856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主管部门</w:t>
            </w:r>
          </w:p>
        </w:tc>
        <w:tc>
          <w:tcPr>
            <w:tcW w:w="20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714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自治区政务服务和公共资源交易中心</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422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实施单位</w:t>
            </w:r>
          </w:p>
        </w:tc>
        <w:tc>
          <w:tcPr>
            <w:tcW w:w="19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EC4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自治区政务服务和公共资源交易中心</w:t>
            </w:r>
          </w:p>
        </w:tc>
      </w:tr>
      <w:tr w14:paraId="6038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7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205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F18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2CE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年初预算数</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291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全年预算数</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B46E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全年执行数</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19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分值</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4E7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执行率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33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得分</w:t>
            </w:r>
          </w:p>
        </w:tc>
      </w:tr>
      <w:tr w14:paraId="5D0FA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EEE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52C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9B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063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424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5601.04</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70A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033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86.5%</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806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6.62分</w:t>
            </w:r>
          </w:p>
        </w:tc>
      </w:tr>
      <w:tr w14:paraId="64F46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38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B37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6ED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683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63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229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338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34E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r>
      <w:tr w14:paraId="0F26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953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E61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1A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D02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C52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5601.04</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C52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64A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3C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r>
      <w:tr w14:paraId="13CF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EB9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2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2B0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预期目标</w:t>
            </w:r>
          </w:p>
        </w:tc>
        <w:tc>
          <w:tcPr>
            <w:tcW w:w="24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0EF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8E7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2EE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2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0A73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按照国务院和自治区相关要求，聚焦数字政府重大改革，继续深化“放管服”改革，不断优化营商环境，大力推进“一网通办”和自治区政务服务规范化、标准化建设，优化完善一体化在线政务服务平台，在统一事项办理、业务处理、数据共享、身份认证、电子证照、电子印章、物流邮寄、12345政务服务便民热线、咨询建议、制定政务服务事项地方标准、大厅管理、好差评、系统网络安全等12个方面做好平台运行保障工作，打造覆盖全区、五级联动、部门协同、安全可靠的政务服务体系，为企业和个人提供高效服务。2.常态化开展自治区公共资源交易平台安全运行保障工作，提升服务、交易、监督三方面高效协同能力。3.开展自治区本级工程建设项目招标投标、矿业权出让、国有产权交易、政府采购、医疗药品采购等公共资源交易工作，规范自治区政务服务大厅和公共资源交易大厅的日常管理，做好自治区本级采购评审保障工作。</w:t>
            </w:r>
          </w:p>
        </w:tc>
        <w:tc>
          <w:tcPr>
            <w:tcW w:w="24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30A3F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截至2023年12月31日，自治区政务服务和公共资源交易中心政务服务和公共资源交易运转保障项目主要通过完成维护一体化平台，并进行网络安全监测评估53次，系统故障修复处理在1天内完成，一体化平台系统故障率控制在1%，常态化开展自治区公共资源交易平台安全运行保障工作，提升服务、交易、监督三方面高效协同能力；完成公共资源交易项目1874个；12345政务服务便民热线完成工单处办量384057个，工单转派准确率达到99.92%，工单签入及时率达到100%，整体项目验收合格率达到85%。通过项目的实施，政务服务水平及公共资源交易服务水平得到有效的提高，工单处办满意率达到91.65%，办事人员满意度达到92%，工作人员满意度达到91.36%。</w:t>
            </w:r>
          </w:p>
        </w:tc>
      </w:tr>
      <w:tr w14:paraId="04DCA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98C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7C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EF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二级指标</w:t>
            </w: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6F9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三级指标</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1B8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权重</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7B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目标值</w:t>
            </w:r>
          </w:p>
        </w:tc>
        <w:tc>
          <w:tcPr>
            <w:tcW w:w="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A1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业绩值</w:t>
            </w:r>
          </w:p>
        </w:tc>
        <w:tc>
          <w:tcPr>
            <w:tcW w:w="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5B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完成率</w:t>
            </w:r>
          </w:p>
        </w:tc>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D7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指标得分</w:t>
            </w:r>
          </w:p>
        </w:tc>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7D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52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24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赋分规则</w:t>
            </w:r>
          </w:p>
        </w:tc>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0F0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佐证资料</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1F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D4BA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384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A5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B29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39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4FD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6CD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94F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1F4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DF2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76A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A69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B0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35F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40E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CE4F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6F6D3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74543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7698D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22BB8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7295C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6F7FC9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6D5B27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60735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2D799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329AD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4E3C2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FA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3B6639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0AA529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29767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0B09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25BF14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D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B18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一体化平台维护数量</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C31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EA6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77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26F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BE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E7F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C82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A87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EA7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75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4AE43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592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459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84B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C6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网络安全监测评估次数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75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A9C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&gt;=53次</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CCA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=53次</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48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8DA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40E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2C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1次</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ED7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31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EB4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42F24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DA8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7E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60E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BE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公共资源交易项目个数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1D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FD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&gt;=1874个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674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A12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A4F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156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45A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C6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F72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8E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9CBD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25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263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7F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A59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工单处办量</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63E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075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&gt;=384057个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4A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=384057个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86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E42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811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9A9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CC1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780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E23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423C9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C9C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726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23C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D97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在职人数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788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05B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&gt;=80人</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F9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=76人</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8CA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203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677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4E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69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78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F0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退休4人</w:t>
            </w:r>
          </w:p>
        </w:tc>
      </w:tr>
      <w:tr w14:paraId="1288D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BF0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382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E35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335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一体化平台系统故障率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9FB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E5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233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826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D60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F4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FA9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DA7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283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8FE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061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B1B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F5C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5E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265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项目验收合格率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08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5B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76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785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5A7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AD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BB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C7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9F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05D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5EBA3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7FF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0A3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D2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9B6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工单转派准确率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9C1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33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F08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=99.92%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E3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84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CE3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0F2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C5F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21D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ADC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040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CAF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AA9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BD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575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15D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ED6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&lt;=2天</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BB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=1天</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AF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43E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A8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0A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1天</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B1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C6E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3B9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A439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A71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E9F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73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A79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系统运行响应时间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13D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95C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&lt;=72小时</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B08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=1小时</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359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460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F4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10小时</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7FD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3D8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468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EEE6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1AF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84F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C6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0D5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签入及时率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25D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DDE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27A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BF5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D18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315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40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C3D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102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3EB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7E9B5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683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96A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09A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35B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公共资源交易项目评审、处理质疑、论证等成本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F18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37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&lt;=189万元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FA1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=140.14万元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D55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971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990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6F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49.23万元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2DA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D3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59F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41A3F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C21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277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DC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AB7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一体化运行维护成本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14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9E0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&lt;=3238.82万元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2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=2910.42万元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9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D2F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3C6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FB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1172.74万元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F56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AD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0E8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CDDA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C26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170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641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8F4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运转保障成本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C96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EA3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&lt;=3048.75万元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C0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=2550.48万元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288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732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CA6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C2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918.73万元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72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F79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C7F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836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4B1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D8E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B2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C6F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政务服务水平</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1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AFD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6F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0E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1A1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2F7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行业标准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BF5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979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C83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47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887F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E8A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C0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D1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24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公共资源交易服务水平</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C57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65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613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9C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D57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8D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行业标准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BE6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95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2D7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8B1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6876E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837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EDC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3D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167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工单处办满意率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B43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6A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AC2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=91.65%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DA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5F8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93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25D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7F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56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634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BF2F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37B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ACE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560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1B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办事人员满意度</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9BD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C88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7A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1BC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6D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F7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393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CE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8F5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9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C30E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91A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8A7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AF3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0D5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工作人员满意度</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56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729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BD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=91.36%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895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7A7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B9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E5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B6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8EA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3D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ECCD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38" w:type="pct"/>
            <w:gridSpan w:val="4"/>
            <w:tcBorders>
              <w:top w:val="single" w:color="000000" w:sz="4" w:space="0"/>
              <w:left w:val="single" w:color="000000" w:sz="4" w:space="0"/>
              <w:bottom w:val="single" w:color="000000" w:sz="4" w:space="0"/>
              <w:right w:val="nil"/>
            </w:tcBorders>
            <w:shd w:val="clear" w:color="auto" w:fill="auto"/>
            <w:vAlign w:val="center"/>
          </w:tcPr>
          <w:p w14:paraId="72277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总分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2BB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100分</w:t>
            </w:r>
          </w:p>
        </w:tc>
        <w:tc>
          <w:tcPr>
            <w:tcW w:w="424" w:type="pct"/>
            <w:tcBorders>
              <w:top w:val="single" w:color="000000" w:sz="4" w:space="0"/>
              <w:left w:val="nil"/>
              <w:bottom w:val="single" w:color="000000" w:sz="4" w:space="0"/>
              <w:right w:val="single" w:color="000000" w:sz="4" w:space="0"/>
            </w:tcBorders>
            <w:shd w:val="clear" w:color="auto" w:fill="auto"/>
            <w:vAlign w:val="center"/>
          </w:tcPr>
          <w:p w14:paraId="77426B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9F1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982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37A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96.25分</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337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D97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6B5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226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18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bl>
    <w:p w14:paraId="5BE6581F"/>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2B73A9E"/>
    <w:rsid w:val="0FA10587"/>
    <w:rsid w:val="16D43A56"/>
    <w:rsid w:val="4398582C"/>
    <w:rsid w:val="62B73A9E"/>
    <w:rsid w:val="76E40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link w:val="6"/>
    <w:semiHidden/>
    <w:unhideWhenUsed/>
    <w:qFormat/>
    <w:uiPriority w:val="0"/>
    <w:pPr>
      <w:keepNext/>
      <w:keepLines/>
      <w:spacing w:line="560" w:lineRule="exact"/>
      <w:ind w:firstLine="880" w:firstLineChars="200"/>
      <w:outlineLvl w:val="1"/>
    </w:pPr>
    <w:rPr>
      <w:rFonts w:ascii="Cambria" w:hAnsi="Cambria" w:eastAsia="仿宋_GB2312"/>
      <w:b/>
      <w:bCs/>
      <w:kern w:val="0"/>
      <w:sz w:val="32"/>
      <w:szCs w:val="32"/>
    </w:rPr>
  </w:style>
  <w:style w:type="paragraph" w:styleId="2">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2 字符"/>
    <w:link w:val="3"/>
    <w:qFormat/>
    <w:uiPriority w:val="99"/>
    <w:rPr>
      <w:rFonts w:ascii="Cambria" w:hAnsi="Cambria" w:eastAsia="仿宋_GB2312"/>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1617</Words>
  <Characters>1954</Characters>
  <Lines>0</Lines>
  <Paragraphs>0</Paragraphs>
  <TotalTime>0</TotalTime>
  <ScaleCrop>false</ScaleCrop>
  <LinksUpToDate>false</LinksUpToDate>
  <CharactersWithSpaces>1956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2024-08-27T10:54:00Z</dcterms:created>
  <dc:creator>谱诚咨询</dc:creator>
  <cp:lastModifiedBy>李琳</cp:lastModifiedBy>
  <dcterms:modified xsi:type="dcterms:W3CDTF">2024-08-28T10:47:10Z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15D478199FBF41598339836B7CF0D673_13</vt:lpwstr>
  </property>
</Properties>
</file>