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7F3B7">
      <w:pPr>
        <w:ind w:firstLine="0" w:firstLineChars="0"/>
        <w:jc w:val="center"/>
        <w:rPr>
          <w:rFonts w:ascii="宋体" w:hAnsi="宋体" w:eastAsia="宋体" w:cs="Arial"/>
          <w:b/>
          <w:bCs/>
          <w:sz w:val="36"/>
          <w:szCs w:val="36"/>
        </w:rPr>
      </w:pPr>
    </w:p>
    <w:p w14:paraId="16AEFE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黑体" w:eastAsia="方正小标宋简体" w:cs="宋体"/>
          <w:kern w:val="0"/>
          <w:sz w:val="44"/>
          <w:szCs w:val="44"/>
          <w:highlight w:val="none"/>
          <w:lang w:val="en-US" w:eastAsia="zh-CN"/>
        </w:rPr>
      </w:pPr>
      <w:r>
        <w:rPr>
          <w:rFonts w:hint="eastAsia" w:ascii="方正小标宋简体" w:hAnsi="黑体" w:eastAsia="方正小标宋简体" w:cs="宋体"/>
          <w:kern w:val="0"/>
          <w:sz w:val="44"/>
          <w:szCs w:val="44"/>
          <w:highlight w:val="none"/>
          <w:lang w:val="en-US" w:eastAsia="zh-CN"/>
        </w:rPr>
        <w:t>政务服务和公共资源交易运转保障项目</w:t>
      </w:r>
    </w:p>
    <w:p w14:paraId="2B5723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黑体" w:eastAsia="方正小标宋简体" w:cs="宋体"/>
          <w:kern w:val="0"/>
          <w:sz w:val="44"/>
          <w:szCs w:val="44"/>
          <w:highlight w:val="none"/>
          <w:lang w:val="en-US" w:eastAsia="zh-CN"/>
        </w:rPr>
      </w:pPr>
      <w:r>
        <w:rPr>
          <w:rFonts w:hint="eastAsia" w:ascii="方正小标宋简体" w:hAnsi="黑体" w:eastAsia="方正小标宋简体" w:cs="宋体"/>
          <w:kern w:val="0"/>
          <w:sz w:val="44"/>
          <w:szCs w:val="44"/>
          <w:highlight w:val="none"/>
          <w:lang w:val="en-US" w:eastAsia="zh-CN"/>
        </w:rPr>
        <w:t>绩效评价报告</w:t>
      </w:r>
    </w:p>
    <w:p w14:paraId="665F91AD">
      <w:pPr>
        <w:spacing w:line="240" w:lineRule="atLeast"/>
        <w:ind w:firstLine="0" w:firstLineChars="0"/>
        <w:jc w:val="center"/>
        <w:rPr>
          <w:rFonts w:ascii="宋体" w:hAnsi="宋体" w:eastAsia="宋体" w:cs="Arial"/>
          <w:b/>
          <w:bCs/>
          <w:sz w:val="36"/>
          <w:szCs w:val="36"/>
        </w:rPr>
      </w:pPr>
    </w:p>
    <w:p w14:paraId="7CF9B048">
      <w:pPr>
        <w:spacing w:line="240" w:lineRule="atLeast"/>
        <w:ind w:firstLine="0" w:firstLineChars="0"/>
        <w:jc w:val="center"/>
        <w:rPr>
          <w:rFonts w:ascii="宋体" w:hAnsi="宋体" w:eastAsia="宋体" w:cs="Arial"/>
          <w:b/>
          <w:bCs/>
          <w:sz w:val="36"/>
          <w:szCs w:val="36"/>
        </w:rPr>
      </w:pPr>
    </w:p>
    <w:p w14:paraId="644A432B">
      <w:pPr>
        <w:spacing w:line="240" w:lineRule="atLeast"/>
        <w:ind w:firstLine="0" w:firstLineChars="0"/>
        <w:jc w:val="center"/>
        <w:rPr>
          <w:rFonts w:ascii="宋体" w:hAnsi="宋体" w:eastAsia="宋体" w:cs="Arial"/>
          <w:b/>
          <w:bCs/>
          <w:sz w:val="36"/>
          <w:szCs w:val="36"/>
        </w:rPr>
      </w:pPr>
    </w:p>
    <w:p w14:paraId="116006FB">
      <w:pPr>
        <w:spacing w:line="240" w:lineRule="atLeast"/>
        <w:ind w:firstLine="0" w:firstLineChars="0"/>
        <w:jc w:val="center"/>
        <w:rPr>
          <w:rFonts w:ascii="宋体" w:hAnsi="宋体" w:eastAsia="宋体" w:cs="Arial"/>
          <w:b/>
          <w:bCs/>
          <w:sz w:val="36"/>
          <w:szCs w:val="36"/>
        </w:rPr>
      </w:pPr>
    </w:p>
    <w:p w14:paraId="7023176B">
      <w:pPr>
        <w:spacing w:line="240" w:lineRule="atLeast"/>
        <w:ind w:firstLine="0" w:firstLineChars="0"/>
        <w:jc w:val="center"/>
        <w:rPr>
          <w:rFonts w:ascii="宋体" w:hAnsi="宋体" w:eastAsia="宋体" w:cs="Arial"/>
          <w:b/>
          <w:bCs/>
          <w:sz w:val="36"/>
          <w:szCs w:val="36"/>
        </w:rPr>
      </w:pPr>
    </w:p>
    <w:p w14:paraId="23CB84A7">
      <w:pPr>
        <w:spacing w:line="240" w:lineRule="atLeast"/>
        <w:ind w:firstLine="0" w:firstLineChars="0"/>
        <w:jc w:val="center"/>
        <w:rPr>
          <w:rFonts w:ascii="宋体" w:hAnsi="宋体" w:eastAsia="宋体" w:cs="Arial"/>
          <w:b/>
          <w:bCs/>
          <w:sz w:val="36"/>
          <w:szCs w:val="36"/>
        </w:rPr>
      </w:pPr>
    </w:p>
    <w:p w14:paraId="18A1E5EE">
      <w:pPr>
        <w:ind w:firstLine="0" w:firstLineChars="0"/>
      </w:pPr>
    </w:p>
    <w:p w14:paraId="6AFFE09D">
      <w:pPr>
        <w:keepNext w:val="0"/>
        <w:keepLines w:val="0"/>
        <w:pageBreakBefore w:val="0"/>
        <w:widowControl w:val="0"/>
        <w:kinsoku/>
        <w:wordWrap/>
        <w:overflowPunct/>
        <w:topLinePunct w:val="0"/>
        <w:autoSpaceDE/>
        <w:autoSpaceDN/>
        <w:bidi w:val="0"/>
        <w:adjustRightInd/>
        <w:snapToGrid/>
        <w:spacing w:line="400" w:lineRule="exact"/>
        <w:ind w:firstLine="2040" w:firstLineChars="850"/>
        <w:jc w:val="left"/>
        <w:textAlignment w:val="auto"/>
        <w:rPr>
          <w:rFonts w:hint="eastAsia" w:ascii="黑体" w:hAnsi="黑体" w:eastAsia="黑体" w:cs="宋体"/>
          <w:color w:val="auto"/>
          <w:kern w:val="0"/>
          <w:sz w:val="24"/>
          <w:szCs w:val="24"/>
          <w:highlight w:val="none"/>
        </w:rPr>
      </w:pPr>
      <w:r>
        <w:rPr>
          <w:rFonts w:hint="eastAsia" w:ascii="黑体" w:hAnsi="黑体" w:eastAsia="黑体" w:cs="宋体"/>
          <w:color w:val="auto"/>
          <w:kern w:val="0"/>
          <w:sz w:val="24"/>
          <w:szCs w:val="24"/>
          <w:highlight w:val="none"/>
        </w:rPr>
        <w:t>项目名称：政务服务和公共资源交易运转保障项目</w:t>
      </w:r>
    </w:p>
    <w:p w14:paraId="04E433C9">
      <w:pPr>
        <w:keepNext w:val="0"/>
        <w:keepLines w:val="0"/>
        <w:pageBreakBefore w:val="0"/>
        <w:widowControl w:val="0"/>
        <w:kinsoku/>
        <w:wordWrap/>
        <w:overflowPunct/>
        <w:topLinePunct w:val="0"/>
        <w:autoSpaceDE/>
        <w:autoSpaceDN/>
        <w:bidi w:val="0"/>
        <w:adjustRightInd/>
        <w:snapToGrid/>
        <w:spacing w:line="400" w:lineRule="exact"/>
        <w:ind w:firstLine="2040" w:firstLineChars="850"/>
        <w:jc w:val="left"/>
        <w:textAlignment w:val="auto"/>
        <w:rPr>
          <w:rFonts w:hint="default" w:ascii="黑体" w:hAnsi="黑体" w:eastAsia="黑体" w:cs="宋体"/>
          <w:color w:val="auto"/>
          <w:kern w:val="0"/>
          <w:sz w:val="24"/>
          <w:szCs w:val="24"/>
          <w:highlight w:val="none"/>
          <w:lang w:val="en-US" w:eastAsia="zh-CN"/>
        </w:rPr>
      </w:pPr>
      <w:r>
        <w:rPr>
          <w:rFonts w:hint="eastAsia" w:ascii="黑体" w:hAnsi="黑体" w:eastAsia="黑体" w:cs="宋体"/>
          <w:color w:val="auto"/>
          <w:kern w:val="0"/>
          <w:sz w:val="24"/>
          <w:szCs w:val="24"/>
          <w:highlight w:val="none"/>
        </w:rPr>
        <w:t>实施单位：</w:t>
      </w:r>
      <w:r>
        <w:rPr>
          <w:rFonts w:hint="eastAsia" w:ascii="黑体" w:hAnsi="黑体" w:eastAsia="黑体" w:cs="宋体"/>
          <w:color w:val="auto"/>
          <w:kern w:val="0"/>
          <w:sz w:val="24"/>
          <w:szCs w:val="24"/>
          <w:highlight w:val="none"/>
          <w:lang w:val="en-US" w:eastAsia="zh-CN"/>
        </w:rPr>
        <w:t>自治区政务服务和公共资源交易中心</w:t>
      </w:r>
    </w:p>
    <w:p w14:paraId="7B134733">
      <w:pPr>
        <w:keepNext w:val="0"/>
        <w:keepLines w:val="0"/>
        <w:pageBreakBefore w:val="0"/>
        <w:widowControl w:val="0"/>
        <w:kinsoku/>
        <w:wordWrap/>
        <w:overflowPunct/>
        <w:topLinePunct w:val="0"/>
        <w:autoSpaceDE/>
        <w:autoSpaceDN/>
        <w:bidi w:val="0"/>
        <w:adjustRightInd/>
        <w:snapToGrid/>
        <w:spacing w:line="400" w:lineRule="exact"/>
        <w:ind w:firstLine="2040" w:firstLineChars="850"/>
        <w:jc w:val="left"/>
        <w:textAlignment w:val="auto"/>
        <w:rPr>
          <w:rFonts w:hint="eastAsia" w:ascii="黑体" w:hAnsi="黑体" w:eastAsia="黑体" w:cs="宋体"/>
          <w:color w:val="auto"/>
          <w:kern w:val="0"/>
          <w:sz w:val="24"/>
          <w:szCs w:val="24"/>
          <w:highlight w:val="none"/>
        </w:rPr>
      </w:pPr>
      <w:r>
        <w:rPr>
          <w:rFonts w:hint="eastAsia" w:ascii="黑体" w:hAnsi="黑体" w:eastAsia="黑体" w:cs="宋体"/>
          <w:color w:val="auto"/>
          <w:kern w:val="0"/>
          <w:sz w:val="24"/>
          <w:szCs w:val="24"/>
          <w:highlight w:val="none"/>
        </w:rPr>
        <w:t>主管部门：</w:t>
      </w:r>
      <w:r>
        <w:rPr>
          <w:rFonts w:hint="eastAsia" w:ascii="黑体" w:hAnsi="黑体" w:eastAsia="黑体" w:cs="宋体"/>
          <w:color w:val="auto"/>
          <w:kern w:val="0"/>
          <w:sz w:val="24"/>
          <w:szCs w:val="24"/>
          <w:highlight w:val="none"/>
          <w:lang w:val="en-US" w:eastAsia="zh-CN"/>
        </w:rPr>
        <w:t>自治区政务服务和公共资源交易中心</w:t>
      </w:r>
    </w:p>
    <w:p w14:paraId="39071FDE">
      <w:pPr>
        <w:keepNext w:val="0"/>
        <w:keepLines w:val="0"/>
        <w:pageBreakBefore w:val="0"/>
        <w:widowControl w:val="0"/>
        <w:kinsoku/>
        <w:wordWrap/>
        <w:overflowPunct/>
        <w:topLinePunct w:val="0"/>
        <w:autoSpaceDE/>
        <w:autoSpaceDN/>
        <w:bidi w:val="0"/>
        <w:adjustRightInd/>
        <w:snapToGrid/>
        <w:spacing w:line="400" w:lineRule="exact"/>
        <w:ind w:firstLine="2040" w:firstLineChars="850"/>
        <w:jc w:val="left"/>
        <w:textAlignment w:val="auto"/>
        <w:rPr>
          <w:rFonts w:hint="default" w:ascii="黑体" w:hAnsi="黑体" w:eastAsia="黑体" w:cs="宋体"/>
          <w:color w:val="auto"/>
          <w:kern w:val="0"/>
          <w:sz w:val="24"/>
          <w:szCs w:val="24"/>
          <w:highlight w:val="none"/>
          <w:lang w:val="en-US" w:eastAsia="zh-CN"/>
        </w:rPr>
      </w:pPr>
      <w:r>
        <w:rPr>
          <w:rFonts w:hint="eastAsia" w:ascii="黑体" w:hAnsi="黑体" w:eastAsia="黑体" w:cs="宋体"/>
          <w:color w:val="auto"/>
          <w:kern w:val="0"/>
          <w:sz w:val="24"/>
          <w:szCs w:val="24"/>
          <w:highlight w:val="none"/>
          <w:lang w:eastAsia="zh-CN"/>
        </w:rPr>
        <w:t>项目负责人：</w:t>
      </w:r>
      <w:r>
        <w:rPr>
          <w:rFonts w:hint="eastAsia" w:ascii="黑体" w:hAnsi="黑体" w:eastAsia="黑体" w:cs="宋体"/>
          <w:color w:val="auto"/>
          <w:kern w:val="0"/>
          <w:sz w:val="24"/>
          <w:szCs w:val="24"/>
          <w:highlight w:val="none"/>
          <w:lang w:val="en-US" w:eastAsia="zh-CN"/>
        </w:rPr>
        <w:t>杜强</w:t>
      </w:r>
    </w:p>
    <w:p w14:paraId="7C40A942">
      <w:pPr>
        <w:keepNext w:val="0"/>
        <w:keepLines w:val="0"/>
        <w:pageBreakBefore w:val="0"/>
        <w:widowControl w:val="0"/>
        <w:kinsoku/>
        <w:wordWrap/>
        <w:overflowPunct/>
        <w:topLinePunct w:val="0"/>
        <w:autoSpaceDE/>
        <w:autoSpaceDN/>
        <w:bidi w:val="0"/>
        <w:adjustRightInd/>
        <w:snapToGrid/>
        <w:spacing w:line="400" w:lineRule="exact"/>
        <w:ind w:firstLine="2040" w:firstLineChars="850"/>
        <w:jc w:val="left"/>
        <w:textAlignment w:val="auto"/>
        <w:rPr>
          <w:rFonts w:hint="default" w:ascii="黑体" w:hAnsi="黑体" w:eastAsia="黑体" w:cs="宋体"/>
          <w:color w:val="auto"/>
          <w:kern w:val="0"/>
          <w:sz w:val="24"/>
          <w:szCs w:val="24"/>
          <w:highlight w:val="none"/>
          <w:lang w:val="en-US" w:eastAsia="zh-CN"/>
        </w:rPr>
      </w:pPr>
      <w:r>
        <w:rPr>
          <w:rFonts w:hint="eastAsia" w:ascii="黑体" w:hAnsi="黑体" w:eastAsia="黑体" w:cs="宋体"/>
          <w:color w:val="auto"/>
          <w:kern w:val="0"/>
          <w:sz w:val="24"/>
          <w:szCs w:val="24"/>
          <w:highlight w:val="none"/>
          <w:lang w:eastAsia="zh-CN"/>
        </w:rPr>
        <w:t>填报时间：</w:t>
      </w:r>
      <w:r>
        <w:rPr>
          <w:rFonts w:hint="eastAsia" w:ascii="黑体" w:hAnsi="黑体" w:eastAsia="黑体" w:cs="宋体"/>
          <w:color w:val="auto"/>
          <w:kern w:val="0"/>
          <w:sz w:val="24"/>
          <w:szCs w:val="24"/>
          <w:highlight w:val="none"/>
          <w:lang w:val="en-US" w:eastAsia="zh-CN"/>
        </w:rPr>
        <w:t>2024年4月17日</w:t>
      </w:r>
    </w:p>
    <w:p w14:paraId="2319547F">
      <w:pPr>
        <w:ind w:firstLine="0" w:firstLineChars="0"/>
        <w:jc w:val="center"/>
        <w:rPr>
          <w:rFonts w:hint="eastAsia"/>
          <w:b/>
          <w:bCs/>
          <w:sz w:val="32"/>
          <w:szCs w:val="28"/>
        </w:rPr>
      </w:pPr>
    </w:p>
    <w:p w14:paraId="0F913C7E">
      <w:pPr>
        <w:jc w:val="center"/>
        <w:outlineLvl w:val="0"/>
        <w:rPr>
          <w:rFonts w:hint="eastAsia" w:ascii="宋体" w:hAnsi="宋体" w:eastAsia="宋体" w:cs="Arial"/>
          <w:b/>
          <w:bCs/>
          <w:sz w:val="36"/>
          <w:szCs w:val="36"/>
        </w:rPr>
        <w:sectPr>
          <w:pgSz w:w="11906" w:h="16838"/>
          <w:pgMar w:top="1928" w:right="1531" w:bottom="1701" w:left="1531"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520FBC90">
      <w:pPr>
        <w:pStyle w:val="10"/>
        <w:tabs>
          <w:tab w:val="right" w:leader="dot" w:pos="8844"/>
        </w:tabs>
        <w:jc w:val="center"/>
        <w:rPr>
          <w:rFonts w:hint="default" w:ascii="宋体" w:hAnsi="宋体" w:eastAsia="宋体" w:cs="宋体"/>
          <w:b/>
          <w:bCs/>
          <w:kern w:val="2"/>
          <w:sz w:val="52"/>
          <w:szCs w:val="52"/>
          <w:lang w:val="en-US" w:eastAsia="zh-CN" w:bidi="ar-SA"/>
        </w:rPr>
      </w:pPr>
      <w:r>
        <w:rPr>
          <w:rFonts w:hint="eastAsia" w:ascii="方正小标宋简体" w:hAnsi="黑体" w:eastAsia="方正小标宋简体" w:cs="宋体"/>
          <w:sz w:val="44"/>
          <w:szCs w:val="44"/>
          <w:lang w:val="en-US" w:eastAsia="zh-CN"/>
        </w:rPr>
        <w:fldChar w:fldCharType="begin"/>
      </w:r>
      <w:r>
        <w:rPr>
          <w:rFonts w:hint="eastAsia" w:ascii="方正小标宋简体" w:hAnsi="黑体" w:eastAsia="方正小标宋简体" w:cs="宋体"/>
          <w:sz w:val="44"/>
          <w:szCs w:val="44"/>
          <w:lang w:val="en-US" w:eastAsia="zh-CN"/>
        </w:rPr>
        <w:instrText xml:space="preserve">TOC \o "1-2" \h \u </w:instrText>
      </w:r>
      <w:r>
        <w:rPr>
          <w:rFonts w:hint="eastAsia" w:ascii="方正小标宋简体" w:hAnsi="黑体" w:eastAsia="方正小标宋简体" w:cs="宋体"/>
          <w:sz w:val="44"/>
          <w:szCs w:val="44"/>
          <w:lang w:val="en-US" w:eastAsia="zh-CN"/>
        </w:rPr>
        <w:fldChar w:fldCharType="separate"/>
      </w:r>
      <w:r>
        <w:rPr>
          <w:rFonts w:hint="eastAsia" w:ascii="宋体" w:hAnsi="宋体" w:eastAsia="宋体" w:cs="宋体"/>
          <w:b/>
          <w:bCs/>
          <w:kern w:val="2"/>
          <w:sz w:val="52"/>
          <w:szCs w:val="52"/>
          <w:lang w:val="en-US" w:eastAsia="zh-CN" w:bidi="ar-SA"/>
        </w:rPr>
        <w:t>目录</w:t>
      </w:r>
    </w:p>
    <w:p w14:paraId="31E19D18">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_Toc5726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b w:val="0"/>
          <w:bCs w:val="0"/>
          <w:kern w:val="44"/>
          <w:sz w:val="28"/>
          <w:szCs w:val="28"/>
        </w:rPr>
        <w:t>一、基本情况</w:t>
      </w:r>
      <w:r>
        <w:tab/>
      </w:r>
      <w:r>
        <w:fldChar w:fldCharType="begin"/>
      </w:r>
      <w:r>
        <w:instrText xml:space="preserve"> PAGEREF _Toc5726 \h </w:instrText>
      </w:r>
      <w:r>
        <w:fldChar w:fldCharType="separate"/>
      </w:r>
      <w:r>
        <w:t>1</w:t>
      </w:r>
      <w:r>
        <w:fldChar w:fldCharType="end"/>
      </w:r>
      <w:r>
        <w:rPr>
          <w:rFonts w:hint="eastAsia" w:ascii="方正小标宋简体" w:hAnsi="黑体" w:eastAsia="方正小标宋简体" w:cs="宋体"/>
          <w:szCs w:val="44"/>
          <w:lang w:val="en-US" w:eastAsia="zh-CN"/>
        </w:rPr>
        <w:fldChar w:fldCharType="end"/>
      </w:r>
    </w:p>
    <w:p w14:paraId="42288729">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_Toc14544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（一）项目概况</w:t>
      </w:r>
      <w:r>
        <w:tab/>
      </w:r>
      <w:r>
        <w:fldChar w:fldCharType="begin"/>
      </w:r>
      <w:r>
        <w:instrText xml:space="preserve"> PAGEREF _Toc14544 \h </w:instrText>
      </w:r>
      <w:r>
        <w:fldChar w:fldCharType="separate"/>
      </w:r>
      <w:r>
        <w:t>1</w:t>
      </w:r>
      <w:r>
        <w:fldChar w:fldCharType="end"/>
      </w:r>
      <w:r>
        <w:rPr>
          <w:rFonts w:hint="eastAsia" w:ascii="方正小标宋简体" w:hAnsi="黑体" w:eastAsia="方正小标宋简体" w:cs="宋体"/>
          <w:szCs w:val="44"/>
          <w:lang w:val="en-US" w:eastAsia="zh-CN"/>
        </w:rPr>
        <w:fldChar w:fldCharType="end"/>
      </w:r>
    </w:p>
    <w:p w14:paraId="2E3832B0">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_Toc29081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（二）项目绩效目标</w:t>
      </w:r>
      <w:r>
        <w:tab/>
      </w:r>
      <w:r>
        <w:fldChar w:fldCharType="begin"/>
      </w:r>
      <w:r>
        <w:instrText xml:space="preserve"> PAGEREF _Toc29081 \h </w:instrText>
      </w:r>
      <w:r>
        <w:fldChar w:fldCharType="separate"/>
      </w:r>
      <w:r>
        <w:t>4</w:t>
      </w:r>
      <w:r>
        <w:fldChar w:fldCharType="end"/>
      </w:r>
      <w:r>
        <w:rPr>
          <w:rFonts w:hint="eastAsia" w:ascii="方正小标宋简体" w:hAnsi="黑体" w:eastAsia="方正小标宋简体" w:cs="宋体"/>
          <w:szCs w:val="44"/>
          <w:lang w:val="en-US" w:eastAsia="zh-CN"/>
        </w:rPr>
        <w:fldChar w:fldCharType="end"/>
      </w:r>
    </w:p>
    <w:p w14:paraId="3831FF3D">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_Toc3600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b w:val="0"/>
          <w:bCs w:val="0"/>
          <w:kern w:val="44"/>
          <w:sz w:val="28"/>
          <w:szCs w:val="28"/>
        </w:rPr>
        <w:t>二、绩效评价工作开展情况</w:t>
      </w:r>
      <w:r>
        <w:tab/>
      </w:r>
      <w:r>
        <w:fldChar w:fldCharType="begin"/>
      </w:r>
      <w:r>
        <w:instrText xml:space="preserve"> PAGEREF _Toc3600 \h </w:instrText>
      </w:r>
      <w:r>
        <w:fldChar w:fldCharType="separate"/>
      </w:r>
      <w:r>
        <w:t>7</w:t>
      </w:r>
      <w:r>
        <w:fldChar w:fldCharType="end"/>
      </w:r>
      <w:r>
        <w:rPr>
          <w:rFonts w:hint="eastAsia" w:ascii="方正小标宋简体" w:hAnsi="黑体" w:eastAsia="方正小标宋简体" w:cs="宋体"/>
          <w:szCs w:val="44"/>
          <w:lang w:val="en-US" w:eastAsia="zh-CN"/>
        </w:rPr>
        <w:fldChar w:fldCharType="end"/>
      </w:r>
    </w:p>
    <w:p w14:paraId="7164697E">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_Toc11948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（一）绩效评价目的、对象和范围</w:t>
      </w:r>
      <w:r>
        <w:tab/>
      </w:r>
      <w:r>
        <w:fldChar w:fldCharType="begin"/>
      </w:r>
      <w:r>
        <w:instrText xml:space="preserve"> PAGEREF _Toc11948 \h </w:instrText>
      </w:r>
      <w:r>
        <w:fldChar w:fldCharType="separate"/>
      </w:r>
      <w:r>
        <w:t>7</w:t>
      </w:r>
      <w:r>
        <w:fldChar w:fldCharType="end"/>
      </w:r>
      <w:r>
        <w:rPr>
          <w:rFonts w:hint="eastAsia" w:ascii="方正小标宋简体" w:hAnsi="黑体" w:eastAsia="方正小标宋简体" w:cs="宋体"/>
          <w:szCs w:val="44"/>
          <w:lang w:val="en-US" w:eastAsia="zh-CN"/>
        </w:rPr>
        <w:fldChar w:fldCharType="end"/>
      </w:r>
    </w:p>
    <w:p w14:paraId="6900EA41">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_Toc19334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（二）绩效评价原则、评价指标体系、评价方法、评价标准</w:t>
      </w:r>
      <w:r>
        <w:tab/>
      </w:r>
      <w:r>
        <w:fldChar w:fldCharType="begin"/>
      </w:r>
      <w:r>
        <w:instrText xml:space="preserve"> PAGEREF _Toc19334 \h </w:instrText>
      </w:r>
      <w:r>
        <w:fldChar w:fldCharType="separate"/>
      </w:r>
      <w:r>
        <w:t>8</w:t>
      </w:r>
      <w:r>
        <w:fldChar w:fldCharType="end"/>
      </w:r>
      <w:r>
        <w:rPr>
          <w:rFonts w:hint="eastAsia" w:ascii="方正小标宋简体" w:hAnsi="黑体" w:eastAsia="方正小标宋简体" w:cs="宋体"/>
          <w:szCs w:val="44"/>
          <w:lang w:val="en-US" w:eastAsia="zh-CN"/>
        </w:rPr>
        <w:fldChar w:fldCharType="end"/>
      </w:r>
    </w:p>
    <w:p w14:paraId="737F4C79">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_Toc5850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（三）绩效评价工作过程</w:t>
      </w:r>
      <w:r>
        <w:tab/>
      </w:r>
      <w:r>
        <w:fldChar w:fldCharType="begin"/>
      </w:r>
      <w:r>
        <w:instrText xml:space="preserve"> PAGEREF _Toc5850 \h </w:instrText>
      </w:r>
      <w:r>
        <w:fldChar w:fldCharType="separate"/>
      </w:r>
      <w:r>
        <w:t>14</w:t>
      </w:r>
      <w:r>
        <w:fldChar w:fldCharType="end"/>
      </w:r>
      <w:r>
        <w:rPr>
          <w:rFonts w:hint="eastAsia" w:ascii="方正小标宋简体" w:hAnsi="黑体" w:eastAsia="方正小标宋简体" w:cs="宋体"/>
          <w:szCs w:val="44"/>
          <w:lang w:val="en-US" w:eastAsia="zh-CN"/>
        </w:rPr>
        <w:fldChar w:fldCharType="end"/>
      </w:r>
    </w:p>
    <w:p w14:paraId="421AA90F">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_Toc13667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b w:val="0"/>
          <w:bCs w:val="0"/>
          <w:kern w:val="44"/>
          <w:sz w:val="28"/>
          <w:szCs w:val="28"/>
        </w:rPr>
        <w:t>三、综合评价情况及评价结论</w:t>
      </w:r>
      <w:r>
        <w:tab/>
      </w:r>
      <w:r>
        <w:fldChar w:fldCharType="begin"/>
      </w:r>
      <w:r>
        <w:instrText xml:space="preserve"> PAGEREF _Toc13667 \h </w:instrText>
      </w:r>
      <w:r>
        <w:fldChar w:fldCharType="separate"/>
      </w:r>
      <w:r>
        <w:t>16</w:t>
      </w:r>
      <w:r>
        <w:fldChar w:fldCharType="end"/>
      </w:r>
      <w:r>
        <w:rPr>
          <w:rFonts w:hint="eastAsia" w:ascii="方正小标宋简体" w:hAnsi="黑体" w:eastAsia="方正小标宋简体" w:cs="宋体"/>
          <w:szCs w:val="44"/>
          <w:lang w:val="en-US" w:eastAsia="zh-CN"/>
        </w:rPr>
        <w:fldChar w:fldCharType="end"/>
      </w:r>
    </w:p>
    <w:p w14:paraId="3742FEA1">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_Toc26025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b w:val="0"/>
          <w:bCs w:val="0"/>
          <w:kern w:val="44"/>
          <w:sz w:val="28"/>
          <w:szCs w:val="28"/>
        </w:rPr>
        <w:t>四、绩效评价指标分析</w:t>
      </w:r>
      <w:r>
        <w:tab/>
      </w:r>
      <w:r>
        <w:fldChar w:fldCharType="begin"/>
      </w:r>
      <w:r>
        <w:instrText xml:space="preserve"> PAGEREF _Toc26025 \h </w:instrText>
      </w:r>
      <w:r>
        <w:fldChar w:fldCharType="separate"/>
      </w:r>
      <w:r>
        <w:t>16</w:t>
      </w:r>
      <w:r>
        <w:fldChar w:fldCharType="end"/>
      </w:r>
      <w:r>
        <w:rPr>
          <w:rFonts w:hint="eastAsia" w:ascii="方正小标宋简体" w:hAnsi="黑体" w:eastAsia="方正小标宋简体" w:cs="宋体"/>
          <w:szCs w:val="44"/>
          <w:lang w:val="en-US" w:eastAsia="zh-CN"/>
        </w:rPr>
        <w:fldChar w:fldCharType="end"/>
      </w:r>
    </w:p>
    <w:p w14:paraId="38FAFA2A">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_Toc18657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（一）项目决策情况</w:t>
      </w:r>
      <w:r>
        <w:tab/>
      </w:r>
      <w:r>
        <w:fldChar w:fldCharType="begin"/>
      </w:r>
      <w:r>
        <w:instrText xml:space="preserve"> PAGEREF _Toc18657 \h </w:instrText>
      </w:r>
      <w:r>
        <w:fldChar w:fldCharType="separate"/>
      </w:r>
      <w:r>
        <w:t>16</w:t>
      </w:r>
      <w:r>
        <w:fldChar w:fldCharType="end"/>
      </w:r>
      <w:r>
        <w:rPr>
          <w:rFonts w:hint="eastAsia" w:ascii="方正小标宋简体" w:hAnsi="黑体" w:eastAsia="方正小标宋简体" w:cs="宋体"/>
          <w:szCs w:val="44"/>
          <w:lang w:val="en-US" w:eastAsia="zh-CN"/>
        </w:rPr>
        <w:fldChar w:fldCharType="end"/>
      </w:r>
    </w:p>
    <w:p w14:paraId="10FCE1C4">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_Toc15375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（二）项目过程情况</w:t>
      </w:r>
      <w:r>
        <w:tab/>
      </w:r>
      <w:r>
        <w:fldChar w:fldCharType="begin"/>
      </w:r>
      <w:r>
        <w:instrText xml:space="preserve"> PAGEREF _Toc15375 \h </w:instrText>
      </w:r>
      <w:r>
        <w:fldChar w:fldCharType="separate"/>
      </w:r>
      <w:r>
        <w:t>21</w:t>
      </w:r>
      <w:r>
        <w:fldChar w:fldCharType="end"/>
      </w:r>
      <w:r>
        <w:rPr>
          <w:rFonts w:hint="eastAsia" w:ascii="方正小标宋简体" w:hAnsi="黑体" w:eastAsia="方正小标宋简体" w:cs="宋体"/>
          <w:szCs w:val="44"/>
          <w:lang w:val="en-US" w:eastAsia="zh-CN"/>
        </w:rPr>
        <w:fldChar w:fldCharType="end"/>
      </w:r>
    </w:p>
    <w:p w14:paraId="60B5A1CF">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_Toc24890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（三）项目产出情况</w:t>
      </w:r>
      <w:r>
        <w:tab/>
      </w:r>
      <w:r>
        <w:fldChar w:fldCharType="begin"/>
      </w:r>
      <w:r>
        <w:instrText xml:space="preserve"> PAGEREF _Toc24890 \h </w:instrText>
      </w:r>
      <w:r>
        <w:fldChar w:fldCharType="separate"/>
      </w:r>
      <w:r>
        <w:t>23</w:t>
      </w:r>
      <w:r>
        <w:fldChar w:fldCharType="end"/>
      </w:r>
      <w:r>
        <w:rPr>
          <w:rFonts w:hint="eastAsia" w:ascii="方正小标宋简体" w:hAnsi="黑体" w:eastAsia="方正小标宋简体" w:cs="宋体"/>
          <w:szCs w:val="44"/>
          <w:lang w:val="en-US" w:eastAsia="zh-CN"/>
        </w:rPr>
        <w:fldChar w:fldCharType="end"/>
      </w:r>
    </w:p>
    <w:p w14:paraId="03CC35ED">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_Toc13832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en-US" w:eastAsia="zh-CN" w:bidi="ar-SA"/>
        </w:rPr>
        <w:t>（四）项目效益情况</w:t>
      </w:r>
      <w:r>
        <w:tab/>
      </w:r>
      <w:r>
        <w:fldChar w:fldCharType="begin"/>
      </w:r>
      <w:r>
        <w:instrText xml:space="preserve"> PAGEREF _Toc13832 \h </w:instrText>
      </w:r>
      <w:r>
        <w:fldChar w:fldCharType="separate"/>
      </w:r>
      <w:r>
        <w:t>26</w:t>
      </w:r>
      <w:r>
        <w:fldChar w:fldCharType="end"/>
      </w:r>
      <w:r>
        <w:rPr>
          <w:rFonts w:hint="eastAsia" w:ascii="方正小标宋简体" w:hAnsi="黑体" w:eastAsia="方正小标宋简体" w:cs="宋体"/>
          <w:szCs w:val="44"/>
          <w:lang w:val="en-US" w:eastAsia="zh-CN"/>
        </w:rPr>
        <w:fldChar w:fldCharType="end"/>
      </w:r>
    </w:p>
    <w:p w14:paraId="072A6AAA">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_Toc26973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b w:val="0"/>
          <w:bCs w:val="0"/>
          <w:kern w:val="44"/>
          <w:sz w:val="28"/>
          <w:szCs w:val="28"/>
        </w:rPr>
        <w:t>五、主要经验及做法、存在的问题及原因分析</w:t>
      </w:r>
      <w:r>
        <w:tab/>
      </w:r>
      <w:r>
        <w:fldChar w:fldCharType="begin"/>
      </w:r>
      <w:r>
        <w:instrText xml:space="preserve"> PAGEREF _Toc26973 \h </w:instrText>
      </w:r>
      <w:r>
        <w:fldChar w:fldCharType="separate"/>
      </w:r>
      <w:r>
        <w:t>28</w:t>
      </w:r>
      <w:r>
        <w:fldChar w:fldCharType="end"/>
      </w:r>
      <w:r>
        <w:rPr>
          <w:rFonts w:hint="eastAsia" w:ascii="方正小标宋简体" w:hAnsi="黑体" w:eastAsia="方正小标宋简体" w:cs="宋体"/>
          <w:szCs w:val="44"/>
          <w:lang w:val="en-US" w:eastAsia="zh-CN"/>
        </w:rPr>
        <w:fldChar w:fldCharType="end"/>
      </w:r>
    </w:p>
    <w:p w14:paraId="75E1FBD4">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_Toc32271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zh-TW" w:eastAsia="zh-CN" w:bidi="ar-SA"/>
        </w:rPr>
        <w:t>（</w:t>
      </w:r>
      <w:r>
        <w:rPr>
          <w:rFonts w:hint="eastAsia" w:ascii="楷体_GB2312" w:hAnsi="Times New Roman" w:eastAsia="楷体_GB2312" w:cs="宋体"/>
          <w:bCs/>
          <w:spacing w:val="6"/>
          <w:kern w:val="2"/>
          <w:sz w:val="28"/>
          <w:szCs w:val="28"/>
          <w:highlight w:val="none"/>
          <w:lang w:val="en-US" w:eastAsia="zh-CN" w:bidi="ar-SA"/>
        </w:rPr>
        <w:t>一</w:t>
      </w:r>
      <w:r>
        <w:rPr>
          <w:rFonts w:hint="eastAsia" w:ascii="楷体_GB2312" w:hAnsi="Times New Roman" w:eastAsia="楷体_GB2312" w:cs="宋体"/>
          <w:bCs/>
          <w:spacing w:val="6"/>
          <w:kern w:val="2"/>
          <w:sz w:val="28"/>
          <w:szCs w:val="28"/>
          <w:highlight w:val="none"/>
          <w:lang w:val="zh-TW" w:eastAsia="zh-CN" w:bidi="ar-SA"/>
        </w:rPr>
        <w:t>）主要经验及做法</w:t>
      </w:r>
      <w:r>
        <w:tab/>
      </w:r>
      <w:r>
        <w:fldChar w:fldCharType="begin"/>
      </w:r>
      <w:r>
        <w:instrText xml:space="preserve"> PAGEREF _Toc32271 \h </w:instrText>
      </w:r>
      <w:r>
        <w:fldChar w:fldCharType="separate"/>
      </w:r>
      <w:r>
        <w:t>28</w:t>
      </w:r>
      <w:r>
        <w:fldChar w:fldCharType="end"/>
      </w:r>
      <w:r>
        <w:rPr>
          <w:rFonts w:hint="eastAsia" w:ascii="方正小标宋简体" w:hAnsi="黑体" w:eastAsia="方正小标宋简体" w:cs="宋体"/>
          <w:szCs w:val="44"/>
          <w:lang w:val="en-US" w:eastAsia="zh-CN"/>
        </w:rPr>
        <w:fldChar w:fldCharType="end"/>
      </w:r>
    </w:p>
    <w:p w14:paraId="44FD7878">
      <w:pPr>
        <w:pStyle w:val="11"/>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_Toc10267 </w:instrText>
      </w:r>
      <w:r>
        <w:rPr>
          <w:rFonts w:hint="eastAsia" w:ascii="方正小标宋简体" w:hAnsi="黑体" w:eastAsia="方正小标宋简体" w:cs="宋体"/>
          <w:szCs w:val="44"/>
          <w:lang w:val="en-US" w:eastAsia="zh-CN"/>
        </w:rPr>
        <w:fldChar w:fldCharType="separate"/>
      </w:r>
      <w:r>
        <w:rPr>
          <w:rFonts w:hint="eastAsia" w:ascii="楷体_GB2312" w:hAnsi="Times New Roman" w:eastAsia="楷体_GB2312" w:cs="宋体"/>
          <w:bCs/>
          <w:spacing w:val="6"/>
          <w:kern w:val="2"/>
          <w:sz w:val="28"/>
          <w:szCs w:val="28"/>
          <w:highlight w:val="none"/>
          <w:lang w:val="zh-TW" w:eastAsia="zh-CN" w:bidi="ar-SA"/>
        </w:rPr>
        <w:t>（</w:t>
      </w:r>
      <w:r>
        <w:rPr>
          <w:rFonts w:hint="eastAsia" w:ascii="楷体_GB2312" w:hAnsi="Times New Roman" w:eastAsia="楷体_GB2312" w:cs="宋体"/>
          <w:bCs/>
          <w:spacing w:val="6"/>
          <w:kern w:val="2"/>
          <w:sz w:val="28"/>
          <w:szCs w:val="28"/>
          <w:highlight w:val="none"/>
          <w:lang w:val="en-US" w:eastAsia="zh-CN" w:bidi="ar-SA"/>
        </w:rPr>
        <w:t>二</w:t>
      </w:r>
      <w:r>
        <w:rPr>
          <w:rFonts w:hint="eastAsia" w:ascii="楷体_GB2312" w:hAnsi="Times New Roman" w:eastAsia="楷体_GB2312" w:cs="宋体"/>
          <w:bCs/>
          <w:spacing w:val="6"/>
          <w:kern w:val="2"/>
          <w:sz w:val="28"/>
          <w:szCs w:val="28"/>
          <w:highlight w:val="none"/>
          <w:lang w:val="zh-TW" w:eastAsia="zh-CN" w:bidi="ar-SA"/>
        </w:rPr>
        <w:t>）存在的问题及原因分析</w:t>
      </w:r>
      <w:r>
        <w:tab/>
      </w:r>
      <w:r>
        <w:fldChar w:fldCharType="begin"/>
      </w:r>
      <w:r>
        <w:instrText xml:space="preserve"> PAGEREF _Toc10267 \h </w:instrText>
      </w:r>
      <w:r>
        <w:fldChar w:fldCharType="separate"/>
      </w:r>
      <w:r>
        <w:t>29</w:t>
      </w:r>
      <w:r>
        <w:fldChar w:fldCharType="end"/>
      </w:r>
      <w:r>
        <w:rPr>
          <w:rFonts w:hint="eastAsia" w:ascii="方正小标宋简体" w:hAnsi="黑体" w:eastAsia="方正小标宋简体" w:cs="宋体"/>
          <w:szCs w:val="44"/>
          <w:lang w:val="en-US" w:eastAsia="zh-CN"/>
        </w:rPr>
        <w:fldChar w:fldCharType="end"/>
      </w:r>
    </w:p>
    <w:p w14:paraId="739938F8">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_Toc21761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b w:val="0"/>
          <w:bCs w:val="0"/>
          <w:kern w:val="44"/>
          <w:sz w:val="28"/>
          <w:szCs w:val="28"/>
        </w:rPr>
        <w:t>六、有关建议</w:t>
      </w:r>
      <w:r>
        <w:tab/>
      </w:r>
      <w:r>
        <w:fldChar w:fldCharType="begin"/>
      </w:r>
      <w:r>
        <w:instrText xml:space="preserve"> PAGEREF _Toc21761 \h </w:instrText>
      </w:r>
      <w:r>
        <w:fldChar w:fldCharType="separate"/>
      </w:r>
      <w:r>
        <w:t>29</w:t>
      </w:r>
      <w:r>
        <w:fldChar w:fldCharType="end"/>
      </w:r>
      <w:r>
        <w:rPr>
          <w:rFonts w:hint="eastAsia" w:ascii="方正小标宋简体" w:hAnsi="黑体" w:eastAsia="方正小标宋简体" w:cs="宋体"/>
          <w:szCs w:val="44"/>
          <w:lang w:val="en-US" w:eastAsia="zh-CN"/>
        </w:rPr>
        <w:fldChar w:fldCharType="end"/>
      </w:r>
    </w:p>
    <w:p w14:paraId="4A36EA4D">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_Toc25314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b w:val="0"/>
          <w:bCs w:val="0"/>
          <w:kern w:val="44"/>
          <w:sz w:val="28"/>
          <w:szCs w:val="28"/>
        </w:rPr>
        <w:t>七、其他需要说明的问题</w:t>
      </w:r>
      <w:r>
        <w:tab/>
      </w:r>
      <w:r>
        <w:fldChar w:fldCharType="begin"/>
      </w:r>
      <w:r>
        <w:instrText xml:space="preserve"> PAGEREF _Toc25314 \h </w:instrText>
      </w:r>
      <w:r>
        <w:fldChar w:fldCharType="separate"/>
      </w:r>
      <w:r>
        <w:t>30</w:t>
      </w:r>
      <w:r>
        <w:fldChar w:fldCharType="end"/>
      </w:r>
      <w:r>
        <w:rPr>
          <w:rFonts w:hint="eastAsia" w:ascii="方正小标宋简体" w:hAnsi="黑体" w:eastAsia="方正小标宋简体" w:cs="宋体"/>
          <w:szCs w:val="44"/>
          <w:lang w:val="en-US" w:eastAsia="zh-CN"/>
        </w:rPr>
        <w:fldChar w:fldCharType="end"/>
      </w:r>
    </w:p>
    <w:p w14:paraId="2DED0D4E">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_Toc31348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sz w:val="28"/>
          <w:szCs w:val="28"/>
          <w:lang w:val="en-US" w:eastAsia="zh-CN"/>
        </w:rPr>
        <w:t>附件一、项目支出绩效自评表</w:t>
      </w:r>
      <w:r>
        <w:tab/>
      </w:r>
      <w:r>
        <w:fldChar w:fldCharType="begin"/>
      </w:r>
      <w:r>
        <w:instrText xml:space="preserve"> PAGEREF _Toc31348 \h </w:instrText>
      </w:r>
      <w:r>
        <w:fldChar w:fldCharType="separate"/>
      </w:r>
      <w:r>
        <w:t>31</w:t>
      </w:r>
      <w:r>
        <w:fldChar w:fldCharType="end"/>
      </w:r>
      <w:r>
        <w:rPr>
          <w:rFonts w:hint="eastAsia" w:ascii="方正小标宋简体" w:hAnsi="黑体" w:eastAsia="方正小标宋简体" w:cs="宋体"/>
          <w:szCs w:val="44"/>
          <w:lang w:val="en-US" w:eastAsia="zh-CN"/>
        </w:rPr>
        <w:fldChar w:fldCharType="end"/>
      </w:r>
    </w:p>
    <w:p w14:paraId="4A46D2CA">
      <w:pPr>
        <w:pStyle w:val="10"/>
        <w:keepNext w:val="0"/>
        <w:keepLines w:val="0"/>
        <w:pageBreakBefore w:val="0"/>
        <w:widowControl w:val="0"/>
        <w:tabs>
          <w:tab w:val="right" w:leader="dot" w:pos="8844"/>
        </w:tabs>
        <w:kinsoku/>
        <w:wordWrap/>
        <w:overflowPunct/>
        <w:topLinePunct w:val="0"/>
        <w:autoSpaceDE/>
        <w:autoSpaceDN/>
        <w:bidi w:val="0"/>
        <w:adjustRightInd/>
        <w:snapToGrid/>
        <w:spacing w:line="500" w:lineRule="exact"/>
        <w:textAlignment w:val="auto"/>
      </w:pPr>
      <w:r>
        <w:rPr>
          <w:rFonts w:hint="eastAsia" w:ascii="方正小标宋简体" w:hAnsi="黑体" w:eastAsia="方正小标宋简体" w:cs="宋体"/>
          <w:szCs w:val="44"/>
          <w:lang w:val="en-US" w:eastAsia="zh-CN"/>
        </w:rPr>
        <w:fldChar w:fldCharType="begin"/>
      </w:r>
      <w:r>
        <w:rPr>
          <w:rFonts w:hint="eastAsia" w:ascii="方正小标宋简体" w:hAnsi="黑体" w:eastAsia="方正小标宋简体" w:cs="宋体"/>
          <w:szCs w:val="44"/>
          <w:lang w:val="en-US" w:eastAsia="zh-CN"/>
        </w:rPr>
        <w:instrText xml:space="preserve"> HYPERLINK \l _Toc13131 </w:instrText>
      </w:r>
      <w:r>
        <w:rPr>
          <w:rFonts w:hint="eastAsia" w:ascii="方正小标宋简体" w:hAnsi="黑体" w:eastAsia="方正小标宋简体" w:cs="宋体"/>
          <w:szCs w:val="44"/>
          <w:lang w:val="en-US" w:eastAsia="zh-CN"/>
        </w:rPr>
        <w:fldChar w:fldCharType="separate"/>
      </w:r>
      <w:r>
        <w:rPr>
          <w:rFonts w:hint="eastAsia" w:ascii="黑体" w:hAnsi="黑体" w:eastAsia="黑体" w:cs="黑体"/>
          <w:sz w:val="28"/>
          <w:szCs w:val="28"/>
          <w:lang w:val="en-US" w:eastAsia="zh-CN"/>
        </w:rPr>
        <w:t>附件二、项目支出绩效评价指标体系打分表</w:t>
      </w:r>
      <w:r>
        <w:tab/>
      </w:r>
      <w:r>
        <w:fldChar w:fldCharType="begin"/>
      </w:r>
      <w:r>
        <w:instrText xml:space="preserve"> PAGEREF _Toc13131 \h </w:instrText>
      </w:r>
      <w:r>
        <w:fldChar w:fldCharType="separate"/>
      </w:r>
      <w:r>
        <w:t>34</w:t>
      </w:r>
      <w:r>
        <w:fldChar w:fldCharType="end"/>
      </w:r>
      <w:r>
        <w:rPr>
          <w:rFonts w:hint="eastAsia" w:ascii="方正小标宋简体" w:hAnsi="黑体" w:eastAsia="方正小标宋简体" w:cs="宋体"/>
          <w:szCs w:val="44"/>
          <w:lang w:val="en-US" w:eastAsia="zh-CN"/>
        </w:rPr>
        <w:fldChar w:fldCharType="end"/>
      </w:r>
    </w:p>
    <w:p w14:paraId="2D8BCEDD">
      <w:pPr>
        <w:pStyle w:val="10"/>
        <w:tabs>
          <w:tab w:val="right" w:leader="dot" w:pos="8302"/>
        </w:tabs>
        <w:spacing w:line="700" w:lineRule="exact"/>
        <w:jc w:val="center"/>
        <w:outlineLvl w:val="0"/>
        <w:rPr>
          <w:rFonts w:hint="eastAsia" w:ascii="方正小标宋简体" w:hAnsi="黑体" w:eastAsia="方正小标宋简体" w:cs="宋体"/>
          <w:sz w:val="44"/>
          <w:szCs w:val="44"/>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pgNumType w:fmt="decimal"/>
          <w:cols w:space="720" w:num="1"/>
          <w:docGrid w:type="lines" w:linePitch="408" w:charSpace="0"/>
        </w:sectPr>
      </w:pPr>
      <w:r>
        <w:rPr>
          <w:rFonts w:hint="eastAsia" w:ascii="方正小标宋简体" w:hAnsi="黑体" w:eastAsia="方正小标宋简体" w:cs="宋体"/>
          <w:szCs w:val="44"/>
          <w:lang w:val="en-US" w:eastAsia="zh-CN"/>
        </w:rPr>
        <w:fldChar w:fldCharType="end"/>
      </w:r>
    </w:p>
    <w:p w14:paraId="68B8E324">
      <w:pPr>
        <w:pStyle w:val="10"/>
        <w:tabs>
          <w:tab w:val="right" w:leader="dot" w:pos="8302"/>
        </w:tabs>
        <w:spacing w:line="700" w:lineRule="exact"/>
        <w:jc w:val="center"/>
        <w:outlineLvl w:val="0"/>
        <w:rPr>
          <w:rFonts w:hint="eastAsia" w:ascii="方正小标宋简体" w:hAnsi="黑体" w:eastAsia="方正小标宋简体" w:cs="宋体"/>
          <w:sz w:val="44"/>
          <w:szCs w:val="44"/>
          <w:lang w:val="en-US" w:eastAsia="zh-CN"/>
        </w:rPr>
      </w:pPr>
      <w:bookmarkStart w:id="0" w:name="_Toc11024"/>
      <w:r>
        <w:rPr>
          <w:rFonts w:hint="eastAsia" w:ascii="方正小标宋简体" w:hAnsi="黑体" w:eastAsia="方正小标宋简体" w:cs="宋体"/>
          <w:sz w:val="44"/>
          <w:szCs w:val="44"/>
          <w:lang w:val="en-US" w:eastAsia="zh-CN"/>
        </w:rPr>
        <w:t>政务服务和公共资源交易运转保障项目</w:t>
      </w:r>
      <w:bookmarkEnd w:id="0"/>
    </w:p>
    <w:p w14:paraId="58D19031">
      <w:pPr>
        <w:pStyle w:val="10"/>
        <w:tabs>
          <w:tab w:val="right" w:leader="dot" w:pos="8302"/>
        </w:tabs>
        <w:spacing w:line="700" w:lineRule="exact"/>
        <w:jc w:val="center"/>
        <w:outlineLvl w:val="0"/>
        <w:rPr>
          <w:rFonts w:hint="eastAsia" w:ascii="方正小标宋简体" w:hAnsi="黑体" w:eastAsia="方正小标宋简体" w:cs="宋体"/>
          <w:color w:val="000000" w:themeColor="text1"/>
          <w:spacing w:val="6"/>
          <w:kern w:val="2"/>
          <w:sz w:val="44"/>
          <w:szCs w:val="44"/>
          <w:lang w:val="en-US" w:eastAsia="zh-CN" w:bidi="ar-SA"/>
          <w14:textFill>
            <w14:solidFill>
              <w14:schemeClr w14:val="tx1"/>
            </w14:solidFill>
          </w14:textFill>
        </w:rPr>
      </w:pPr>
      <w:bookmarkStart w:id="1" w:name="_Toc26335"/>
      <w:r>
        <w:rPr>
          <w:rFonts w:hint="eastAsia" w:ascii="方正小标宋简体" w:hAnsi="黑体" w:eastAsia="方正小标宋简体" w:cs="宋体"/>
          <w:sz w:val="44"/>
          <w:szCs w:val="44"/>
          <w:lang w:val="en-US" w:eastAsia="zh-CN"/>
        </w:rPr>
        <w:t>支出绩效评价报告</w:t>
      </w:r>
      <w:bookmarkEnd w:id="1"/>
    </w:p>
    <w:p w14:paraId="7F18E62F">
      <w:pPr>
        <w:jc w:val="center"/>
        <w:rPr>
          <w:rFonts w:ascii="仿宋_GB2312"/>
          <w:szCs w:val="30"/>
        </w:rPr>
      </w:pPr>
    </w:p>
    <w:p w14:paraId="58AA3078">
      <w:pPr>
        <w:spacing w:line="560" w:lineRule="exact"/>
        <w:ind w:firstLine="643" w:firstLineChars="200"/>
        <w:outlineLvl w:val="0"/>
        <w:rPr>
          <w:rFonts w:hint="eastAsia" w:ascii="Times New Roman" w:hAnsi="Times New Roman" w:eastAsia="黑体" w:cs="Times New Roman"/>
          <w:b/>
          <w:kern w:val="44"/>
          <w:sz w:val="32"/>
          <w:szCs w:val="24"/>
        </w:rPr>
      </w:pPr>
      <w:bookmarkStart w:id="2" w:name="_Toc5726"/>
      <w:r>
        <w:rPr>
          <w:rFonts w:hint="eastAsia" w:ascii="Times New Roman" w:hAnsi="Times New Roman" w:eastAsia="黑体" w:cs="Times New Roman"/>
          <w:b/>
          <w:kern w:val="44"/>
          <w:sz w:val="32"/>
          <w:szCs w:val="24"/>
        </w:rPr>
        <w:t>一、基本情况</w:t>
      </w:r>
      <w:bookmarkEnd w:id="2"/>
    </w:p>
    <w:p w14:paraId="4589734C">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3" w:name="_Toc14544"/>
      <w:r>
        <w:rPr>
          <w:rFonts w:hint="eastAsia" w:ascii="楷体_GB2312" w:hAnsi="Times New Roman" w:eastAsia="楷体_GB2312" w:cs="宋体"/>
          <w:b/>
          <w:bCs/>
          <w:color w:val="auto"/>
          <w:spacing w:val="6"/>
          <w:kern w:val="2"/>
          <w:sz w:val="32"/>
          <w:szCs w:val="32"/>
          <w:highlight w:val="none"/>
          <w:lang w:val="en-US" w:eastAsia="zh-CN" w:bidi="ar-SA"/>
        </w:rPr>
        <w:t>（一）项目概况</w:t>
      </w:r>
      <w:bookmarkEnd w:id="3"/>
    </w:p>
    <w:p w14:paraId="0E893912">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项目背景</w:t>
      </w:r>
    </w:p>
    <w:p w14:paraId="6E8B7A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
          <w:lang w:val="en-US" w:eastAsia="zh-CN"/>
        </w:rPr>
      </w:pPr>
      <w:r>
        <w:rPr>
          <w:rFonts w:hint="default" w:ascii="仿宋_GB2312" w:hAnsi="仿宋_GB2312" w:eastAsia="仿宋_GB2312" w:cs="仿宋_GB2312"/>
          <w:sz w:val="32"/>
          <w:szCs w:val="32"/>
          <w:lang w:val="en-US" w:eastAsia="zh-CN"/>
        </w:rPr>
        <w:t>国家和自治区对于公共资源交易领域统一服务体系构建均提出相应要求，需进一步强化公共服务平台定位，提升公共服务能力。《自治区党委办公厅自治区人民政府办公厅关于印发</w:t>
      </w:r>
      <w:r>
        <w:rPr>
          <w:rFonts w:hint="eastAsia" w:ascii="仿宋_GB2312" w:hAnsi="仿宋_GB2312" w:cs="仿宋_GB2312"/>
          <w:sz w:val="32"/>
          <w:szCs w:val="32"/>
          <w:lang w:val="en-US" w:eastAsia="zh-CN"/>
        </w:rPr>
        <w:t>〈</w:t>
      </w:r>
      <w:r>
        <w:rPr>
          <w:rFonts w:hint="default" w:ascii="仿宋_GB2312" w:hAnsi="仿宋_GB2312" w:eastAsia="仿宋_GB2312" w:cs="仿宋_GB2312"/>
          <w:sz w:val="32"/>
          <w:szCs w:val="32"/>
          <w:lang w:val="en-US" w:eastAsia="zh-CN"/>
        </w:rPr>
        <w:t>自治区实施营商环境优化提升三年行动方案（2022—2025年）</w:t>
      </w:r>
      <w:r>
        <w:rPr>
          <w:rFonts w:hint="eastAsia" w:ascii="仿宋_GB2312" w:hAnsi="仿宋_GB2312" w:cs="仿宋_GB2312"/>
          <w:sz w:val="32"/>
          <w:szCs w:val="32"/>
          <w:lang w:val="en-US" w:eastAsia="zh-CN"/>
        </w:rPr>
        <w:t>〉</w:t>
      </w:r>
      <w:r>
        <w:rPr>
          <w:rFonts w:hint="default" w:ascii="仿宋_GB2312" w:hAnsi="仿宋_GB2312" w:eastAsia="仿宋_GB2312" w:cs="仿宋_GB2312"/>
          <w:sz w:val="32"/>
          <w:szCs w:val="32"/>
          <w:lang w:val="en-US" w:eastAsia="zh-CN"/>
        </w:rPr>
        <w:t>的通知》（新党办发〔2022〕39号）中明确要求自治区行政服务和公共资源交易中心牵头招投标领域改革任务，规范公共资源交易电子招标投标。全面推进公共资源交易全流程电子化和交易数据应用，完善电子招标投标制度规则、交易流程标准、技术标准和数据规范，提升招标投标透明度和规范性。在2023年初，经中心评估，将全区统一电子交易服务系统优化工作纳入《自治区政务服务和公共资源交易中心2023年工作要点》，提出推进全区“一张网”建设。加强顶层设计，结合统分原则，制定全区统一电子交易服务系统优化完善方案，深入推进公共资源交易平台1+1+N模式，统一部署云网资源、统一服务和监管，开放交易系统。</w:t>
      </w:r>
      <w:r>
        <w:rPr>
          <w:rFonts w:hint="default" w:ascii="仿宋_GB2312" w:hAnsi="仿宋_GB2312" w:eastAsia="仿宋_GB2312" w:cs="仿宋_GB2312"/>
          <w:sz w:val="32"/>
          <w:szCs w:val="32"/>
        </w:rPr>
        <w:t>贯彻落实自治区党委、政府关于政务服务领域工作部署安排，根据《国务院关于进一步优化政务服务提升行政效能推动“高效办成一件事”的指导意见》（国发〔2024〕3号）要求，以深化“放管服”改革为抓手，以建设自治区一体化政务服务平台为支撑，以政务服务事项梳理、政务服务流程优化为主线，推进政务服务从“线下跑”向“网上办</w:t>
      </w:r>
      <w:r>
        <w:rPr>
          <w:rFonts w:hint="eastAsia" w:ascii="仿宋_GB2312" w:hAnsi="仿宋_GB2312" w:cs="仿宋_GB2312"/>
          <w:sz w:val="32"/>
          <w:szCs w:val="32"/>
          <w:lang w:eastAsia="zh-CN"/>
        </w:rPr>
        <w:t>”“</w:t>
      </w:r>
      <w:r>
        <w:rPr>
          <w:rFonts w:hint="default" w:ascii="仿宋_GB2312" w:hAnsi="仿宋_GB2312" w:eastAsia="仿宋_GB2312" w:cs="仿宋_GB2312"/>
          <w:sz w:val="32"/>
          <w:szCs w:val="32"/>
        </w:rPr>
        <w:t>分头办”向“协同办”转变，实现数据共享、业务协同，全面推进“一网通办”</w:t>
      </w:r>
      <w:r>
        <w:rPr>
          <w:rFonts w:hint="eastAsia" w:ascii="仿宋_GB2312" w:hAnsi="仿宋_GB2312" w:eastAsia="仿宋_GB2312" w:cs="仿宋_GB2312"/>
          <w:sz w:val="32"/>
          <w:szCs w:val="32"/>
          <w:lang w:eastAsia="zh-CN"/>
        </w:rPr>
        <w:t>。</w:t>
      </w:r>
    </w:p>
    <w:p w14:paraId="6C1F585F">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主要内容</w:t>
      </w:r>
      <w:r>
        <w:rPr>
          <w:rFonts w:hint="eastAsia" w:ascii="仿宋_GB2312" w:hAnsi="仿宋_GB2312" w:eastAsia="仿宋_GB2312" w:cs="仿宋_GB2312"/>
          <w:b/>
          <w:bCs/>
          <w:sz w:val="32"/>
          <w:szCs w:val="32"/>
          <w:lang w:val="en-US" w:eastAsia="zh-CN"/>
        </w:rPr>
        <w:t>及</w:t>
      </w:r>
      <w:r>
        <w:rPr>
          <w:rFonts w:hint="eastAsia" w:ascii="仿宋_GB2312" w:hAnsi="仿宋_GB2312" w:eastAsia="仿宋_GB2312" w:cs="仿宋_GB2312"/>
          <w:b/>
          <w:bCs/>
          <w:sz w:val="32"/>
          <w:szCs w:val="32"/>
        </w:rPr>
        <w:t>实施情况</w:t>
      </w:r>
    </w:p>
    <w:p w14:paraId="78BBFD75">
      <w:pPr>
        <w:spacing w:line="600" w:lineRule="exact"/>
        <w:ind w:firstLine="643" w:firstLineChars="200"/>
        <w:rPr>
          <w:rFonts w:hint="eastAsia" w:ascii="仿宋_GB2312" w:hAnsi="Times New Roman" w:cs="Times New Roman"/>
          <w:b/>
          <w:bCs/>
          <w:color w:val="auto"/>
          <w:lang w:val="en-US" w:eastAsia="zh-CN"/>
        </w:rPr>
      </w:pPr>
      <w:r>
        <w:rPr>
          <w:rFonts w:hint="eastAsia" w:ascii="仿宋_GB2312" w:hAnsi="仿宋_GB2312" w:eastAsia="仿宋_GB2312" w:cs="仿宋_GB2312"/>
          <w:b/>
          <w:bCs/>
          <w:sz w:val="32"/>
          <w:szCs w:val="32"/>
          <w:lang w:val="en-US" w:eastAsia="zh-CN"/>
        </w:rPr>
        <w:t>项目主要内容：</w:t>
      </w:r>
      <w:r>
        <w:rPr>
          <w:rFonts w:hint="eastAsia" w:ascii="仿宋_GB2312" w:hAnsi="仿宋_GB2312" w:eastAsia="仿宋_GB2312" w:cs="仿宋_GB2312"/>
          <w:sz w:val="32"/>
          <w:szCs w:val="32"/>
          <w:lang w:val="en-US" w:eastAsia="zh-CN"/>
        </w:rPr>
        <w:t>政务服务和公共资源交易运转保障项目是一个大项目，其中</w:t>
      </w:r>
      <w:r>
        <w:rPr>
          <w:rFonts w:hint="default" w:ascii="仿宋_GB2312" w:hAnsi="仿宋_GB2312" w:eastAsia="仿宋_GB2312" w:cs="仿宋_GB2312"/>
          <w:sz w:val="32"/>
          <w:szCs w:val="32"/>
        </w:rPr>
        <w:t>自治区政务服务和公共资源交易中心政务服务部202</w:t>
      </w:r>
      <w:r>
        <w:rPr>
          <w:rFonts w:hint="default"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rPr>
        <w:t>年开展项目主要有4项，分别是政务服务能力第三方评估项目、“一件事一次办”数据梳理流程再造专项服务、自治区政务服务事项标准化专项服务、地标编制工作（新疆维吾尔自治区政务服务</w:t>
      </w:r>
      <w:r>
        <w:rPr>
          <w:rFonts w:hint="eastAsia" w:ascii="仿宋_GB2312" w:hAnsi="仿宋_GB2312" w:cs="仿宋_GB2312"/>
          <w:sz w:val="32"/>
          <w:szCs w:val="32"/>
          <w:lang w:eastAsia="zh-CN"/>
        </w:rPr>
        <w:t>“</w:t>
      </w:r>
      <w:r>
        <w:rPr>
          <w:rFonts w:hint="default" w:ascii="仿宋_GB2312" w:hAnsi="仿宋_GB2312" w:eastAsia="仿宋_GB2312" w:cs="仿宋_GB2312"/>
          <w:sz w:val="32"/>
          <w:szCs w:val="32"/>
        </w:rPr>
        <w:t>好差评</w:t>
      </w:r>
      <w:r>
        <w:rPr>
          <w:rFonts w:hint="eastAsia" w:ascii="仿宋_GB2312" w:hAnsi="仿宋_GB2312" w:cs="仿宋_GB2312"/>
          <w:sz w:val="32"/>
          <w:szCs w:val="32"/>
          <w:lang w:eastAsia="zh-CN"/>
        </w:rPr>
        <w:t>”</w:t>
      </w:r>
      <w:r>
        <w:rPr>
          <w:rFonts w:hint="default" w:ascii="仿宋_GB2312" w:hAnsi="仿宋_GB2312" w:eastAsia="仿宋_GB2312" w:cs="仿宋_GB2312"/>
          <w:sz w:val="32"/>
          <w:szCs w:val="32"/>
        </w:rPr>
        <w:t>地方标准编制专项服务项目、新疆维吾尔自治区一体化平台统一受理平台接入技术规范地方标准编制专项服务项目、新疆维吾尔自治区一体化平台移动端应用接入技术规范地方标准编制专项服务项目）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公共资源交易部2023年开展项目主要有4项，分别是全区CA数字证书互认项目、自治区公共资源交易数据上报情况检测监测项目、公共资源交易数据资料整理及数字化归集存储项目、公共资源交易收费项目执行和收支情况评估项目。项目主要通过完成维护一体化平台，并进行网络安全监测评估，常态化开展自治区公共资源交易平台安全运行保障工作，提升服务、交易、监督三方面高效协同能力。</w:t>
      </w:r>
    </w:p>
    <w:p w14:paraId="2E16875F">
      <w:pPr>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组织实施：</w:t>
      </w:r>
      <w:r>
        <w:rPr>
          <w:rFonts w:hint="eastAsia" w:ascii="仿宋_GB2312" w:hAnsi="仿宋_GB2312" w:eastAsia="仿宋_GB2312" w:cs="仿宋_GB2312"/>
          <w:sz w:val="32"/>
          <w:szCs w:val="32"/>
          <w:lang w:val="en-US" w:eastAsia="zh-CN"/>
        </w:rPr>
        <w:t xml:space="preserve">本项目组织项目相关会议，确定了项目领导小组，各部门明确了责任分工： </w:t>
      </w:r>
    </w:p>
    <w:p w14:paraId="240AF38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政务服务部：组织开展政务服务事项梳理、流程优化再造、业务 对接等具体工作，推动政务服务</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一网通办</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 xml:space="preserve">；对政务服务提出政策和标准建议，对各地进行业务指导及培训，推行全区政务服务规范化、标准化；负责对各地、各部门一体化在线政务服务平台服务能力定期 进行评估；承担新疆政务服务网及其 </w:t>
      </w:r>
      <w:r>
        <w:rPr>
          <w:rFonts w:hint="default" w:ascii="仿宋_GB2312" w:hAnsi="仿宋_GB2312" w:eastAsia="仿宋_GB2312" w:cs="仿宋_GB2312"/>
          <w:sz w:val="32"/>
          <w:szCs w:val="32"/>
          <w:lang w:val="en-US" w:eastAsia="zh-CN"/>
        </w:rPr>
        <w:t>APP</w:t>
      </w:r>
      <w:r>
        <w:rPr>
          <w:rFonts w:hint="eastAsia" w:ascii="仿宋_GB2312" w:hAnsi="仿宋_GB2312" w:eastAsia="仿宋_GB2312" w:cs="仿宋_GB2312"/>
          <w:sz w:val="32"/>
          <w:szCs w:val="32"/>
          <w:lang w:val="en-US" w:eastAsia="zh-CN"/>
        </w:rPr>
        <w:t>、小程序的管理工作；</w:t>
      </w:r>
    </w:p>
    <w:p w14:paraId="47405008">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公共资源交易部：承担自治区公共资源交易平台管理工作，推进全区数据整合共享；承担全区公共资源交易规范化、标准化工作，评估、指导各地公共资源交易工作；承担资料存档备案等工作；承担综合专家库建设，负责专家库动态管理、抽取专家等；承担业务培训等工作； </w:t>
      </w:r>
    </w:p>
    <w:p w14:paraId="1B59F2A8">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大厅管理部：负责自治区政务服务大厅日常管理，受理有关部门进入、退出大厅的相关事宜；负责对派驻大厅工作人员的日常管理、培训及考核工作，对进驻大厅的部门及其工作人员提供综合服务； </w:t>
      </w:r>
    </w:p>
    <w:p w14:paraId="7FE6082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建设管理部：承担全区一体化在线政务服务平台和公共资源交易平台运行环境保障及建设运维工作；负责中心内部信息化建设工作；承担自治区政务服务大厅和公共资源交易大厅电子化设备维护及建设工作；</w:t>
      </w:r>
    </w:p>
    <w:p w14:paraId="04B22E55">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财务审计部：负责中心资产和财务管理、财务制度规范化建设；负责财务监督和审计。 </w:t>
      </w:r>
    </w:p>
    <w:p w14:paraId="132D99D2">
      <w:pPr>
        <w:spacing w:line="560" w:lineRule="exact"/>
        <w:ind w:firstLine="640" w:firstLineChars="200"/>
        <w:rPr>
          <w:rFonts w:hint="default" w:ascii="仿宋_GB2312" w:hAnsi="Times New Roman" w:cs="Times New Roman"/>
          <w:color w:val="auto"/>
          <w:lang w:val="en-US" w:eastAsia="zh-CN"/>
        </w:rPr>
      </w:pPr>
      <w:r>
        <w:rPr>
          <w:rFonts w:hint="eastAsia" w:ascii="仿宋_GB2312" w:hAnsi="仿宋_GB2312" w:eastAsia="仿宋_GB2312" w:cs="仿宋_GB2312"/>
          <w:sz w:val="32"/>
          <w:szCs w:val="32"/>
          <w:lang w:val="en-US" w:eastAsia="zh-CN"/>
        </w:rPr>
        <w:t>自治区政务服务和公共资源交易中心政务服务和公共资源交易运转保障项目完成维护一体化平台，并进行网络安全</w:t>
      </w:r>
      <w:r>
        <w:rPr>
          <w:rFonts w:hint="eastAsia" w:ascii="仿宋_GB2312" w:hAnsi="仿宋_GB2312" w:cs="仿宋_GB2312"/>
          <w:sz w:val="32"/>
          <w:szCs w:val="32"/>
          <w:lang w:val="en-US" w:eastAsia="zh-CN"/>
        </w:rPr>
        <w:t>监测</w:t>
      </w:r>
      <w:r>
        <w:rPr>
          <w:rFonts w:hint="eastAsia" w:ascii="仿宋_GB2312" w:hAnsi="仿宋_GB2312" w:eastAsia="仿宋_GB2312" w:cs="仿宋_GB2312"/>
          <w:sz w:val="32"/>
          <w:szCs w:val="32"/>
          <w:lang w:val="en-US" w:eastAsia="zh-CN"/>
        </w:rPr>
        <w:t>，常态化开展自治区公共资源交易平台安全运行保障工作，提升服务、交易、监督三方面高效协同能力；完成公共资源交易项目及12345政务服务便民热线完成工单处办，整体项目验收合格。通过项目的实施，政务服务水平及公共资源交易服务水平得到有效的提高。</w:t>
      </w:r>
    </w:p>
    <w:p w14:paraId="77D89C9E">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资金投入和使用情况</w:t>
      </w:r>
    </w:p>
    <w:p w14:paraId="40CC972E">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（1）项目资金安排落实、总投入等情况分析</w:t>
      </w:r>
    </w:p>
    <w:p w14:paraId="70892C6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政务服务和公共资源交易运转保障项目预算安排总额为6476.57万元，其中财政资金0万元，其他资金6476.57万元，2023年实际收到预算资金6476.57万元，预算资金到位率为100%。</w:t>
      </w:r>
    </w:p>
    <w:p w14:paraId="32D2F285">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（2）项目资金实际使用情况分析</w:t>
      </w:r>
    </w:p>
    <w:p w14:paraId="1930873B">
      <w:pPr>
        <w:spacing w:line="600" w:lineRule="exact"/>
        <w:ind w:firstLine="640" w:firstLineChars="200"/>
        <w:rPr>
          <w:rFonts w:hint="eastAsia" w:ascii="仿宋_GB2312"/>
        </w:rPr>
      </w:pPr>
      <w:r>
        <w:rPr>
          <w:rFonts w:hint="eastAsia" w:ascii="仿宋_GB2312" w:hAnsi="仿宋_GB2312" w:eastAsia="仿宋_GB2312" w:cs="仿宋_GB2312"/>
          <w:sz w:val="32"/>
          <w:szCs w:val="32"/>
        </w:rPr>
        <w:t>截至2023年12月31日，政务服务和公共资源交易运转保障项目实际支付资金5601.04万元，预算执行率86.48%。项目资金主要用于一体化运行维护、运转保障、公共资源交易项目评审、处理质疑、论证等方面。</w:t>
      </w:r>
    </w:p>
    <w:p w14:paraId="1F37E501">
      <w:pPr>
        <w:spacing w:line="600" w:lineRule="exact"/>
        <w:ind w:firstLine="602" w:firstLineChars="200"/>
        <w:outlineLvl w:val="1"/>
        <w:rPr>
          <w:rFonts w:hint="eastAsia" w:ascii="仿宋_GB2312"/>
          <w:b/>
          <w:bCs/>
        </w:rPr>
      </w:pPr>
      <w:bookmarkStart w:id="4" w:name="_Toc29081"/>
      <w:r>
        <w:rPr>
          <w:rFonts w:hint="eastAsia" w:ascii="仿宋_GB2312"/>
          <w:b/>
          <w:bCs/>
        </w:rPr>
        <w:t>（二）项目绩效目标</w:t>
      </w:r>
      <w:bookmarkEnd w:id="4"/>
    </w:p>
    <w:p w14:paraId="157D64AA">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1.总体目标</w:t>
      </w:r>
    </w:p>
    <w:p w14:paraId="555CBA34">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政务服务和公共资源交易运转保障项目绩效总体目标为：</w:t>
      </w:r>
    </w:p>
    <w:p w14:paraId="2450252A">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按照国务院和自治区相关要求，聚焦数字政府重大改革，继续深化“放管服”改革，不断优化营商环境，大力推进“一网通办”和自治区政务服务规范化、标准化建设，优化完善一体化在线政务服务平台，在统一事项办理、业务处理、数据共享、身份认证、电子证照、电子印章、物流邮寄、12345政务服务便民热线、咨询建议、制定政务服务事项地方标准、大厅管理、好差评、系统网络安全等12个方面做好平台运行保障工作，打造覆盖全区、五级联动、部门协同、安全可靠的政务服务体系，为企业和个人提供高效服务。</w:t>
      </w:r>
    </w:p>
    <w:p w14:paraId="01B23D34">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（2）常态化开展自治区公共资源交易平台安全运行保障工作，提升服务、交易、监督三方面高效协同能力。</w:t>
      </w:r>
    </w:p>
    <w:p w14:paraId="413E50F2">
      <w:pPr>
        <w:spacing w:line="600" w:lineRule="exact"/>
        <w:ind w:firstLine="640" w:firstLineChars="200"/>
        <w:rPr>
          <w:rFonts w:hint="eastAsia" w:ascii="仿宋_GB2312"/>
          <w:lang w:eastAsia="zh-CN"/>
        </w:rPr>
      </w:pPr>
      <w:r>
        <w:rPr>
          <w:rFonts w:hint="eastAsia" w:ascii="仿宋_GB2312" w:hAnsi="仿宋_GB2312" w:eastAsia="仿宋_GB2312" w:cs="仿宋_GB2312"/>
          <w:sz w:val="32"/>
          <w:szCs w:val="32"/>
          <w:lang w:val="en-US" w:eastAsia="zh-CN"/>
        </w:rPr>
        <w:t>（3）开展自治区本级工程建设项目招标投标、矿业权出让、国有产权交易、政府采购、医疗药品采购等公共资源交易工作，规范自治区政务服务大厅和公共资源交易大厅的日常管理，做好自治区本级采购评审保障工作。</w:t>
      </w:r>
    </w:p>
    <w:p w14:paraId="5B5F5D68">
      <w:pPr>
        <w:spacing w:line="560" w:lineRule="exact"/>
        <w:ind w:firstLine="643"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阶段性目标</w:t>
      </w:r>
    </w:p>
    <w:p w14:paraId="78285369">
      <w:pPr>
        <w:spacing w:line="600" w:lineRule="exact"/>
        <w:ind w:firstLine="640" w:firstLineChars="200"/>
        <w:rPr>
          <w:rFonts w:hint="eastAsia" w:ascii="Times New Roman" w:hAnsi="Times New Roman" w:cs="宋体"/>
          <w:color w:val="auto"/>
          <w:highlight w:val="none"/>
          <w:shd w:val="clear" w:color="auto" w:fill="auto"/>
          <w:lang w:val="en-US" w:eastAsia="zh-CN"/>
        </w:rPr>
      </w:pPr>
      <w:r>
        <w:rPr>
          <w:rFonts w:hint="eastAsia" w:ascii="仿宋_GB2312" w:hAnsi="仿宋_GB2312" w:eastAsia="仿宋_GB2312" w:cs="仿宋_GB2312"/>
          <w:sz w:val="32"/>
          <w:szCs w:val="32"/>
          <w:lang w:val="en-US" w:eastAsia="zh-CN"/>
        </w:rPr>
        <w:t>根据《预算法》《财政支出绩效评价管理暂行办法》（财预〔2020〕10号）、《自治区党委自治区人民政府关于全面实施预算绩效管理的实施意见》（新党发〔2018〕30号）、《自治区财政支出绩效评价管理暂行办法》（新财预〔2018〕189号）等文件的规定，结合项目实施单位的规章制度以及财务相关资料，评价小组对项目绩效目标进行了进一步的完善，完善后绩效目标如下：</w:t>
      </w:r>
    </w:p>
    <w:p w14:paraId="7F78651C">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（1）项目产出目标</w:t>
      </w:r>
    </w:p>
    <w:p w14:paraId="76D5DDB0">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①数量指标</w:t>
      </w:r>
    </w:p>
    <w:p w14:paraId="2BDA2E0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“一体化平台维护数量”指标，预期目标值为&gt;=1个；</w:t>
      </w:r>
    </w:p>
    <w:p w14:paraId="3BFB5D0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“网络安全监测评估次数”指标，预期目标值为&gt;=53次；</w:t>
      </w:r>
    </w:p>
    <w:p w14:paraId="59BEFBD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“公共资源交易项目个数”指标，预期目标值为&gt;=1874个；</w:t>
      </w:r>
    </w:p>
    <w:p w14:paraId="241C05A8">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“工单处办量”指标，预期目标值为&gt;=384057个；</w:t>
      </w:r>
    </w:p>
    <w:p w14:paraId="613FF5A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“在职人数”指标，预期目标值为&gt;=80人；</w:t>
      </w:r>
    </w:p>
    <w:p w14:paraId="08286D30">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②质量指标</w:t>
      </w:r>
    </w:p>
    <w:p w14:paraId="34482F1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“一体化平台系统故障率”指标，预期目标值为&lt;=10%；</w:t>
      </w:r>
    </w:p>
    <w:p w14:paraId="5FC313F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“项目验收合格率”指标，预期目标值为&gt;=80%；</w:t>
      </w:r>
    </w:p>
    <w:p w14:paraId="38C4206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“工单转派准确率”指标，预期目标值为&gt;=90%；</w:t>
      </w:r>
    </w:p>
    <w:p w14:paraId="36BF825F">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③时效指标</w:t>
      </w:r>
    </w:p>
    <w:p w14:paraId="098F27D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“系统故障修复处理时间”指标，预期目标值为&lt;=2天；</w:t>
      </w:r>
    </w:p>
    <w:p w14:paraId="2847249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“系统运行响应时间”指标，预期目标值为&lt;=72小时；</w:t>
      </w:r>
    </w:p>
    <w:p w14:paraId="3338345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“签入及时率”指标，预期目标值为&gt;=80%；</w:t>
      </w:r>
    </w:p>
    <w:p w14:paraId="53B05B22">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（2）成本指标</w:t>
      </w:r>
    </w:p>
    <w:p w14:paraId="03C04B6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“公共资源交易项目评审、处理质疑、论证等成本”指标，预期目标值为&lt;=189万元；</w:t>
      </w:r>
    </w:p>
    <w:p w14:paraId="572A2A5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“一体化运行维护成本”指标，预期目标值为&lt;=3238.82万元；</w:t>
      </w:r>
    </w:p>
    <w:p w14:paraId="4023679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“运转保障成本”指标，预期目标值为&lt;=3048.75万元；</w:t>
      </w:r>
    </w:p>
    <w:p w14:paraId="514FE744">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（3）项目效益目标</w:t>
      </w:r>
    </w:p>
    <w:p w14:paraId="36710CC4">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①经济效益指标</w:t>
      </w:r>
    </w:p>
    <w:p w14:paraId="6651F61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本项目不涉及经济效益指标；</w:t>
      </w:r>
    </w:p>
    <w:p w14:paraId="150D80BF">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②社会效益指标</w:t>
      </w:r>
    </w:p>
    <w:p w14:paraId="4494E3A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“政务服务水平”指标，预期目标值为有效提高；</w:t>
      </w:r>
    </w:p>
    <w:p w14:paraId="28D5F3F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“公共资源交易服务水平”指标，预期目标值为有效提高；</w:t>
      </w:r>
    </w:p>
    <w:p w14:paraId="1B01F27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“工单处办满意率”指标，预期目标值为&gt;=90%；</w:t>
      </w:r>
    </w:p>
    <w:p w14:paraId="55B682B2">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③生态效益指标</w:t>
      </w:r>
    </w:p>
    <w:p w14:paraId="47142AC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本项目不涉及生态效益指标；</w:t>
      </w:r>
    </w:p>
    <w:p w14:paraId="2C12A159">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④可持续影响</w:t>
      </w:r>
    </w:p>
    <w:p w14:paraId="62111CCD">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本项目不涉及可持续影响指标；</w:t>
      </w:r>
    </w:p>
    <w:p w14:paraId="2844385C">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⑤满意度指标</w:t>
      </w:r>
    </w:p>
    <w:p w14:paraId="4B309A0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“办事人员满意度”指标，预期目标值为&gt;=90%；</w:t>
      </w:r>
    </w:p>
    <w:p w14:paraId="7BF4D191">
      <w:pPr>
        <w:spacing w:line="560" w:lineRule="exact"/>
        <w:ind w:firstLine="640" w:firstLineChars="200"/>
        <w:rPr>
          <w:rFonts w:hint="eastAsia" w:ascii="黑体" w:hAnsi="黑体" w:eastAsia="黑体"/>
        </w:rPr>
      </w:pPr>
      <w:r>
        <w:rPr>
          <w:rFonts w:hint="eastAsia" w:ascii="仿宋_GB2312" w:hAnsi="仿宋_GB2312" w:eastAsia="仿宋_GB2312" w:cs="仿宋_GB2312"/>
          <w:sz w:val="32"/>
          <w:szCs w:val="32"/>
          <w:lang w:val="en-US" w:eastAsia="zh-CN"/>
        </w:rPr>
        <w:t>“工作人员满意度”指标，预期目标值为&gt;=90%。</w:t>
      </w:r>
    </w:p>
    <w:p w14:paraId="2A8C7B84">
      <w:pPr>
        <w:spacing w:line="560" w:lineRule="exact"/>
        <w:ind w:firstLine="643" w:firstLineChars="200"/>
        <w:outlineLvl w:val="0"/>
        <w:rPr>
          <w:rFonts w:hint="eastAsia" w:ascii="Times New Roman" w:hAnsi="Times New Roman" w:eastAsia="黑体" w:cs="Times New Roman"/>
          <w:b/>
          <w:kern w:val="44"/>
          <w:sz w:val="32"/>
          <w:szCs w:val="24"/>
        </w:rPr>
      </w:pPr>
      <w:bookmarkStart w:id="5" w:name="_Toc3600"/>
      <w:r>
        <w:rPr>
          <w:rFonts w:hint="eastAsia" w:ascii="Times New Roman" w:hAnsi="Times New Roman" w:eastAsia="黑体" w:cs="Times New Roman"/>
          <w:b/>
          <w:kern w:val="44"/>
          <w:sz w:val="32"/>
          <w:szCs w:val="24"/>
        </w:rPr>
        <w:t>二、绩效评价工作开展情况</w:t>
      </w:r>
      <w:bookmarkEnd w:id="5"/>
    </w:p>
    <w:p w14:paraId="382B980B">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6" w:name="_Toc11948"/>
      <w:r>
        <w:rPr>
          <w:rFonts w:hint="eastAsia" w:ascii="楷体_GB2312" w:hAnsi="Times New Roman" w:eastAsia="楷体_GB2312" w:cs="宋体"/>
          <w:b/>
          <w:bCs/>
          <w:color w:val="auto"/>
          <w:spacing w:val="6"/>
          <w:kern w:val="2"/>
          <w:sz w:val="32"/>
          <w:szCs w:val="32"/>
          <w:highlight w:val="none"/>
          <w:lang w:val="en-US" w:eastAsia="zh-CN" w:bidi="ar-SA"/>
        </w:rPr>
        <w:t>（一）绩效评价目的、对象和范围</w:t>
      </w:r>
      <w:bookmarkEnd w:id="6"/>
    </w:p>
    <w:p w14:paraId="7102FCD0">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1.绩效评价的目的</w:t>
      </w:r>
    </w:p>
    <w:p w14:paraId="42B5A85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024998D2">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2.绩效评价的对象和范围</w:t>
      </w:r>
    </w:p>
    <w:p w14:paraId="4F6522A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此次我单位根据《财政支出绩效评价管理暂行办法》（财预〔2020〕10号）文件要求对2023年度我单位实施的政务服务和公共资源交易运转保障项目开展部门绩效评价。</w:t>
      </w:r>
    </w:p>
    <w:p w14:paraId="36C32A3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本次绩效评价主要围绕项目决策、项目管理、项目产出、项目效益四个维度，对该专项资金的预算编制、项目实施、监督管理、资金支出使用、绩效目标的实现情况以及受益对象的满意度等开展综合评价。</w:t>
      </w:r>
    </w:p>
    <w:p w14:paraId="2BD5CCF3">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7" w:name="_Toc19334"/>
      <w:r>
        <w:rPr>
          <w:rFonts w:hint="eastAsia" w:ascii="楷体_GB2312" w:hAnsi="Times New Roman" w:eastAsia="楷体_GB2312" w:cs="宋体"/>
          <w:b/>
          <w:bCs/>
          <w:color w:val="auto"/>
          <w:spacing w:val="6"/>
          <w:kern w:val="2"/>
          <w:sz w:val="32"/>
          <w:szCs w:val="32"/>
          <w:highlight w:val="none"/>
          <w:lang w:val="en-US" w:eastAsia="zh-CN" w:bidi="ar-SA"/>
        </w:rPr>
        <w:t>（二）绩效评价原则、评价指标体系、评价方法、评价标准</w:t>
      </w:r>
      <w:bookmarkEnd w:id="7"/>
    </w:p>
    <w:p w14:paraId="7D2C2040">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1.绩效评价原则</w:t>
      </w:r>
    </w:p>
    <w:p w14:paraId="466B787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据《财政支出绩效评价管理暂行办法》（财预〔2020〕10号）本次绩效评价秉承科学规范、公正公开、分级分类、绩效相关等原则，按照从投入、过程到产出效果和影响的绩效逻辑路径，结合政务服务和公共资源交易运转保障项目实际开展情况，运用定量和定性分析相结合的方法，总结经验做法，反思项目实施和管理中的问题，以切实提升财政资金管理的科学化、规范化和精细化水平。</w:t>
      </w:r>
    </w:p>
    <w:p w14:paraId="7A3FAFE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根据以上原则，绩效评价应遵循如下要求：</w:t>
      </w:r>
    </w:p>
    <w:p w14:paraId="00516B26">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（1）科学公正。绩效评价应当运用科学合理的方法，按照规范的程序，对项目绩效进行客观、公正的反映。</w:t>
      </w:r>
    </w:p>
    <w:p w14:paraId="48B6579D">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（2）统筹兼顾。单位自评、部门评价和财政评价应职责明确，各有侧重，相互衔接。单位自评应由项目单位自主实施，即“谁支出、谁自评”。</w:t>
      </w:r>
    </w:p>
    <w:p w14:paraId="56E5A90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（3）激励约束。绩效评价结果应与预算安排、政策调整、改进管理实质性挂钩，体现奖优罚劣和激励相容导向，有效要安排、低效要压减、无效要问责。</w:t>
      </w:r>
    </w:p>
    <w:p w14:paraId="6048CC7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（4）公开透明。绩效评价结果应依法依规公开，并自觉接受社会监督。</w:t>
      </w:r>
    </w:p>
    <w:p w14:paraId="19D61723">
      <w:pPr>
        <w:spacing w:line="560" w:lineRule="exact"/>
        <w:ind w:firstLine="643" w:firstLineChars="200"/>
        <w:rPr>
          <w:rFonts w:hint="eastAsia" w:ascii="仿宋_GB2312" w:hAnsi="仿宋_GB2312" w:eastAsia="仿宋_GB2312" w:cs="仿宋_GB2312"/>
          <w:b/>
          <w:bCs/>
          <w:sz w:val="32"/>
          <w:szCs w:val="32"/>
          <w:lang w:val="en-US" w:eastAsia="zh-CN"/>
        </w:rPr>
      </w:pPr>
      <w:bookmarkStart w:id="8" w:name="_Toc419984722"/>
      <w:bookmarkStart w:id="9" w:name="_Toc428278230"/>
      <w:bookmarkStart w:id="10" w:name="_Toc26131"/>
      <w:bookmarkStart w:id="11" w:name="_Toc1913"/>
      <w:r>
        <w:rPr>
          <w:rFonts w:hint="eastAsia" w:ascii="仿宋_GB2312" w:hAnsi="仿宋_GB2312" w:eastAsia="仿宋_GB2312" w:cs="仿宋_GB2312"/>
          <w:b/>
          <w:bCs/>
          <w:sz w:val="32"/>
          <w:szCs w:val="32"/>
          <w:lang w:val="en-US" w:eastAsia="zh-CN"/>
        </w:rPr>
        <w:t>2.绩效评价指标体系及绩效评价</w:t>
      </w:r>
      <w:bookmarkEnd w:id="8"/>
      <w:bookmarkEnd w:id="9"/>
      <w:bookmarkEnd w:id="10"/>
      <w:bookmarkEnd w:id="11"/>
      <w:r>
        <w:rPr>
          <w:rFonts w:hint="eastAsia" w:ascii="仿宋_GB2312" w:hAnsi="仿宋_GB2312" w:eastAsia="仿宋_GB2312" w:cs="仿宋_GB2312"/>
          <w:b/>
          <w:bCs/>
          <w:sz w:val="32"/>
          <w:szCs w:val="32"/>
          <w:lang w:val="en-US" w:eastAsia="zh-CN"/>
        </w:rPr>
        <w:t>标准</w:t>
      </w:r>
    </w:p>
    <w:p w14:paraId="1AACF7B5">
      <w:pPr>
        <w:spacing w:line="560" w:lineRule="exact"/>
        <w:ind w:firstLine="64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仿宋_GB2312" w:eastAsia="仿宋_GB2312" w:cs="仿宋_GB2312"/>
          <w:sz w:val="32"/>
          <w:szCs w:val="32"/>
          <w:lang w:val="en-US" w:eastAsia="zh-CN"/>
        </w:rPr>
        <w:t>我单位</w:t>
      </w:r>
      <w:r>
        <w:rPr>
          <w:rFonts w:hint="eastAsia" w:ascii="仿宋_GB2312" w:hAnsi="仿宋_GB2312" w:eastAsia="仿宋_GB2312" w:cs="仿宋_GB2312"/>
          <w:sz w:val="32"/>
          <w:szCs w:val="32"/>
          <w:lang w:val="zh-TW" w:eastAsia="zh-TW"/>
        </w:rPr>
        <w:t>根据项目的</w:t>
      </w:r>
      <w:r>
        <w:rPr>
          <w:rFonts w:hint="eastAsia" w:ascii="仿宋_GB2312" w:hAnsi="仿宋_GB2312" w:eastAsia="仿宋_GB2312" w:cs="仿宋_GB2312"/>
          <w:sz w:val="32"/>
          <w:szCs w:val="32"/>
          <w:lang w:val="en-US" w:eastAsia="zh-CN"/>
        </w:rPr>
        <w:t>实施</w:t>
      </w:r>
      <w:r>
        <w:rPr>
          <w:rFonts w:hint="eastAsia" w:ascii="仿宋_GB2312" w:hAnsi="仿宋_GB2312" w:eastAsia="仿宋_GB2312" w:cs="仿宋_GB2312"/>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指标体系结构如下（详见上传附件）：</w:t>
      </w:r>
    </w:p>
    <w:p w14:paraId="445ECA72">
      <w:pPr>
        <w:spacing w:line="600" w:lineRule="atLeast"/>
        <w:jc w:val="center"/>
        <w:rPr>
          <w:rFonts w:hint="default" w:ascii="仿宋_GB2312" w:hAnsi="仿宋_GB2312" w:eastAsia="仿宋_GB2312" w:cs="仿宋_GB2312"/>
          <w:b/>
          <w:bCs/>
          <w:spacing w:val="6"/>
          <w:sz w:val="22"/>
          <w:szCs w:val="22"/>
          <w:lang w:val="en-US" w:eastAsia="zh-CN"/>
        </w:rPr>
      </w:pPr>
      <w:r>
        <w:rPr>
          <w:rFonts w:hint="eastAsia" w:ascii="仿宋_GB2312" w:hAnsi="仿宋_GB2312" w:eastAsia="仿宋_GB2312" w:cs="仿宋_GB2312"/>
          <w:b/>
          <w:bCs/>
          <w:spacing w:val="6"/>
          <w:sz w:val="22"/>
          <w:szCs w:val="22"/>
          <w:lang w:val="zh-TW" w:eastAsia="zh-TW"/>
        </w:rPr>
        <w:t>项目绩效评价指标体系</w:t>
      </w:r>
    </w:p>
    <w:tbl>
      <w:tblPr>
        <w:tblStyle w:val="15"/>
        <w:tblW w:w="87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4"/>
        <w:gridCol w:w="1196"/>
        <w:gridCol w:w="1050"/>
        <w:gridCol w:w="1996"/>
        <w:gridCol w:w="3793"/>
      </w:tblGrid>
      <w:tr w14:paraId="6E7611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754" w:type="dxa"/>
            <w:shd w:val="clear" w:color="auto" w:fill="FFFFFF"/>
            <w:vAlign w:val="center"/>
          </w:tcPr>
          <w:p w14:paraId="4ADC9B0C">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一级指标</w:t>
            </w:r>
          </w:p>
        </w:tc>
        <w:tc>
          <w:tcPr>
            <w:tcW w:w="1196" w:type="dxa"/>
            <w:shd w:val="clear" w:color="auto" w:fill="FFFFFF"/>
            <w:vAlign w:val="center"/>
          </w:tcPr>
          <w:p w14:paraId="275DDBF6">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二级指标</w:t>
            </w:r>
          </w:p>
        </w:tc>
        <w:tc>
          <w:tcPr>
            <w:tcW w:w="1050" w:type="dxa"/>
            <w:shd w:val="clear" w:color="auto" w:fill="FFFFFF"/>
            <w:vAlign w:val="center"/>
          </w:tcPr>
          <w:p w14:paraId="29273ABD">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三级指标</w:t>
            </w:r>
          </w:p>
        </w:tc>
        <w:tc>
          <w:tcPr>
            <w:tcW w:w="1996" w:type="dxa"/>
            <w:shd w:val="clear" w:color="auto" w:fill="FFFFFF"/>
            <w:vAlign w:val="center"/>
          </w:tcPr>
          <w:p w14:paraId="471F90EE">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指标解释</w:t>
            </w:r>
          </w:p>
        </w:tc>
        <w:tc>
          <w:tcPr>
            <w:tcW w:w="3793" w:type="dxa"/>
            <w:shd w:val="clear" w:color="auto" w:fill="FFFFFF"/>
            <w:vAlign w:val="center"/>
          </w:tcPr>
          <w:p w14:paraId="40BC4E2A">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指标说明</w:t>
            </w:r>
          </w:p>
        </w:tc>
      </w:tr>
      <w:tr w14:paraId="45F5E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754" w:type="dxa"/>
            <w:vMerge w:val="restart"/>
            <w:shd w:val="clear" w:color="auto" w:fill="FFFFFF"/>
            <w:vAlign w:val="center"/>
          </w:tcPr>
          <w:p w14:paraId="52AE2E80">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决策</w:t>
            </w:r>
          </w:p>
        </w:tc>
        <w:tc>
          <w:tcPr>
            <w:tcW w:w="1196" w:type="dxa"/>
            <w:vMerge w:val="restart"/>
            <w:shd w:val="clear" w:color="auto" w:fill="FFFFFF"/>
            <w:vAlign w:val="center"/>
          </w:tcPr>
          <w:p w14:paraId="41B4BE32">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项目立项</w:t>
            </w:r>
          </w:p>
        </w:tc>
        <w:tc>
          <w:tcPr>
            <w:tcW w:w="1050" w:type="dxa"/>
            <w:shd w:val="clear" w:color="auto" w:fill="FFFFFF"/>
            <w:vAlign w:val="center"/>
          </w:tcPr>
          <w:p w14:paraId="670AB0F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立项依据充分性</w:t>
            </w:r>
          </w:p>
        </w:tc>
        <w:tc>
          <w:tcPr>
            <w:tcW w:w="1996" w:type="dxa"/>
            <w:shd w:val="clear" w:color="auto" w:fill="FFFFFF"/>
            <w:vAlign w:val="center"/>
          </w:tcPr>
          <w:p w14:paraId="3B77D39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项目立项是否符合法律法规、相关政策、发展规划以及部门职责，用以反映和考核项目立项依据情况。</w:t>
            </w:r>
          </w:p>
        </w:tc>
        <w:tc>
          <w:tcPr>
            <w:tcW w:w="3793" w:type="dxa"/>
            <w:shd w:val="clear" w:color="auto" w:fill="FFFFFF"/>
            <w:vAlign w:val="center"/>
          </w:tcPr>
          <w:p w14:paraId="44CF4C2F">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2A15C10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①项目立项是否符合国家法律法规、国民经济发展规划和相关政策；</w:t>
            </w:r>
          </w:p>
          <w:p w14:paraId="64B1538F">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②项目立项是否符合行业发展规划和政策要求；</w:t>
            </w:r>
          </w:p>
          <w:p w14:paraId="6C84E56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③项目立项是否与部门职责范围相符，属于部门履职所需；</w:t>
            </w:r>
          </w:p>
          <w:p w14:paraId="6025C58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④项目是否属于公共财政支持范围，是否符合中央、地方事权支出责任划分原则；</w:t>
            </w:r>
          </w:p>
          <w:p w14:paraId="4A16A12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⑤项目是否与相关部门同类项目或部门内部相关项目重复。</w:t>
            </w:r>
          </w:p>
        </w:tc>
      </w:tr>
      <w:tr w14:paraId="0E696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754" w:type="dxa"/>
            <w:vMerge w:val="continue"/>
            <w:shd w:val="clear" w:color="auto" w:fill="FFFFFF"/>
            <w:vAlign w:val="center"/>
          </w:tcPr>
          <w:p w14:paraId="047DBC4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continue"/>
            <w:shd w:val="clear" w:color="auto" w:fill="FFFFFF"/>
            <w:vAlign w:val="center"/>
          </w:tcPr>
          <w:p w14:paraId="11256381">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050" w:type="dxa"/>
            <w:shd w:val="clear" w:color="auto" w:fill="FFFFFF"/>
            <w:vAlign w:val="center"/>
          </w:tcPr>
          <w:p w14:paraId="7306B662">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立项程序规范性</w:t>
            </w:r>
          </w:p>
        </w:tc>
        <w:tc>
          <w:tcPr>
            <w:tcW w:w="1996" w:type="dxa"/>
            <w:shd w:val="clear" w:color="auto" w:fill="FFFFFF"/>
            <w:vAlign w:val="center"/>
          </w:tcPr>
          <w:p w14:paraId="3FFEED2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项目申请、设立过程是否符合相关要求，用以反映和考核项目立项的规范情况。</w:t>
            </w:r>
          </w:p>
        </w:tc>
        <w:tc>
          <w:tcPr>
            <w:tcW w:w="3793" w:type="dxa"/>
            <w:shd w:val="clear" w:color="auto" w:fill="FFFFFF"/>
            <w:vAlign w:val="center"/>
          </w:tcPr>
          <w:p w14:paraId="35DE3F1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4444146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①项目是否按照规定的程序申请设立；</w:t>
            </w:r>
          </w:p>
          <w:p w14:paraId="1BE03AF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②审批文件、材料是否符合相关要求；</w:t>
            </w:r>
          </w:p>
          <w:p w14:paraId="12568DE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③事前是否已经过必要的可行性研究、专家论证、风险评估、绩效评估、集体决策。</w:t>
            </w:r>
          </w:p>
        </w:tc>
      </w:tr>
      <w:tr w14:paraId="1AA80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754" w:type="dxa"/>
            <w:vMerge w:val="continue"/>
            <w:shd w:val="clear" w:color="auto" w:fill="FFFFFF"/>
            <w:vAlign w:val="center"/>
          </w:tcPr>
          <w:p w14:paraId="551D7E57">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restart"/>
            <w:shd w:val="clear" w:color="auto" w:fill="FFFFFF"/>
            <w:vAlign w:val="center"/>
          </w:tcPr>
          <w:p w14:paraId="7D067DA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绩效目标</w:t>
            </w:r>
          </w:p>
        </w:tc>
        <w:tc>
          <w:tcPr>
            <w:tcW w:w="1050" w:type="dxa"/>
            <w:shd w:val="clear" w:color="auto" w:fill="FFFFFF"/>
            <w:vAlign w:val="center"/>
          </w:tcPr>
          <w:p w14:paraId="6D2C7B4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绩效目标合理性</w:t>
            </w:r>
          </w:p>
        </w:tc>
        <w:tc>
          <w:tcPr>
            <w:tcW w:w="1996" w:type="dxa"/>
            <w:shd w:val="clear" w:color="000000" w:fill="FFFFFF"/>
            <w:vAlign w:val="center"/>
          </w:tcPr>
          <w:p w14:paraId="7363A8B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项目所设定的绩效目标是否依据充分，是否符合客观实际，用以反映和考核项目绩效目标与项目实施的相符情况。</w:t>
            </w:r>
          </w:p>
        </w:tc>
        <w:tc>
          <w:tcPr>
            <w:tcW w:w="3793" w:type="dxa"/>
            <w:shd w:val="clear" w:color="000000" w:fill="FFFFFF"/>
            <w:vAlign w:val="center"/>
          </w:tcPr>
          <w:p w14:paraId="7E54090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25BCD27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（如未设定预算绩效目标，也可考核其他工作任务目标）</w:t>
            </w:r>
          </w:p>
          <w:p w14:paraId="183F46B9">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①项目是否有绩效目标；</w:t>
            </w:r>
          </w:p>
          <w:p w14:paraId="6B048B9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②项目绩效目标与实际工作内容是否具有相关性；</w:t>
            </w:r>
          </w:p>
          <w:p w14:paraId="721C90F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③项目预期产出效益和效果是否符合正常的业绩水平；</w:t>
            </w:r>
          </w:p>
          <w:p w14:paraId="5BBB8581">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④是否与预算确定的项目投资额或资金量相匹配。</w:t>
            </w:r>
          </w:p>
        </w:tc>
      </w:tr>
      <w:tr w14:paraId="5E94B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754" w:type="dxa"/>
            <w:vMerge w:val="continue"/>
            <w:shd w:val="clear" w:color="auto" w:fill="FFFFFF"/>
            <w:vAlign w:val="center"/>
          </w:tcPr>
          <w:p w14:paraId="6B1D558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continue"/>
            <w:shd w:val="clear" w:color="auto" w:fill="FFFFFF"/>
            <w:vAlign w:val="center"/>
          </w:tcPr>
          <w:p w14:paraId="4555145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050" w:type="dxa"/>
            <w:shd w:val="clear" w:color="auto" w:fill="FFFFFF"/>
            <w:vAlign w:val="center"/>
          </w:tcPr>
          <w:p w14:paraId="61DBC06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绩效指标明确性</w:t>
            </w:r>
          </w:p>
        </w:tc>
        <w:tc>
          <w:tcPr>
            <w:tcW w:w="1996" w:type="dxa"/>
            <w:shd w:val="clear" w:color="000000" w:fill="FFFFFF"/>
            <w:vAlign w:val="center"/>
          </w:tcPr>
          <w:p w14:paraId="28528AD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依据绩效目标设定的绩效指标是否清晰、细化、可衡量等，用以反映和考核项目绩效目标的明细化情况。</w:t>
            </w:r>
          </w:p>
        </w:tc>
        <w:tc>
          <w:tcPr>
            <w:tcW w:w="3793" w:type="dxa"/>
            <w:shd w:val="clear" w:color="000000" w:fill="FFFFFF"/>
            <w:vAlign w:val="center"/>
          </w:tcPr>
          <w:p w14:paraId="6888081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05510AF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①是否将项目绩效目标细化分解为具体的绩效指标；</w:t>
            </w:r>
          </w:p>
          <w:p w14:paraId="5893C58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②是否通过清晰、可衡量的指标值予以体现；</w:t>
            </w:r>
          </w:p>
          <w:p w14:paraId="3450A8F1">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③是否与项目目标任务数或计划数相对应。</w:t>
            </w:r>
          </w:p>
        </w:tc>
      </w:tr>
      <w:tr w14:paraId="1768E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754" w:type="dxa"/>
            <w:vMerge w:val="continue"/>
            <w:shd w:val="clear" w:color="auto" w:fill="FFFFFF"/>
            <w:vAlign w:val="center"/>
          </w:tcPr>
          <w:p w14:paraId="6EA5046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restart"/>
            <w:shd w:val="clear" w:color="auto" w:fill="FFFFFF"/>
            <w:vAlign w:val="center"/>
          </w:tcPr>
          <w:p w14:paraId="3B216D5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资金投入</w:t>
            </w:r>
          </w:p>
        </w:tc>
        <w:tc>
          <w:tcPr>
            <w:tcW w:w="1050" w:type="dxa"/>
            <w:shd w:val="clear" w:color="auto" w:fill="FFFFFF"/>
            <w:vAlign w:val="center"/>
          </w:tcPr>
          <w:p w14:paraId="599F0B3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预算编制科学性</w:t>
            </w:r>
          </w:p>
        </w:tc>
        <w:tc>
          <w:tcPr>
            <w:tcW w:w="1996" w:type="dxa"/>
            <w:shd w:val="clear" w:color="auto" w:fill="FFFFFF"/>
            <w:vAlign w:val="center"/>
          </w:tcPr>
          <w:p w14:paraId="526F330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14:paraId="3ECAF6D9">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50337BC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①预算编制是否经过科学论证；</w:t>
            </w:r>
          </w:p>
          <w:p w14:paraId="769E3497">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②预算内容与项目内容是否匹配；</w:t>
            </w:r>
          </w:p>
          <w:p w14:paraId="292F2E18">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③预算额度测算依据是否充分，是否按照标准编制；</w:t>
            </w:r>
          </w:p>
          <w:p w14:paraId="2B63931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④预算确定的项目投资额或资金量是否与工作任务相匹配。</w:t>
            </w:r>
          </w:p>
        </w:tc>
      </w:tr>
      <w:tr w14:paraId="30077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754" w:type="dxa"/>
            <w:vMerge w:val="continue"/>
            <w:shd w:val="clear" w:color="auto" w:fill="FFFFFF"/>
            <w:vAlign w:val="center"/>
          </w:tcPr>
          <w:p w14:paraId="3915376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continue"/>
            <w:shd w:val="clear" w:color="auto" w:fill="FFFFFF"/>
            <w:vAlign w:val="center"/>
          </w:tcPr>
          <w:p w14:paraId="280E525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050" w:type="dxa"/>
            <w:shd w:val="clear" w:color="auto" w:fill="FFFFFF"/>
            <w:vAlign w:val="center"/>
          </w:tcPr>
          <w:p w14:paraId="1B337A71">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资金分配合理性</w:t>
            </w:r>
          </w:p>
        </w:tc>
        <w:tc>
          <w:tcPr>
            <w:tcW w:w="1996" w:type="dxa"/>
            <w:shd w:val="clear" w:color="auto" w:fill="FFFFFF"/>
            <w:vAlign w:val="center"/>
          </w:tcPr>
          <w:p w14:paraId="58E4071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14:paraId="464D8B58">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266A3139">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①预算资金分配依据是否充分；</w:t>
            </w:r>
          </w:p>
          <w:p w14:paraId="7D7164C0">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②资金分配额度是否合理，与项目单位或地方实际是否相适应。</w:t>
            </w:r>
          </w:p>
        </w:tc>
      </w:tr>
      <w:tr w14:paraId="21074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754" w:type="dxa"/>
            <w:vMerge w:val="restart"/>
            <w:shd w:val="clear" w:color="auto" w:fill="FFFFFF"/>
            <w:vAlign w:val="center"/>
          </w:tcPr>
          <w:p w14:paraId="7B49873F">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过程</w:t>
            </w:r>
          </w:p>
        </w:tc>
        <w:tc>
          <w:tcPr>
            <w:tcW w:w="1196" w:type="dxa"/>
            <w:vMerge w:val="restart"/>
            <w:shd w:val="clear" w:color="auto" w:fill="FFFFFF"/>
            <w:vAlign w:val="center"/>
          </w:tcPr>
          <w:p w14:paraId="49158E2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资金管理</w:t>
            </w:r>
          </w:p>
        </w:tc>
        <w:tc>
          <w:tcPr>
            <w:tcW w:w="1050" w:type="dxa"/>
            <w:shd w:val="clear" w:color="auto" w:fill="FFFFFF"/>
            <w:vAlign w:val="center"/>
          </w:tcPr>
          <w:p w14:paraId="3E9E409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资金到位率</w:t>
            </w:r>
          </w:p>
        </w:tc>
        <w:tc>
          <w:tcPr>
            <w:tcW w:w="1996" w:type="dxa"/>
            <w:shd w:val="clear" w:color="000000" w:fill="FFFFFF"/>
            <w:vAlign w:val="center"/>
          </w:tcPr>
          <w:p w14:paraId="3DBA85D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实际到位资金与预算资金的比率，用以反映和考核资金落实情况对项目实施的总体保障程度。</w:t>
            </w:r>
          </w:p>
        </w:tc>
        <w:tc>
          <w:tcPr>
            <w:tcW w:w="3793" w:type="dxa"/>
            <w:shd w:val="clear" w:color="000000" w:fill="FFFFFF"/>
            <w:vAlign w:val="center"/>
          </w:tcPr>
          <w:p w14:paraId="4405569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资金到位率=（实际到位资金/预算资金）×100%。</w:t>
            </w:r>
          </w:p>
          <w:p w14:paraId="60C5F37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实际到位资金：一定时期（本年度或项目期）内落实到具体项目的资金。</w:t>
            </w:r>
          </w:p>
          <w:p w14:paraId="3C95A2F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预算资金：一定时期（本年度或项目期）内预算安排到具体项目的资金。</w:t>
            </w:r>
          </w:p>
        </w:tc>
      </w:tr>
      <w:tr w14:paraId="7728E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754" w:type="dxa"/>
            <w:vMerge w:val="continue"/>
            <w:shd w:val="clear" w:color="auto" w:fill="FFFFFF"/>
            <w:vAlign w:val="center"/>
          </w:tcPr>
          <w:p w14:paraId="68E4FA1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continue"/>
            <w:shd w:val="clear" w:color="auto" w:fill="FFFFFF"/>
            <w:vAlign w:val="center"/>
          </w:tcPr>
          <w:p w14:paraId="58FD4B5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050" w:type="dxa"/>
            <w:shd w:val="clear" w:color="auto" w:fill="FFFFFF"/>
            <w:vAlign w:val="center"/>
          </w:tcPr>
          <w:p w14:paraId="1069802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预算执行率</w:t>
            </w:r>
          </w:p>
        </w:tc>
        <w:tc>
          <w:tcPr>
            <w:tcW w:w="1996" w:type="dxa"/>
            <w:shd w:val="clear" w:color="auto" w:fill="FFFFFF"/>
            <w:vAlign w:val="center"/>
          </w:tcPr>
          <w:p w14:paraId="4AEF355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项目预算资金是否按照计划执行，用以反映或考核项目预算执行情况。</w:t>
            </w:r>
          </w:p>
        </w:tc>
        <w:tc>
          <w:tcPr>
            <w:tcW w:w="3793" w:type="dxa"/>
            <w:shd w:val="clear" w:color="auto" w:fill="FFFFFF"/>
            <w:vAlign w:val="center"/>
          </w:tcPr>
          <w:p w14:paraId="76BFDBB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预算执行率=（实际支出资金/实际到位资金）×100%。</w:t>
            </w:r>
          </w:p>
          <w:p w14:paraId="372F445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实际支出资金：一定时期（本年度或项目期）内项目实际拨付的资金。</w:t>
            </w:r>
          </w:p>
        </w:tc>
      </w:tr>
      <w:tr w14:paraId="53F35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754" w:type="dxa"/>
            <w:vMerge w:val="continue"/>
            <w:shd w:val="clear" w:color="auto" w:fill="FFFFFF"/>
            <w:vAlign w:val="center"/>
          </w:tcPr>
          <w:p w14:paraId="27727B0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continue"/>
            <w:shd w:val="clear" w:color="auto" w:fill="FFFFFF"/>
            <w:vAlign w:val="center"/>
          </w:tcPr>
          <w:p w14:paraId="6EBCD8C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050" w:type="dxa"/>
            <w:shd w:val="clear" w:color="auto" w:fill="FFFFFF"/>
            <w:vAlign w:val="center"/>
          </w:tcPr>
          <w:p w14:paraId="007EAB49">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资金使用合规性</w:t>
            </w:r>
          </w:p>
        </w:tc>
        <w:tc>
          <w:tcPr>
            <w:tcW w:w="1996" w:type="dxa"/>
            <w:shd w:val="clear" w:color="000000" w:fill="FFFFFF"/>
            <w:vAlign w:val="center"/>
          </w:tcPr>
          <w:p w14:paraId="4487052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项目资金使用是否符合相关的财务管理制度规定，用以反映和考核项目资金的规范运行情况。</w:t>
            </w:r>
          </w:p>
        </w:tc>
        <w:tc>
          <w:tcPr>
            <w:tcW w:w="3793" w:type="dxa"/>
            <w:shd w:val="clear" w:color="000000" w:fill="FFFFFF"/>
            <w:vAlign w:val="center"/>
          </w:tcPr>
          <w:p w14:paraId="51B37CD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78343E59">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①是否符合国家财经法规和财务管理制度以及有关专项资金管理办法的规定；</w:t>
            </w:r>
          </w:p>
          <w:p w14:paraId="2F3542D2">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②资金的拨付是否有完整的审批程序和手续；</w:t>
            </w:r>
          </w:p>
          <w:p w14:paraId="4A5CF6D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③是否符合项目预算批复或合同规定的用途；</w:t>
            </w:r>
          </w:p>
          <w:p w14:paraId="1373FB0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④是否存在截留、挤占、挪用、虚列支出等情况。</w:t>
            </w:r>
          </w:p>
        </w:tc>
      </w:tr>
      <w:tr w14:paraId="60F69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754" w:type="dxa"/>
            <w:vMerge w:val="continue"/>
            <w:shd w:val="clear" w:color="auto" w:fill="FFFFFF"/>
            <w:vAlign w:val="center"/>
          </w:tcPr>
          <w:p w14:paraId="24327F0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restart"/>
            <w:shd w:val="clear" w:color="auto" w:fill="FFFFFF"/>
            <w:vAlign w:val="center"/>
          </w:tcPr>
          <w:p w14:paraId="5679D817">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组织实施</w:t>
            </w:r>
          </w:p>
        </w:tc>
        <w:tc>
          <w:tcPr>
            <w:tcW w:w="1050" w:type="dxa"/>
            <w:shd w:val="clear" w:color="auto" w:fill="FFFFFF"/>
            <w:vAlign w:val="center"/>
          </w:tcPr>
          <w:p w14:paraId="44D0415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管理制度健全性</w:t>
            </w:r>
          </w:p>
        </w:tc>
        <w:tc>
          <w:tcPr>
            <w:tcW w:w="1996" w:type="dxa"/>
            <w:shd w:val="clear" w:color="000000" w:fill="FFFFFF"/>
            <w:vAlign w:val="center"/>
          </w:tcPr>
          <w:p w14:paraId="78417B50">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项目实施单位的财务和业务管理制度是否健全，用以反映和考核财务和业务管理制度对项目顺利实施的保障情况。</w:t>
            </w:r>
          </w:p>
        </w:tc>
        <w:tc>
          <w:tcPr>
            <w:tcW w:w="3793" w:type="dxa"/>
            <w:shd w:val="clear" w:color="000000" w:fill="FFFFFF"/>
            <w:vAlign w:val="center"/>
          </w:tcPr>
          <w:p w14:paraId="76A3908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2F01D12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①是否已制定或具有相应的财务和业务管理制度；</w:t>
            </w:r>
          </w:p>
          <w:p w14:paraId="0B05B24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②财务和业务管理制度是否合法、合规、完整。</w:t>
            </w:r>
          </w:p>
        </w:tc>
      </w:tr>
      <w:tr w14:paraId="226B1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754" w:type="dxa"/>
            <w:vMerge w:val="continue"/>
            <w:shd w:val="clear" w:color="auto" w:fill="FFFFFF"/>
            <w:vAlign w:val="center"/>
          </w:tcPr>
          <w:p w14:paraId="6EFDC0A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continue"/>
            <w:shd w:val="clear" w:color="auto" w:fill="FFFFFF"/>
            <w:vAlign w:val="center"/>
          </w:tcPr>
          <w:p w14:paraId="3AEA265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050" w:type="dxa"/>
            <w:shd w:val="clear" w:color="auto" w:fill="FFFFFF"/>
            <w:vAlign w:val="center"/>
          </w:tcPr>
          <w:p w14:paraId="6B6C687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制度执行有效性</w:t>
            </w:r>
          </w:p>
        </w:tc>
        <w:tc>
          <w:tcPr>
            <w:tcW w:w="1996" w:type="dxa"/>
            <w:shd w:val="clear" w:color="000000" w:fill="FFFFFF"/>
            <w:vAlign w:val="center"/>
          </w:tcPr>
          <w:p w14:paraId="0596032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项目实施是否符合相关管理规定，用以反映和考核相关管理制度的有效执行情况。</w:t>
            </w:r>
          </w:p>
        </w:tc>
        <w:tc>
          <w:tcPr>
            <w:tcW w:w="3793" w:type="dxa"/>
            <w:shd w:val="clear" w:color="000000" w:fill="FFFFFF"/>
            <w:vAlign w:val="center"/>
          </w:tcPr>
          <w:p w14:paraId="39FA0C3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评价标准：</w:t>
            </w:r>
          </w:p>
          <w:p w14:paraId="5323653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①是否遵守相关法律法规和相关管理规定；</w:t>
            </w:r>
          </w:p>
          <w:p w14:paraId="57A02282">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②项目调整及支出调整手续是否完备；</w:t>
            </w:r>
          </w:p>
          <w:p w14:paraId="4B05742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③项目合同书、验收报告、技术鉴定等资料是否齐全并及时归档；</w:t>
            </w:r>
          </w:p>
          <w:p w14:paraId="7E9A0131">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④项目实施的人员条件、场地设备、信息支撑等是否落实到位。</w:t>
            </w:r>
          </w:p>
        </w:tc>
      </w:tr>
      <w:tr w14:paraId="51A54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754" w:type="dxa"/>
            <w:vMerge w:val="restart"/>
            <w:shd w:val="clear" w:color="auto" w:fill="FFFFFF"/>
            <w:vAlign w:val="center"/>
          </w:tcPr>
          <w:p w14:paraId="5D18C4C2">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产出</w:t>
            </w:r>
          </w:p>
        </w:tc>
        <w:tc>
          <w:tcPr>
            <w:tcW w:w="1196" w:type="dxa"/>
            <w:shd w:val="clear" w:color="auto" w:fill="FFFFFF"/>
            <w:vAlign w:val="center"/>
          </w:tcPr>
          <w:p w14:paraId="3BA00389">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产出数量</w:t>
            </w:r>
          </w:p>
        </w:tc>
        <w:tc>
          <w:tcPr>
            <w:tcW w:w="1050" w:type="dxa"/>
            <w:shd w:val="clear" w:color="auto" w:fill="FFFFFF"/>
            <w:vAlign w:val="center"/>
          </w:tcPr>
          <w:p w14:paraId="78B3EEE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实际完成率</w:t>
            </w:r>
          </w:p>
        </w:tc>
        <w:tc>
          <w:tcPr>
            <w:tcW w:w="1996" w:type="dxa"/>
            <w:shd w:val="clear" w:color="000000" w:fill="FFFFFF"/>
            <w:vAlign w:val="center"/>
          </w:tcPr>
          <w:p w14:paraId="6BF8D477">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项目实施的实际产出数与计划产出数的比率，用以反映和考核项目产出数量目标的实现程度。</w:t>
            </w:r>
          </w:p>
        </w:tc>
        <w:tc>
          <w:tcPr>
            <w:tcW w:w="3793" w:type="dxa"/>
            <w:shd w:val="clear" w:color="000000" w:fill="FFFFFF"/>
            <w:vAlign w:val="center"/>
          </w:tcPr>
          <w:p w14:paraId="7684AE71">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实际完成率=（实际产出数/计划产出数）×100%。</w:t>
            </w:r>
          </w:p>
          <w:p w14:paraId="6493A09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实际产出数：一定时期（本年度或项目期）内项目实际产出的产品或提供的服务数量。</w:t>
            </w:r>
          </w:p>
          <w:p w14:paraId="66AC5F4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计划产出数：项目绩效目标确定的在一定时期（本年度或项目期）内计划产出的产品或提供的服务数量。</w:t>
            </w:r>
          </w:p>
        </w:tc>
      </w:tr>
      <w:tr w14:paraId="21BF9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4" w:type="dxa"/>
            <w:vMerge w:val="continue"/>
            <w:shd w:val="clear" w:color="auto" w:fill="FFFFFF"/>
            <w:vAlign w:val="center"/>
          </w:tcPr>
          <w:p w14:paraId="77F0EA5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shd w:val="clear" w:color="auto" w:fill="FFFFFF"/>
            <w:vAlign w:val="center"/>
          </w:tcPr>
          <w:p w14:paraId="4907AFB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产出质量</w:t>
            </w:r>
          </w:p>
        </w:tc>
        <w:tc>
          <w:tcPr>
            <w:tcW w:w="1050" w:type="dxa"/>
            <w:shd w:val="clear" w:color="auto" w:fill="FFFFFF"/>
            <w:vAlign w:val="center"/>
          </w:tcPr>
          <w:p w14:paraId="674E6BA9">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质量达标率</w:t>
            </w:r>
          </w:p>
        </w:tc>
        <w:tc>
          <w:tcPr>
            <w:tcW w:w="1996" w:type="dxa"/>
            <w:shd w:val="clear" w:color="000000" w:fill="FFFFFF"/>
            <w:vAlign w:val="center"/>
          </w:tcPr>
          <w:p w14:paraId="60580C4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项目完成的质量达标产出数与实际产出数的比率，用以反映和考核项目产出质量目标的实现程度。</w:t>
            </w:r>
          </w:p>
        </w:tc>
        <w:tc>
          <w:tcPr>
            <w:tcW w:w="3793" w:type="dxa"/>
            <w:shd w:val="clear" w:color="000000" w:fill="FFFFFF"/>
            <w:vAlign w:val="center"/>
          </w:tcPr>
          <w:p w14:paraId="7BFF1E10">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质量达标率=（质量达标产出数/实际产出数）×100%。</w:t>
            </w:r>
          </w:p>
          <w:p w14:paraId="04B867E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509F0B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754" w:type="dxa"/>
            <w:vMerge w:val="continue"/>
            <w:shd w:val="clear" w:color="auto" w:fill="FFFFFF"/>
            <w:vAlign w:val="center"/>
          </w:tcPr>
          <w:p w14:paraId="1B5A5DF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shd w:val="clear" w:color="auto" w:fill="FFFFFF"/>
            <w:vAlign w:val="center"/>
          </w:tcPr>
          <w:p w14:paraId="6263A80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产出时效</w:t>
            </w:r>
          </w:p>
        </w:tc>
        <w:tc>
          <w:tcPr>
            <w:tcW w:w="1050" w:type="dxa"/>
            <w:shd w:val="clear" w:color="auto" w:fill="FFFFFF"/>
            <w:vAlign w:val="center"/>
          </w:tcPr>
          <w:p w14:paraId="41CF242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完成及时性</w:t>
            </w:r>
          </w:p>
        </w:tc>
        <w:tc>
          <w:tcPr>
            <w:tcW w:w="1996" w:type="dxa"/>
            <w:shd w:val="clear" w:color="000000" w:fill="FFFFFF"/>
            <w:vAlign w:val="center"/>
          </w:tcPr>
          <w:p w14:paraId="5A1E2FC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项目实际完成时间与计划完成时间的比较，用以反映和考核项目产出时效目标的实现程度。</w:t>
            </w:r>
          </w:p>
        </w:tc>
        <w:tc>
          <w:tcPr>
            <w:tcW w:w="3793" w:type="dxa"/>
            <w:shd w:val="clear" w:color="000000" w:fill="FFFFFF"/>
            <w:vAlign w:val="center"/>
          </w:tcPr>
          <w:p w14:paraId="29031B2F">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实际完成时间：项目实施单位完成该项目实际所耗用的时间。</w:t>
            </w:r>
          </w:p>
          <w:p w14:paraId="7019D1BE">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计划完成时间：按照项目实施计划或相关规定完成该项目所需的时间。</w:t>
            </w:r>
          </w:p>
        </w:tc>
      </w:tr>
      <w:tr w14:paraId="29315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754" w:type="dxa"/>
            <w:vMerge w:val="continue"/>
            <w:shd w:val="clear" w:color="auto" w:fill="FFFFFF"/>
            <w:vAlign w:val="center"/>
          </w:tcPr>
          <w:p w14:paraId="470EEFAB">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shd w:val="clear" w:color="auto" w:fill="FFFFFF"/>
            <w:vAlign w:val="center"/>
          </w:tcPr>
          <w:p w14:paraId="3DA9AC7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产出成本</w:t>
            </w:r>
          </w:p>
        </w:tc>
        <w:tc>
          <w:tcPr>
            <w:tcW w:w="1050" w:type="dxa"/>
            <w:shd w:val="clear" w:color="auto" w:fill="FFFFFF"/>
            <w:vAlign w:val="center"/>
          </w:tcPr>
          <w:p w14:paraId="466F55F8">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成本节约率</w:t>
            </w:r>
          </w:p>
        </w:tc>
        <w:tc>
          <w:tcPr>
            <w:tcW w:w="1996" w:type="dxa"/>
            <w:shd w:val="clear" w:color="000000" w:fill="FFFFFF"/>
            <w:vAlign w:val="center"/>
          </w:tcPr>
          <w:p w14:paraId="0344C1D6">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完成项目计划工作目标的实际节约成本与计划成本的比率，用以反映和考核项目的成本节约程度。</w:t>
            </w:r>
          </w:p>
        </w:tc>
        <w:tc>
          <w:tcPr>
            <w:tcW w:w="3793" w:type="dxa"/>
            <w:shd w:val="clear" w:color="000000" w:fill="FFFFFF"/>
            <w:vAlign w:val="center"/>
          </w:tcPr>
          <w:p w14:paraId="14A99318">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成本节约率=[（计划成本-实际成本）/计划成本]×100%。</w:t>
            </w:r>
          </w:p>
          <w:p w14:paraId="236CC63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实际成本：项目实施单位如期、保质、保量完成既定工作目标实际所耗费的支出。</w:t>
            </w:r>
          </w:p>
          <w:p w14:paraId="0366EA7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计划成本：项目实施单位为完成工作目标计划安排的支出，一般以项目预算为参考。</w:t>
            </w:r>
          </w:p>
        </w:tc>
      </w:tr>
      <w:tr w14:paraId="1DB2F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754" w:type="dxa"/>
            <w:vMerge w:val="restart"/>
            <w:shd w:val="clear" w:color="auto" w:fill="FFFFFF"/>
            <w:vAlign w:val="center"/>
          </w:tcPr>
          <w:p w14:paraId="38C21657">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效益</w:t>
            </w:r>
          </w:p>
        </w:tc>
        <w:tc>
          <w:tcPr>
            <w:tcW w:w="1196" w:type="dxa"/>
            <w:vMerge w:val="restart"/>
            <w:shd w:val="clear" w:color="auto" w:fill="FFFFFF"/>
            <w:vAlign w:val="center"/>
          </w:tcPr>
          <w:p w14:paraId="1964EC4F">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项目效益</w:t>
            </w:r>
          </w:p>
        </w:tc>
        <w:tc>
          <w:tcPr>
            <w:tcW w:w="1050" w:type="dxa"/>
            <w:shd w:val="clear" w:color="auto" w:fill="FFFFFF"/>
            <w:vAlign w:val="center"/>
          </w:tcPr>
          <w:p w14:paraId="36FF422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实施效益</w:t>
            </w:r>
          </w:p>
        </w:tc>
        <w:tc>
          <w:tcPr>
            <w:tcW w:w="1996" w:type="dxa"/>
            <w:shd w:val="clear" w:color="auto" w:fill="FFFFFF"/>
            <w:vAlign w:val="center"/>
          </w:tcPr>
          <w:p w14:paraId="5C19E951">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项目实施所产生的效益。</w:t>
            </w:r>
          </w:p>
        </w:tc>
        <w:tc>
          <w:tcPr>
            <w:tcW w:w="3793" w:type="dxa"/>
            <w:shd w:val="clear" w:color="auto" w:fill="FFFFFF"/>
            <w:vAlign w:val="center"/>
          </w:tcPr>
          <w:p w14:paraId="1AF4D275">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项目实施所产生的社会效益、经济效益、生态效益、可持续影响等。可根据项目实际情况有选择地设置和细化。</w:t>
            </w:r>
          </w:p>
        </w:tc>
      </w:tr>
      <w:tr w14:paraId="3C33F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754" w:type="dxa"/>
            <w:vMerge w:val="continue"/>
            <w:shd w:val="clear" w:color="auto" w:fill="FFFFFF"/>
            <w:vAlign w:val="center"/>
          </w:tcPr>
          <w:p w14:paraId="6819CF1C">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196" w:type="dxa"/>
            <w:vMerge w:val="continue"/>
            <w:shd w:val="clear" w:color="auto" w:fill="FFFFFF"/>
            <w:vAlign w:val="center"/>
          </w:tcPr>
          <w:p w14:paraId="2EF8CA44">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p>
        </w:tc>
        <w:tc>
          <w:tcPr>
            <w:tcW w:w="1050" w:type="dxa"/>
            <w:shd w:val="clear" w:color="auto" w:fill="FFFFFF"/>
            <w:vAlign w:val="center"/>
          </w:tcPr>
          <w:p w14:paraId="69851483">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满意度</w:t>
            </w:r>
          </w:p>
        </w:tc>
        <w:tc>
          <w:tcPr>
            <w:tcW w:w="1996" w:type="dxa"/>
            <w:shd w:val="clear" w:color="000000" w:fill="FFFFFF"/>
            <w:vAlign w:val="center"/>
          </w:tcPr>
          <w:p w14:paraId="2CB263BD">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社会公众或服务对象对项目实施效果的满意程度。</w:t>
            </w:r>
          </w:p>
        </w:tc>
        <w:tc>
          <w:tcPr>
            <w:tcW w:w="3793" w:type="dxa"/>
            <w:shd w:val="clear" w:color="000000" w:fill="FFFFFF"/>
            <w:vAlign w:val="center"/>
          </w:tcPr>
          <w:p w14:paraId="16E3B6DA">
            <w:pPr>
              <w:widowControl/>
              <w:spacing w:line="240" w:lineRule="auto"/>
              <w:ind w:firstLine="0" w:firstLineChars="0"/>
              <w:jc w:val="left"/>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社会公众或服务对象是指因该项目实施而受到影响的部门（单位）、群体或个人。一般采取社会调查的方式。</w:t>
            </w:r>
          </w:p>
        </w:tc>
      </w:tr>
    </w:tbl>
    <w:p w14:paraId="46EB1D76">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3.评价方法</w:t>
      </w:r>
    </w:p>
    <w:p w14:paraId="694D68D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绩效评价采用的方法为比较法、因素分析法、公众评判法对项目绩效目标预期目标值与实施情况进行比较，以及采取公众问卷及抽样调查等方式进行评判的方法对政务服务和公共资源交易运转保障项目进行评价。</w:t>
      </w:r>
    </w:p>
    <w:p w14:paraId="1DE08721">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4.评价标准</w:t>
      </w:r>
    </w:p>
    <w:p w14:paraId="55B3181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（1）计划标准。指以预先制定的目标、计划、预算、定额等作为评价标准。</w:t>
      </w:r>
    </w:p>
    <w:p w14:paraId="6A1E4176">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（2）行业标准。指参照国家公布的行业指标数据制定的评价标准。</w:t>
      </w:r>
    </w:p>
    <w:p w14:paraId="78EC709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（3）历史标准。指参照历史数据制定的评价标准，为体现绩效改进的原则，在可实现的条件下应当确定相对较高的评价标准。</w:t>
      </w:r>
    </w:p>
    <w:p w14:paraId="3EB9BD35">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（4）财政部门和预算部门确认或认可的其他标准。</w:t>
      </w:r>
    </w:p>
    <w:p w14:paraId="01D094D4">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12" w:name="_Toc5850"/>
      <w:r>
        <w:rPr>
          <w:rFonts w:hint="eastAsia" w:ascii="楷体_GB2312" w:hAnsi="Times New Roman" w:eastAsia="楷体_GB2312" w:cs="宋体"/>
          <w:b/>
          <w:bCs/>
          <w:color w:val="auto"/>
          <w:spacing w:val="6"/>
          <w:kern w:val="2"/>
          <w:sz w:val="32"/>
          <w:szCs w:val="32"/>
          <w:highlight w:val="none"/>
          <w:lang w:val="en-US" w:eastAsia="zh-CN" w:bidi="ar-SA"/>
        </w:rPr>
        <w:t>（三）绩效评价工作过程</w:t>
      </w:r>
      <w:bookmarkEnd w:id="12"/>
    </w:p>
    <w:p w14:paraId="315765F8">
      <w:pPr>
        <w:spacing w:line="600" w:lineRule="exact"/>
        <w:ind w:firstLine="602" w:firstLineChars="200"/>
        <w:outlineLvl w:val="2"/>
        <w:rPr>
          <w:rFonts w:hint="eastAsia" w:ascii="仿宋_GB2312" w:hAnsi="Times New Roman" w:cs="Times New Roman"/>
          <w:b/>
          <w:bCs/>
          <w:color w:val="auto"/>
          <w:lang w:val="en-US" w:eastAsia="zh-CN"/>
        </w:rPr>
      </w:pPr>
      <w:r>
        <w:rPr>
          <w:rFonts w:hint="eastAsia" w:ascii="仿宋_GB2312" w:hAnsi="Times New Roman" w:cs="Times New Roman"/>
          <w:b/>
          <w:bCs/>
          <w:color w:val="auto"/>
          <w:lang w:val="en-US" w:eastAsia="zh-CN"/>
        </w:rPr>
        <w:t>1.前期准备</w:t>
      </w:r>
    </w:p>
    <w:p w14:paraId="70C3E7D5">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（1）成立绩效评价项目小组</w:t>
      </w:r>
    </w:p>
    <w:p w14:paraId="69E358D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为确保该项目绩效评价的顺利实施，评价机构组建了绩效评价项目小组。项目小组负责建立联络制度、明确评价责任人、制定评价方案、实施具体评价等工作。</w:t>
      </w:r>
    </w:p>
    <w:p w14:paraId="4EA8DB6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（2）开展前期调研</w:t>
      </w:r>
    </w:p>
    <w:p w14:paraId="1BAECA6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评价项目小组依据此次绩效评价受委托内容，对拟评价的项目实施前期调研。通过调研对政务服务和公共资源交易运转保障项目实施内容、目标信息、预算信息以及其他的一些项目基本信息，有了初步了解，为制定绩效评价工作方案做好准备。</w:t>
      </w:r>
    </w:p>
    <w:p w14:paraId="3E84962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（3）制订绩效评价工作方案</w:t>
      </w:r>
    </w:p>
    <w:p w14:paraId="4A9058A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绩效评价项目小组根据有关规定和评价对象的特点以及前期调研收集的一些信息，拟定详细的绩效评价工作方案。</w:t>
      </w:r>
    </w:p>
    <w:p w14:paraId="258125D8">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2.具体实施</w:t>
      </w:r>
    </w:p>
    <w:p w14:paraId="4797C6F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（1）收集基础资料</w:t>
      </w:r>
    </w:p>
    <w:p w14:paraId="57896523">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根据评价工作的需要和要求，在前期调研的基础上，通过多种渠道全面收集项目基础信息资料，主要包括：</w:t>
      </w:r>
    </w:p>
    <w:p w14:paraId="268375C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①被评价单位基本概况，如单位职能、事业发展规划、预决算情况、项目立项依据等；</w:t>
      </w:r>
    </w:p>
    <w:p w14:paraId="33FB81D8">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②绩效目标及其设立依据和调整情况；</w:t>
      </w:r>
    </w:p>
    <w:p w14:paraId="0F35566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③管理措施及组织实施情况；</w:t>
      </w:r>
    </w:p>
    <w:p w14:paraId="62AC77D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④被评价单位总结分析的绩效目标完成情况及绩效报告；</w:t>
      </w:r>
    </w:p>
    <w:p w14:paraId="01670318">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⑤与绩效评价相关的计划标准、行业标准、历史标准等；</w:t>
      </w:r>
    </w:p>
    <w:p w14:paraId="631EC9D5">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⑥其他必要的相关资料等。</w:t>
      </w:r>
    </w:p>
    <w:p w14:paraId="3C6B43C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（2）整理、研读基础资料</w:t>
      </w:r>
    </w:p>
    <w:p w14:paraId="39D5CC8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14:paraId="3F66BE92">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3.分析评价和撰写报告</w:t>
      </w:r>
    </w:p>
    <w:p w14:paraId="773CEE5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（1）综合分析评价</w:t>
      </w:r>
    </w:p>
    <w:p w14:paraId="15FDA51C">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①根据所收集的基础资料，结合现场核查的有关情况，整理出绩效评价所需的项目材料和基础数据。</w:t>
      </w:r>
    </w:p>
    <w:p w14:paraId="6710CE93">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②将初步评价结论、调整事项、专家咨询意见和有关说明等提交单位内部讨论并征求意见。之后，对所征求的意见及时地进行收集和整理。</w:t>
      </w:r>
    </w:p>
    <w:p w14:paraId="147108CC">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（2）撰写报告</w:t>
      </w:r>
    </w:p>
    <w:p w14:paraId="3BBA1990">
      <w:pPr>
        <w:spacing w:line="560" w:lineRule="exact"/>
        <w:ind w:firstLine="640" w:firstLineChars="200"/>
        <w:rPr>
          <w:rFonts w:hint="eastAsia" w:ascii="仿宋_GB2312" w:hAnsi="Times New Roman" w:eastAsia="仿宋_GB2312" w:cs="Times New Roman"/>
          <w:b w:val="0"/>
          <w:bCs w:val="0"/>
          <w:kern w:val="2"/>
          <w:sz w:val="30"/>
          <w:szCs w:val="24"/>
          <w:lang w:val="en-US" w:eastAsia="zh-CN" w:bidi="ar-SA"/>
        </w:rPr>
      </w:pPr>
      <w:r>
        <w:rPr>
          <w:rFonts w:hint="eastAsia" w:ascii="仿宋_GB2312" w:hAnsi="仿宋_GB2312" w:eastAsia="仿宋_GB2312" w:cs="仿宋_GB2312"/>
          <w:sz w:val="32"/>
          <w:szCs w:val="32"/>
          <w:lang w:val="en-US" w:eastAsia="zh-CN"/>
        </w:rPr>
        <w:t>绩效评价项目小组依照整理、分析后的项目材料、数据资料，依据评价形成的初步结论，按照既定的格式和内容要求撰写绩效评价初步报告，最终形成评价结果。</w:t>
      </w:r>
    </w:p>
    <w:p w14:paraId="1335DEA2">
      <w:pPr>
        <w:spacing w:line="560" w:lineRule="exact"/>
        <w:ind w:firstLine="643" w:firstLineChars="200"/>
        <w:outlineLvl w:val="0"/>
        <w:rPr>
          <w:rFonts w:hint="eastAsia" w:ascii="Times New Roman" w:hAnsi="Times New Roman" w:eastAsia="黑体" w:cs="Times New Roman"/>
          <w:b/>
          <w:kern w:val="44"/>
          <w:sz w:val="32"/>
          <w:szCs w:val="24"/>
        </w:rPr>
      </w:pPr>
      <w:bookmarkStart w:id="13" w:name="_Toc13667"/>
      <w:r>
        <w:rPr>
          <w:rFonts w:hint="eastAsia" w:ascii="Times New Roman" w:hAnsi="Times New Roman" w:eastAsia="黑体" w:cs="Times New Roman"/>
          <w:b/>
          <w:kern w:val="44"/>
          <w:sz w:val="32"/>
          <w:szCs w:val="24"/>
        </w:rPr>
        <w:t>三、综合评价情况及评价结论</w:t>
      </w:r>
      <w:bookmarkEnd w:id="13"/>
    </w:p>
    <w:p w14:paraId="1780AFA0">
      <w:pPr>
        <w:spacing w:line="560" w:lineRule="exact"/>
        <w:ind w:firstLine="640" w:firstLineChars="200"/>
        <w:rPr>
          <w:rFonts w:hint="eastAsia" w:ascii="仿宋_GB2312" w:hAnsi="仿宋_GB2312" w:eastAsia="仿宋_GB2312" w:cs="仿宋_GB2312"/>
          <w:sz w:val="32"/>
          <w:szCs w:val="32"/>
          <w:lang w:val="zh-TW" w:eastAsia="zh-TW"/>
        </w:rPr>
      </w:pPr>
      <w:r>
        <w:rPr>
          <w:rFonts w:hint="eastAsia" w:ascii="仿宋_GB2312" w:hAnsi="仿宋_GB2312" w:eastAsia="仿宋_GB2312" w:cs="仿宋_GB2312"/>
          <w:sz w:val="32"/>
          <w:szCs w:val="32"/>
          <w:lang w:val="en-US" w:eastAsia="zh-CN"/>
        </w:rPr>
        <w:t>此次绩效评价</w:t>
      </w:r>
      <w:r>
        <w:rPr>
          <w:rFonts w:hint="eastAsia" w:ascii="仿宋_GB2312" w:hAnsi="仿宋_GB2312" w:eastAsia="仿宋_GB2312" w:cs="仿宋_GB2312"/>
          <w:sz w:val="32"/>
          <w:szCs w:val="32"/>
          <w:lang w:val="zh-TW" w:eastAsia="zh-TW"/>
        </w:rPr>
        <w:t>通过组论证的评价指标体系及评分标准，</w:t>
      </w:r>
      <w:r>
        <w:rPr>
          <w:rFonts w:hint="eastAsia" w:ascii="仿宋_GB2312" w:hAnsi="仿宋_GB2312" w:eastAsia="仿宋_GB2312" w:cs="仿宋_GB2312"/>
          <w:sz w:val="32"/>
          <w:szCs w:val="32"/>
          <w:lang w:val="en-US" w:eastAsia="zh-CN"/>
        </w:rPr>
        <w:t>采用的方法比较法、因素分析法、公众评判法，</w:t>
      </w:r>
      <w:r>
        <w:rPr>
          <w:rFonts w:hint="eastAsia" w:ascii="仿宋_GB2312" w:hAnsi="仿宋_GB2312" w:eastAsia="仿宋_GB2312" w:cs="仿宋_GB2312"/>
          <w:sz w:val="32"/>
          <w:szCs w:val="32"/>
          <w:lang w:val="zh-TW" w:eastAsia="zh-TW"/>
        </w:rPr>
        <w:t>对</w:t>
      </w:r>
      <w:r>
        <w:rPr>
          <w:rFonts w:hint="eastAsia" w:ascii="仿宋_GB2312" w:hAnsi="仿宋_GB2312" w:eastAsia="仿宋_GB2312" w:cs="仿宋_GB2312"/>
          <w:sz w:val="32"/>
          <w:szCs w:val="32"/>
          <w:lang w:val="en-US" w:eastAsia="zh-CN"/>
        </w:rPr>
        <w:t>政务服务和公共资源交易运转保障项目</w:t>
      </w:r>
      <w:r>
        <w:rPr>
          <w:rFonts w:hint="eastAsia" w:ascii="仿宋_GB2312" w:hAnsi="仿宋_GB2312" w:eastAsia="仿宋_GB2312" w:cs="仿宋_GB2312"/>
          <w:sz w:val="32"/>
          <w:szCs w:val="32"/>
          <w:lang w:val="zh-TW" w:eastAsia="zh-TW"/>
        </w:rPr>
        <w:t>绩效进行客观评价，最终评分结果：总分为</w:t>
      </w:r>
      <w:r>
        <w:rPr>
          <w:rFonts w:hint="eastAsia" w:ascii="仿宋_GB2312" w:hAnsi="仿宋_GB2312" w:eastAsia="仿宋_GB2312" w:cs="仿宋_GB2312"/>
          <w:sz w:val="32"/>
          <w:szCs w:val="32"/>
          <w:lang w:val="en-US" w:eastAsia="zh-CN"/>
        </w:rPr>
        <w:t>99.41</w:t>
      </w:r>
      <w:r>
        <w:rPr>
          <w:rFonts w:hint="eastAsia" w:ascii="仿宋_GB2312" w:hAnsi="仿宋_GB2312" w:eastAsia="仿宋_GB2312" w:cs="仿宋_GB2312"/>
          <w:sz w:val="32"/>
          <w:szCs w:val="32"/>
          <w:lang w:val="zh-TW" w:eastAsia="zh-TW"/>
        </w:rPr>
        <w:t>分，绩效评级为“</w:t>
      </w:r>
      <w:r>
        <w:rPr>
          <w:rFonts w:hint="eastAsia" w:ascii="仿宋_GB2312" w:hAnsi="仿宋_GB2312" w:eastAsia="仿宋_GB2312" w:cs="仿宋_GB2312"/>
          <w:sz w:val="32"/>
          <w:szCs w:val="32"/>
          <w:lang w:val="en-US" w:eastAsia="zh-CN"/>
        </w:rPr>
        <w:t>优</w:t>
      </w:r>
      <w:r>
        <w:rPr>
          <w:rFonts w:hint="eastAsia" w:ascii="仿宋_GB2312" w:hAnsi="仿宋_GB2312" w:eastAsia="仿宋_GB2312" w:cs="仿宋_GB2312"/>
          <w:sz w:val="32"/>
          <w:szCs w:val="32"/>
          <w:lang w:val="zh-TW" w:eastAsia="zh-TW"/>
        </w:rPr>
        <w:t>”。各部分权重和绩效</w:t>
      </w:r>
      <w:r>
        <w:rPr>
          <w:rFonts w:hint="eastAsia" w:ascii="仿宋_GB2312" w:hAnsi="仿宋_GB2312" w:eastAsia="仿宋_GB2312" w:cs="仿宋_GB2312"/>
          <w:sz w:val="32"/>
          <w:szCs w:val="32"/>
          <w:lang w:val="en-US" w:eastAsia="zh-CN"/>
        </w:rPr>
        <w:t>汇总</w:t>
      </w:r>
      <w:r>
        <w:rPr>
          <w:rFonts w:hint="eastAsia" w:ascii="仿宋_GB2312" w:hAnsi="仿宋_GB2312" w:eastAsia="仿宋_GB2312" w:cs="仿宋_GB2312"/>
          <w:sz w:val="32"/>
          <w:szCs w:val="32"/>
          <w:lang w:val="zh-TW" w:eastAsia="zh-TW"/>
        </w:rPr>
        <w:t>分值如下表</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lang w:val="zh-TW" w:eastAsia="zh-TW"/>
        </w:rPr>
        <w:t>所示</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详见上传的附件</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w:t>
      </w:r>
    </w:p>
    <w:tbl>
      <w:tblPr>
        <w:tblStyle w:val="15"/>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46BADBA6">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483B9B3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仿宋_GB2312" w:hAnsi="仿宋_GB2312" w:eastAsia="仿宋_GB2312" w:cs="仿宋_GB2312"/>
                <w:b/>
                <w:bCs/>
                <w:spacing w:val="6"/>
                <w:sz w:val="22"/>
                <w:szCs w:val="22"/>
                <w:lang w:val="en-US" w:eastAsia="zh-CN"/>
              </w:rPr>
              <w:t>表3-1：政务服务和公共资源交易运转保障项目得分表</w:t>
            </w:r>
          </w:p>
        </w:tc>
      </w:tr>
      <w:tr w14:paraId="061413E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E9C25">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C5094">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5FF0D">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9C704">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6B91F">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66F58">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合计</w:t>
            </w:r>
          </w:p>
        </w:tc>
      </w:tr>
      <w:tr w14:paraId="366AFB5E">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C618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9C3F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B39C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FC42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E26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95BB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100</w:t>
            </w:r>
          </w:p>
        </w:tc>
      </w:tr>
      <w:tr w14:paraId="063807C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E392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20F66">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19FF9">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19.46</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C1AFC">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29.95</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07D66">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DE95A">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99.41</w:t>
            </w:r>
          </w:p>
        </w:tc>
      </w:tr>
      <w:tr w14:paraId="5941284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01E2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7C5DA">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7F4B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97.30%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95D9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99.83%</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7806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30DC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99.41%</w:t>
            </w:r>
          </w:p>
        </w:tc>
      </w:tr>
    </w:tbl>
    <w:p w14:paraId="3676A9A7">
      <w:pPr>
        <w:spacing w:line="560" w:lineRule="exact"/>
        <w:ind w:firstLine="643" w:firstLineChars="200"/>
        <w:outlineLvl w:val="0"/>
        <w:rPr>
          <w:rFonts w:hint="eastAsia" w:ascii="Times New Roman" w:hAnsi="Times New Roman" w:eastAsia="黑体" w:cs="Times New Roman"/>
          <w:b/>
          <w:kern w:val="44"/>
          <w:sz w:val="32"/>
          <w:szCs w:val="24"/>
        </w:rPr>
      </w:pPr>
      <w:bookmarkStart w:id="14" w:name="_Toc26025"/>
      <w:r>
        <w:rPr>
          <w:rFonts w:hint="eastAsia" w:ascii="Times New Roman" w:hAnsi="Times New Roman" w:eastAsia="黑体" w:cs="Times New Roman"/>
          <w:b/>
          <w:kern w:val="44"/>
          <w:sz w:val="32"/>
          <w:szCs w:val="24"/>
        </w:rPr>
        <w:t>四、绩效评价指标分析</w:t>
      </w:r>
      <w:bookmarkEnd w:id="14"/>
    </w:p>
    <w:p w14:paraId="48812634">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15" w:name="_Toc18657"/>
      <w:r>
        <w:rPr>
          <w:rFonts w:hint="eastAsia" w:ascii="楷体_GB2312" w:hAnsi="Times New Roman" w:eastAsia="楷体_GB2312" w:cs="宋体"/>
          <w:b/>
          <w:bCs/>
          <w:color w:val="auto"/>
          <w:spacing w:val="6"/>
          <w:kern w:val="2"/>
          <w:sz w:val="32"/>
          <w:szCs w:val="32"/>
          <w:highlight w:val="none"/>
          <w:lang w:val="en-US" w:eastAsia="zh-CN" w:bidi="ar-SA"/>
        </w:rPr>
        <w:t>（一）项目决策情况</w:t>
      </w:r>
      <w:bookmarkEnd w:id="15"/>
    </w:p>
    <w:p w14:paraId="4FC6CE1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项目决策由3个二级指标和6个三级指标构成，权重分20分，实际得分20分，</w:t>
      </w:r>
      <w:r>
        <w:rPr>
          <w:rFonts w:hint="eastAsia" w:ascii="仿宋_GB2312" w:hAnsi="仿宋_GB2312" w:eastAsia="仿宋_GB2312" w:cs="仿宋_GB2312"/>
          <w:sz w:val="32"/>
          <w:szCs w:val="32"/>
          <w:lang w:val="zh-TW" w:eastAsia="zh-TW"/>
        </w:rPr>
        <w:t>各指标业绩值和绩效分值如表</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lang w:val="zh-TW" w:eastAsia="zh-TW"/>
        </w:rPr>
        <w:t>所示</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详见上传的附件</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w:t>
      </w:r>
    </w:p>
    <w:p w14:paraId="16ED52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b/>
          <w:bCs/>
          <w:spacing w:val="6"/>
          <w:sz w:val="22"/>
          <w:szCs w:val="22"/>
          <w:lang w:val="en-US" w:eastAsia="zh-CN"/>
        </w:rPr>
      </w:pPr>
      <w:r>
        <w:rPr>
          <w:rFonts w:hint="eastAsia" w:ascii="仿宋_GB2312" w:hAnsi="仿宋_GB2312" w:eastAsia="仿宋_GB2312" w:cs="仿宋_GB2312"/>
          <w:b/>
          <w:bCs/>
          <w:spacing w:val="6"/>
          <w:sz w:val="22"/>
          <w:szCs w:val="22"/>
          <w:lang w:val="zh-TW" w:eastAsia="zh-TW"/>
        </w:rPr>
        <w:t>表</w:t>
      </w:r>
      <w:r>
        <w:rPr>
          <w:rFonts w:hint="eastAsia" w:ascii="仿宋_GB2312" w:hAnsi="仿宋_GB2312" w:eastAsia="仿宋_GB2312" w:cs="仿宋_GB2312"/>
          <w:b/>
          <w:bCs/>
          <w:spacing w:val="6"/>
          <w:sz w:val="22"/>
          <w:szCs w:val="22"/>
          <w:lang w:val="en-US" w:eastAsia="zh-CN"/>
        </w:rPr>
        <w:t>4-1</w:t>
      </w:r>
      <w:r>
        <w:rPr>
          <w:rFonts w:hint="eastAsia" w:ascii="仿宋_GB2312" w:hAnsi="仿宋_GB2312" w:eastAsia="仿宋_GB2312" w:cs="仿宋_GB2312"/>
          <w:b/>
          <w:bCs/>
          <w:spacing w:val="6"/>
          <w:sz w:val="22"/>
          <w:szCs w:val="22"/>
          <w:lang w:val="zh-TW" w:eastAsia="zh-TW"/>
        </w:rPr>
        <w:t>项目决策指标及分值</w:t>
      </w:r>
    </w:p>
    <w:tbl>
      <w:tblPr>
        <w:tblStyle w:val="15"/>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E011133">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F7BD6">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C83258">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2F679">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4AEB86">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D6637C">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ED7969">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7D83B6E">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得分</w:t>
            </w:r>
          </w:p>
        </w:tc>
      </w:tr>
      <w:tr w14:paraId="6005B6FE">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061BE1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EBF4A3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9EBA61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EC4FB2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BC376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0A81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76239">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2BB36BB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7DD935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C62AEF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6236A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CBDEC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6C59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F23D6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94A601">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r>
      <w:tr w14:paraId="5F99441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B2AE2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68B28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2688A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3E92C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4B2F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E460B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791748">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r>
      <w:tr w14:paraId="26AE701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783037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4848E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364D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BDA29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DB687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2613B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1BE98">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r>
      <w:tr w14:paraId="7BD9FDB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EC6C8D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F48EB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6EF292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DD5A85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EBABF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9E1E4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C36E1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1942815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891C6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B259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A50DA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0B69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E11F3A">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2DFE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CF028A">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r>
      <w:tr w14:paraId="33ED6EBD">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D72C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7459C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B6263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B22F6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FBBE78">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r>
    </w:tbl>
    <w:p w14:paraId="72896289">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1.立项依据充分性</w:t>
      </w:r>
    </w:p>
    <w:p w14:paraId="595F1787">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项目立项符合国家法律法规、国民经济发展规划和相关政策，符合《中华人民共和国网络安全法》《中华人民共和国数据安全法》《中华人民共和国关键信息基础设施保护条例》《中华人民共和国个人信息保护法》《网络安全审查办法》《党委（党组）网络安全工作责任制实施办法》；</w:t>
      </w:r>
    </w:p>
    <w:p w14:paraId="064DD7C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②项目立项符合行业发展规划和政策要求，符合《GB/T 20984-2007 信息安全技术 信息安全风险评估规范》《GB/T 22080-2016 信息技术 安全技术 信息安全管理体系要求》《GB/T 31509-2015 信息安全技术 信息安全风险评估实施指南》；</w:t>
      </w:r>
    </w:p>
    <w:p w14:paraId="77AAF05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项目立项与部门职责范围相符，属于部门履职所需，自治区政务服务和公共资源交易中心的主要职责为承担自治区政务服务规范化、标准化工作，以及各地、各部门政务服务能力评估工作，为“放管服”改革落地提供支撑；承担全区政务服务数据汇聚整合、共享开放、应用融合等数据管理工作；对地</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州、市</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、县</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市、区</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政务服务和公共资源交易中心工作进行业务指导；承担全区一体化在线政务服务平台和公共资源交易平台建设、运行维护等工作，承担“12345”在线服务平台相关工作；承担自治区政务服务大厅和公共资源交易大厅的日常管理及规范化建设工作等；</w:t>
      </w:r>
    </w:p>
    <w:p w14:paraId="5A11FB45">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项目属于公共财政支持范围，符合中央、地方事权支出责任划分原则，项目为运转保障类，对本单位一体化运行维护、运转保障及公共资源交易项目评审、处理质疑、论证等，有效提高政务服务水平及公共资源交易服务水平；</w:t>
      </w:r>
    </w:p>
    <w:p w14:paraId="42018F12">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⑤项目与相关部门同类项目或部门内部相关项目不重复。</w:t>
      </w:r>
    </w:p>
    <w:p w14:paraId="2D64BBB5">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综上，该项指标满分2分，得分2分。</w:t>
      </w:r>
    </w:p>
    <w:p w14:paraId="668327CD">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2.立项程序规范性</w:t>
      </w:r>
    </w:p>
    <w:p w14:paraId="37481CB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项目按照规定的程序申请设立，项目的申请设立符合《国务院关于加强数字政府建设的指导意见》（国发〔2022〕14号）、《关于加快推进政务服务标准化规范化便利化的指导意见》（国发〔2022〕5号）、《自治区政务服务和公共资源交易中心2023年工作要点》（新政资内发〔2023〕2号）等文件要求；</w:t>
      </w:r>
    </w:p>
    <w:p w14:paraId="1E8D773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②审批文件、材料符合相关要求；</w:t>
      </w:r>
    </w:p>
    <w:p w14:paraId="687F96D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③政务服务能力第三方评估项目、“一件事一次办”数据梳理流程再造专项服务、自治区政务服务事项标准化专项服务、地标编制工作（新疆维吾尔自治区政务服务</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好差评</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地方标准编制专项服务项目、新疆维吾尔自治区一体化平台统一受理平台接入技术规范地方标准编制专项服务项目、新疆维吾尔自治区一体化平台移动端应用接入技术规范地方标准编制专项服务项目）、全区CA数字证书互认项目、自治区公共资源交易数据上报情况检测监测项目、公共资源交易数据资料整理及数字化归集存储项目事前经过必要的可行性研究、专家论证、风险评估、集体决策。</w:t>
      </w:r>
    </w:p>
    <w:p w14:paraId="1802E81A">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综上，该项指标满分3分，得分3分。</w:t>
      </w:r>
    </w:p>
    <w:p w14:paraId="642FA677">
      <w:pPr>
        <w:spacing w:line="560" w:lineRule="exact"/>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3.绩效目标合理性</w:t>
      </w:r>
    </w:p>
    <w:p w14:paraId="046EAFF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①项目有绩效目标，按照预算绩效管理要求已于2023年3月编制了《项目支出绩效目标表》，项目绩效目标符合相关法律法规、行业中长期规划；</w:t>
      </w:r>
    </w:p>
    <w:p w14:paraId="65D833A2">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②项目主要通过完成维护一体化平台，并进行网络安全监测评估，常态化开展自治区公共资源交易平台安全运行保障工作，提升服务、交易、监督三方面高效协同能力，项目绩效目标与实际工作内容具有相关性；</w:t>
      </w:r>
    </w:p>
    <w:p w14:paraId="7492807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③该项目按照绩效目标</w:t>
      </w:r>
      <w:r>
        <w:rPr>
          <w:rFonts w:hint="eastAsia" w:ascii="仿宋_GB2312" w:hAnsi="仿宋_GB2312" w:cs="仿宋_GB2312"/>
          <w:sz w:val="32"/>
          <w:szCs w:val="32"/>
          <w:lang w:val="en-US" w:eastAsia="zh-CN"/>
        </w:rPr>
        <w:t>完成</w:t>
      </w:r>
      <w:r>
        <w:rPr>
          <w:rFonts w:hint="eastAsia" w:ascii="仿宋_GB2312" w:hAnsi="仿宋_GB2312" w:eastAsia="仿宋_GB2312" w:cs="仿宋_GB2312"/>
          <w:sz w:val="32"/>
          <w:szCs w:val="32"/>
          <w:lang w:val="en-US" w:eastAsia="zh-CN"/>
        </w:rPr>
        <w:t>维护一体化平台，并进行网络安全监测评估53次，系统故障修复处理在1天内完成，一体化平台系统故障率控制在1%，常态化开展自治区公共资源交易平台安全运行保障工作，提升服务、交易、监督三方面高效协同能力；完成公共资源交易项目1874个；12345政务服务便民热线完成工单处办量384057个，工单转派准确率达到99.92%，工单签入及时率达到100%，整体项目验收合格率达到85%。通过项目的实施，政务服务水平及公共资源交易服务水平得到有效的提高，工单处办满意率达到91.65%，项目预期产出效益和效果符合正常的业绩水平；</w:t>
      </w:r>
    </w:p>
    <w:p w14:paraId="13FD7433">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④该项目批复的预算金额为6476.57万元，《项目支出绩效目标表》中预算金额为6476.57万元，预算确定的项目资金与预算确定的项目投资额相匹配。</w:t>
      </w:r>
    </w:p>
    <w:p w14:paraId="30BBA6AD">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综上，该项指标满分5分，得分5分。</w:t>
      </w:r>
    </w:p>
    <w:p w14:paraId="0541F663">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4.绩效指标明确性</w:t>
      </w:r>
    </w:p>
    <w:p w14:paraId="1722BCE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①将项目绩效目标细化分解为具体的绩效指标，共设置19条三级指标，其中：产出指标11条，成本指标3条，效益指标3条，满意度指标2条；</w:t>
      </w:r>
    </w:p>
    <w:p w14:paraId="5B2DF87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②通过清晰、可衡量的指标值予以体现，共设置19条三级指标，其中定量指标17个，量化率达到89.47%；</w:t>
      </w:r>
    </w:p>
    <w:p w14:paraId="6CEC46F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③与项目目标任务数或计划数相对应。</w:t>
      </w:r>
    </w:p>
    <w:p w14:paraId="663E9FC4">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综上，该项指标满分5分，得分5分。</w:t>
      </w:r>
    </w:p>
    <w:p w14:paraId="0D581AED">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5.预算编制科学性</w:t>
      </w:r>
    </w:p>
    <w:p w14:paraId="325A3F82">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①本项目中全区CA数字证书互认项目、自治区公共资源交易数据上报情况检测监测项目、公共资源交易数据资料整理及数字化归集存储项目等预算编制经过科学论证；</w:t>
      </w:r>
    </w:p>
    <w:p w14:paraId="6B64712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②预算内容与项目内容匹配，本项目预算申请内容为一体化运行维护、运转保障、公共资源交易项目评审、处理质疑、论证等与项目内容匹配；</w:t>
      </w:r>
    </w:p>
    <w:p w14:paraId="10A6E50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本项目预算申请资金6476.57万元，我单位在预算申请中严格按照项目实施内容及测算标准进行核算，其中：公共资源交易项目评审、处理质疑、论证等成本189万元、一体化运行维护成本3238.82万元、运转保障成本3048.75万元。预算额度测算依据充分，按照标准编制，按照市场标准编制；</w:t>
      </w:r>
    </w:p>
    <w:p w14:paraId="73044B8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④预算确定资金量与工作任务相匹配。</w:t>
      </w:r>
    </w:p>
    <w:p w14:paraId="186778E2">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综上，该项指标满分2分，得分2分。</w:t>
      </w:r>
    </w:p>
    <w:p w14:paraId="0BA787EE">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6.资金分配合理性</w:t>
      </w:r>
    </w:p>
    <w:p w14:paraId="107D8D48">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本项目预算安排总额6476.57万元，其中财政资金0万元，其他资金6476.57万元，其中：公共资源交易项目评审、处理质疑、论证等成本189万元、一体化运行维护成本3238.82万元、运转保障成本3048.75万元。预算资金分配依据充分；</w:t>
      </w:r>
    </w:p>
    <w:p w14:paraId="4771D494">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②实际分配资金与我单位资金预算额度一致，资金分配额度合理，与我单位实际相适应。</w:t>
      </w:r>
    </w:p>
    <w:p w14:paraId="57CB48CA">
      <w:pPr>
        <w:spacing w:line="560" w:lineRule="exact"/>
        <w:ind w:firstLine="643" w:firstLineChars="200"/>
        <w:rPr>
          <w:rFonts w:hint="eastAsia" w:ascii="仿宋_GB2312" w:hAnsi="Times New Roman" w:cs="Times New Roman"/>
          <w:b/>
          <w:bCs/>
          <w:lang w:val="en-US" w:eastAsia="zh-CN"/>
        </w:rPr>
      </w:pPr>
      <w:r>
        <w:rPr>
          <w:rFonts w:hint="eastAsia" w:ascii="仿宋_GB2312" w:hAnsi="仿宋_GB2312" w:eastAsia="仿宋_GB2312" w:cs="仿宋_GB2312"/>
          <w:b/>
          <w:bCs/>
          <w:sz w:val="32"/>
          <w:szCs w:val="32"/>
          <w:lang w:val="en-US" w:eastAsia="zh-CN"/>
        </w:rPr>
        <w:t>综上，该项指标满分3分，得分3分。</w:t>
      </w:r>
    </w:p>
    <w:p w14:paraId="20A131F0">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16" w:name="_Toc15375"/>
      <w:r>
        <w:rPr>
          <w:rFonts w:hint="eastAsia" w:ascii="楷体_GB2312" w:hAnsi="Times New Roman" w:eastAsia="楷体_GB2312" w:cs="宋体"/>
          <w:b/>
          <w:bCs/>
          <w:color w:val="auto"/>
          <w:spacing w:val="6"/>
          <w:kern w:val="2"/>
          <w:sz w:val="32"/>
          <w:szCs w:val="32"/>
          <w:highlight w:val="none"/>
          <w:lang w:val="en-US" w:eastAsia="zh-CN" w:bidi="ar-SA"/>
        </w:rPr>
        <w:t>（二）项目过程情况</w:t>
      </w:r>
      <w:bookmarkEnd w:id="16"/>
    </w:p>
    <w:p w14:paraId="5776DE7B">
      <w:pPr>
        <w:spacing w:line="560" w:lineRule="exact"/>
        <w:ind w:firstLine="640" w:firstLineChars="200"/>
        <w:rPr>
          <w:rFonts w:hint="eastAsia" w:ascii="仿宋_GB2312" w:hAnsi="仿宋_GB2312" w:eastAsia="仿宋_GB2312" w:cs="仿宋_GB2312"/>
          <w:sz w:val="32"/>
          <w:szCs w:val="32"/>
          <w:lang w:val="zh-TW" w:eastAsia="zh-TW"/>
        </w:rPr>
      </w:pPr>
      <w:r>
        <w:rPr>
          <w:rFonts w:hint="eastAsia" w:ascii="仿宋_GB2312" w:hAnsi="仿宋_GB2312" w:eastAsia="仿宋_GB2312" w:cs="仿宋_GB2312"/>
          <w:sz w:val="32"/>
          <w:szCs w:val="32"/>
          <w:lang w:val="zh-TW" w:eastAsia="zh-TW"/>
        </w:rPr>
        <w:t>项目</w:t>
      </w:r>
      <w:r>
        <w:rPr>
          <w:rFonts w:hint="eastAsia" w:ascii="仿宋_GB2312" w:hAnsi="仿宋_GB2312" w:eastAsia="仿宋_GB2312" w:cs="仿宋_GB2312"/>
          <w:sz w:val="32"/>
          <w:szCs w:val="32"/>
          <w:lang w:val="en-US" w:eastAsia="zh-CN"/>
        </w:rPr>
        <w:t>过程管理</w:t>
      </w:r>
      <w:r>
        <w:rPr>
          <w:rFonts w:hint="eastAsia" w:ascii="仿宋_GB2312" w:hAnsi="仿宋_GB2312" w:eastAsia="仿宋_GB2312" w:cs="仿宋_GB2312"/>
          <w:sz w:val="32"/>
          <w:szCs w:val="32"/>
          <w:lang w:val="zh-TW" w:eastAsia="zh-TW"/>
        </w:rPr>
        <w:t>类指标由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zh-TW" w:eastAsia="zh-CN"/>
        </w:rPr>
        <w:t>二</w:t>
      </w:r>
      <w:r>
        <w:rPr>
          <w:rFonts w:hint="eastAsia" w:ascii="仿宋_GB2312" w:hAnsi="仿宋_GB2312" w:eastAsia="仿宋_GB2312" w:cs="仿宋_GB2312"/>
          <w:sz w:val="32"/>
          <w:szCs w:val="32"/>
          <w:lang w:val="zh-TW" w:eastAsia="zh-TW"/>
        </w:rPr>
        <w:t>级指标和</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val="zh-TW" w:eastAsia="zh-TW"/>
        </w:rPr>
        <w:t>级指标构成，权重分</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zh-TW" w:eastAsia="zh-TW"/>
        </w:rPr>
        <w:t>分，实际得分</w:t>
      </w:r>
      <w:r>
        <w:rPr>
          <w:rFonts w:hint="eastAsia" w:ascii="仿宋_GB2312" w:hAnsi="仿宋_GB2312" w:eastAsia="仿宋_GB2312" w:cs="仿宋_GB2312"/>
          <w:sz w:val="32"/>
          <w:szCs w:val="32"/>
          <w:lang w:val="en-US" w:eastAsia="zh-CN"/>
        </w:rPr>
        <w:t>19.46</w:t>
      </w:r>
      <w:r>
        <w:rPr>
          <w:rFonts w:hint="eastAsia" w:ascii="仿宋_GB2312" w:hAnsi="仿宋_GB2312" w:eastAsia="仿宋_GB2312" w:cs="仿宋_GB2312"/>
          <w:sz w:val="32"/>
          <w:szCs w:val="32"/>
          <w:lang w:val="zh-TW" w:eastAsia="zh-TW"/>
        </w:rPr>
        <w:t>分</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各指标业绩值和绩效分值如表</w:t>
      </w: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lang w:val="zh-TW" w:eastAsia="zh-TW"/>
        </w:rPr>
        <w:t>所示</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详见上传的附件</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w:t>
      </w:r>
    </w:p>
    <w:p w14:paraId="31077EAB">
      <w:pPr>
        <w:spacing w:line="600" w:lineRule="atLeast"/>
        <w:jc w:val="center"/>
        <w:rPr>
          <w:rFonts w:hint="eastAsia" w:ascii="仿宋_GB2312" w:hAnsi="仿宋_GB2312" w:eastAsia="仿宋_GB2312" w:cs="仿宋_GB2312"/>
          <w:b/>
          <w:bCs/>
          <w:spacing w:val="6"/>
          <w:sz w:val="22"/>
          <w:szCs w:val="22"/>
          <w:lang w:val="en-US" w:eastAsia="zh-CN"/>
        </w:rPr>
      </w:pPr>
      <w:r>
        <w:rPr>
          <w:rFonts w:hint="eastAsia" w:ascii="仿宋_GB2312" w:hAnsi="仿宋_GB2312" w:eastAsia="仿宋_GB2312" w:cs="仿宋_GB2312"/>
          <w:b/>
          <w:bCs/>
          <w:spacing w:val="6"/>
          <w:sz w:val="22"/>
          <w:szCs w:val="22"/>
          <w:lang w:val="zh-TW" w:eastAsia="zh-TW"/>
        </w:rPr>
        <w:t>表</w:t>
      </w:r>
      <w:r>
        <w:rPr>
          <w:rFonts w:hint="eastAsia" w:ascii="仿宋_GB2312" w:hAnsi="仿宋_GB2312" w:eastAsia="仿宋_GB2312" w:cs="仿宋_GB2312"/>
          <w:b/>
          <w:bCs/>
          <w:spacing w:val="6"/>
          <w:sz w:val="22"/>
          <w:szCs w:val="22"/>
          <w:lang w:val="en-US" w:eastAsia="zh-CN"/>
        </w:rPr>
        <w:t>4-2</w:t>
      </w:r>
      <w:r>
        <w:rPr>
          <w:rFonts w:hint="eastAsia" w:ascii="仿宋_GB2312" w:hAnsi="仿宋_GB2312" w:eastAsia="仿宋_GB2312" w:cs="仿宋_GB2312"/>
          <w:b/>
          <w:bCs/>
          <w:spacing w:val="6"/>
          <w:sz w:val="22"/>
          <w:szCs w:val="22"/>
          <w:lang w:val="zh-TW" w:eastAsia="zh-TW"/>
        </w:rPr>
        <w:t>项目</w:t>
      </w:r>
      <w:r>
        <w:rPr>
          <w:rFonts w:hint="eastAsia" w:ascii="仿宋_GB2312" w:hAnsi="仿宋_GB2312" w:eastAsia="仿宋_GB2312" w:cs="仿宋_GB2312"/>
          <w:b/>
          <w:bCs/>
          <w:spacing w:val="6"/>
          <w:sz w:val="22"/>
          <w:szCs w:val="22"/>
          <w:lang w:val="zh-TW" w:eastAsia="zh-CN"/>
        </w:rPr>
        <w:t>管理</w:t>
      </w:r>
      <w:r>
        <w:rPr>
          <w:rFonts w:hint="eastAsia" w:ascii="仿宋_GB2312" w:hAnsi="仿宋_GB2312" w:eastAsia="仿宋_GB2312" w:cs="仿宋_GB2312"/>
          <w:b/>
          <w:bCs/>
          <w:spacing w:val="6"/>
          <w:sz w:val="22"/>
          <w:szCs w:val="22"/>
          <w:lang w:val="zh-TW" w:eastAsia="zh-TW"/>
        </w:rPr>
        <w:t>指标及分值</w:t>
      </w:r>
      <w:r>
        <w:rPr>
          <w:rFonts w:hint="eastAsia" w:ascii="仿宋_GB2312" w:hAnsi="仿宋_GB2312" w:eastAsia="仿宋_GB2312" w:cs="仿宋_GB2312"/>
          <w:b/>
          <w:bCs/>
          <w:spacing w:val="6"/>
          <w:sz w:val="22"/>
          <w:szCs w:val="22"/>
          <w:lang w:val="en-US" w:eastAsia="zh-CN"/>
        </w:rPr>
        <w:t>情况</w:t>
      </w:r>
    </w:p>
    <w:tbl>
      <w:tblPr>
        <w:tblStyle w:val="15"/>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FDC11A4">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53F05A">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9B69A2">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CF6C72">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DDA50F">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58E1B">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EF73A7">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1968D8D">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得分</w:t>
            </w:r>
          </w:p>
        </w:tc>
      </w:tr>
      <w:tr w14:paraId="26295025">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60CBE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C199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92A0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7D262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DBB84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7C068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F5BD94">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r>
      <w:tr w14:paraId="162DCB7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4D19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B80F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51E4B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AC39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25496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798B7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C30325">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3.46</w:t>
            </w:r>
          </w:p>
        </w:tc>
      </w:tr>
      <w:tr w14:paraId="573D9A8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23B0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92F0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ECAA8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5951D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E98B5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00AA7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53569B">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r>
      <w:tr w14:paraId="60EC451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AE569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3A143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545CF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5386E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ACB1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AD53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57744E">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r>
      <w:tr w14:paraId="541C6DC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9DC6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8B723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36017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A99C5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5DA58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57270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51D36C">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w:t>
            </w:r>
          </w:p>
        </w:tc>
      </w:tr>
      <w:tr w14:paraId="088A1E6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B0FA">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51F57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E2FE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538E4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3A78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19.46</w:t>
            </w:r>
          </w:p>
        </w:tc>
      </w:tr>
    </w:tbl>
    <w:p w14:paraId="41F0496C">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1.资金到位率</w:t>
      </w:r>
    </w:p>
    <w:p w14:paraId="7C17468D">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本项目预算资金为6476.57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zh-TW" w:eastAsia="zh-CN"/>
        </w:rPr>
        <w:t>，实际到位资金6476.57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zh-TW" w:eastAsia="zh-CN"/>
        </w:rPr>
        <w:t>资金到位率=（6476.57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zh-TW" w:eastAsia="zh-CN"/>
        </w:rPr>
        <w:t>/6476.57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zh-TW" w:eastAsia="zh-CN"/>
        </w:rPr>
        <w:t>）×100%</w:t>
      </w:r>
      <w:r>
        <w:rPr>
          <w:rFonts w:hint="eastAsia" w:ascii="仿宋_GB2312" w:hAnsi="仿宋_GB2312" w:eastAsia="仿宋_GB2312" w:cs="仿宋_GB2312"/>
          <w:sz w:val="32"/>
          <w:szCs w:val="32"/>
          <w:lang w:val="en-US" w:eastAsia="zh-CN"/>
        </w:rPr>
        <w:t>=100%。</w:t>
      </w:r>
    </w:p>
    <w:p w14:paraId="17DFFF17">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综上，该项指标满分4分，得分4分。</w:t>
      </w:r>
    </w:p>
    <w:p w14:paraId="56DDB23F">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2.预算执行率</w:t>
      </w:r>
    </w:p>
    <w:p w14:paraId="0618F4B5">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zh-TW" w:eastAsia="zh-CN"/>
        </w:rPr>
        <w:t>截至</w:t>
      </w:r>
      <w:r>
        <w:rPr>
          <w:rFonts w:hint="eastAsia" w:ascii="仿宋_GB2312" w:hAnsi="仿宋_GB2312" w:eastAsia="仿宋_GB2312" w:cs="仿宋_GB2312"/>
          <w:sz w:val="32"/>
          <w:szCs w:val="32"/>
          <w:lang w:val="zh-TW" w:eastAsia="zh-CN"/>
        </w:rPr>
        <w:t>2023年12月</w:t>
      </w:r>
      <w:r>
        <w:rPr>
          <w:rFonts w:hint="eastAsia" w:ascii="仿宋_GB2312" w:hAnsi="仿宋_GB2312" w:eastAsia="仿宋_GB2312" w:cs="仿宋_GB2312"/>
          <w:sz w:val="32"/>
          <w:szCs w:val="32"/>
          <w:lang w:val="en-US" w:eastAsia="zh-CN"/>
        </w:rPr>
        <w:t>31日</w:t>
      </w:r>
      <w:r>
        <w:rPr>
          <w:rFonts w:hint="eastAsia" w:ascii="仿宋_GB2312" w:hAnsi="仿宋_GB2312" w:eastAsia="仿宋_GB2312" w:cs="仿宋_GB2312"/>
          <w:sz w:val="32"/>
          <w:szCs w:val="32"/>
          <w:lang w:val="zh-TW" w:eastAsia="zh-CN"/>
        </w:rPr>
        <w:t>，本项目实际支出资金5601.04万元，预算执行率=（5601.04</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zh-TW" w:eastAsia="zh-CN"/>
        </w:rPr>
        <w:t>/6476.57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lang w:val="zh-TW" w:eastAsia="zh-CN"/>
        </w:rPr>
        <w:t>）×100%</w:t>
      </w:r>
      <w:r>
        <w:rPr>
          <w:rFonts w:hint="eastAsia" w:ascii="仿宋_GB2312" w:hAnsi="仿宋_GB2312" w:eastAsia="仿宋_GB2312" w:cs="仿宋_GB2312"/>
          <w:sz w:val="32"/>
          <w:szCs w:val="32"/>
          <w:lang w:val="en-US" w:eastAsia="zh-CN"/>
        </w:rPr>
        <w:t>=86.48%。</w:t>
      </w:r>
    </w:p>
    <w:p w14:paraId="0BF7189B">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综上，该项指标满分4分，得分3.46分。</w:t>
      </w:r>
    </w:p>
    <w:p w14:paraId="314F80C8">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3.资金使用合规性</w:t>
      </w:r>
    </w:p>
    <w:p w14:paraId="4D47881E">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①符合国家财经法规和财务管理制度以及有关专项资金管理办法的规定，</w:t>
      </w:r>
      <w:r>
        <w:rPr>
          <w:rFonts w:hint="eastAsia" w:ascii="仿宋_GB2312" w:hAnsi="仿宋_GB2312" w:eastAsia="仿宋_GB2312" w:cs="仿宋_GB2312"/>
          <w:sz w:val="32"/>
          <w:szCs w:val="32"/>
          <w:lang w:val="en-US" w:eastAsia="zh-CN"/>
        </w:rPr>
        <w:t>符合本单位</w:t>
      </w:r>
      <w:r>
        <w:rPr>
          <w:rFonts w:hint="eastAsia" w:ascii="仿宋_GB2312" w:hAnsi="仿宋_GB2312" w:eastAsia="仿宋_GB2312" w:cs="仿宋_GB2312"/>
          <w:sz w:val="32"/>
          <w:szCs w:val="32"/>
          <w:lang w:val="zh-TW" w:eastAsia="zh-CN"/>
        </w:rPr>
        <w:t>《自治区政务服务和公共资源交易中心财务管理办法（试行）》</w:t>
      </w:r>
      <w:r>
        <w:rPr>
          <w:rFonts w:hint="eastAsia" w:ascii="仿宋_GB2312" w:hAnsi="仿宋_GB2312" w:cs="仿宋_GB2312"/>
          <w:sz w:val="32"/>
          <w:szCs w:val="32"/>
          <w:lang w:val="zh-TW" w:eastAsia="zh-CN"/>
        </w:rPr>
        <w:t>《</w:t>
      </w:r>
      <w:r>
        <w:rPr>
          <w:rFonts w:hint="eastAsia" w:ascii="仿宋_GB2312" w:hAnsi="仿宋_GB2312" w:eastAsia="仿宋_GB2312" w:cs="仿宋_GB2312"/>
          <w:sz w:val="32"/>
          <w:szCs w:val="32"/>
          <w:lang w:val="zh-TW" w:eastAsia="zh-CN"/>
        </w:rPr>
        <w:t>自治区政务服务和公共资源交易中心固定资产管理暂行办法</w:t>
      </w:r>
      <w:r>
        <w:rPr>
          <w:rFonts w:hint="eastAsia" w:ascii="仿宋_GB2312" w:hAnsi="仿宋_GB2312" w:cs="仿宋_GB2312"/>
          <w:sz w:val="32"/>
          <w:szCs w:val="32"/>
          <w:lang w:val="zh-TW" w:eastAsia="zh-CN"/>
        </w:rPr>
        <w:t>》</w:t>
      </w:r>
      <w:r>
        <w:rPr>
          <w:rFonts w:hint="eastAsia" w:ascii="仿宋_GB2312" w:hAnsi="仿宋_GB2312" w:eastAsia="仿宋_GB2312" w:cs="仿宋_GB2312"/>
          <w:sz w:val="32"/>
          <w:szCs w:val="32"/>
          <w:lang w:val="zh-TW" w:eastAsia="zh-CN"/>
        </w:rPr>
        <w:t>《自治区政务服务和公共资源交易中心政府采购管理暂行办法》</w:t>
      </w:r>
      <w:r>
        <w:rPr>
          <w:rFonts w:hint="eastAsia" w:ascii="仿宋_GB2312" w:hAnsi="仿宋_GB2312" w:eastAsia="仿宋_GB2312" w:cs="仿宋_GB2312"/>
          <w:sz w:val="32"/>
          <w:szCs w:val="32"/>
          <w:lang w:val="en-US" w:eastAsia="zh-CN"/>
        </w:rPr>
        <w:t>等相关财务管理制度</w:t>
      </w:r>
      <w:r>
        <w:rPr>
          <w:rFonts w:hint="eastAsia" w:ascii="仿宋_GB2312" w:hAnsi="仿宋_GB2312" w:eastAsia="仿宋_GB2312" w:cs="仿宋_GB2312"/>
          <w:sz w:val="32"/>
          <w:szCs w:val="32"/>
          <w:lang w:val="zh-TW" w:eastAsia="zh-CN"/>
        </w:rPr>
        <w:t>；</w:t>
      </w:r>
    </w:p>
    <w:p w14:paraId="7CCA8AB7">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②资金的拨付有完整的审批程序和手续；</w:t>
      </w:r>
    </w:p>
    <w:p w14:paraId="72B2BF39">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③符合项目预算批复或合同规定的用途；</w:t>
      </w:r>
    </w:p>
    <w:p w14:paraId="49AF1DDD">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val="zh-TW" w:eastAsia="zh-CN"/>
        </w:rPr>
        <w:t>存在截留、挤占、挪用、虚列支出等情况。</w:t>
      </w:r>
    </w:p>
    <w:p w14:paraId="75F3E8EF">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综上，该项指标满分4分，得分4分。</w:t>
      </w:r>
    </w:p>
    <w:p w14:paraId="3395E6F8">
      <w:pPr>
        <w:spacing w:line="560" w:lineRule="exact"/>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4.管理制度健全性</w:t>
      </w:r>
    </w:p>
    <w:p w14:paraId="7DA569ED">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①已制定或具有相应的财务和业务管理制度，包括：《自治区政务服务和公共资源交易中心财务管理办法（试行）》《自治区政务服务和公共资源交易中心固定资产管理暂行办法》《自治区政务服务和公共资源交易中心政府采购管理暂行办法》《新疆一体化政务服务平台云网资源采购项目网络安全管理办法V1.0》等，同时公共资源交易中心严格贯彻落实《预算管理制度实施办法》《内部控制管理办法》等文件要求，并将国家法律法规、公共资源交易中心综合保障制度、公共资源交易制度、政务服务大厅制度、内部管理制度及党建和党风廉政建设制度编制成了《自治区政务服务和公共资源交易中心工作制度汇编》；</w:t>
      </w:r>
    </w:p>
    <w:p w14:paraId="363CF525">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②财务和业务管理制度合法、合规、完整。</w:t>
      </w:r>
    </w:p>
    <w:p w14:paraId="186F3E3D">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综上，该项指标满分4分，得分4分。</w:t>
      </w:r>
    </w:p>
    <w:p w14:paraId="2C1E3B36">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5.制度执行有效性</w:t>
      </w:r>
    </w:p>
    <w:p w14:paraId="44632299">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①该项目的实施符合《自治区政务服务和公共资源交易中心政府采购管理暂行办法》《新疆一体化政务服务平台云网资源采购项目网络安全管理办法V1.0》《预算管理制度实施办法》《内部控制管理办法》等相关法律法规及管理规定；</w:t>
      </w:r>
    </w:p>
    <w:p w14:paraId="51E10CB7">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②</w:t>
      </w:r>
      <w:r>
        <w:rPr>
          <w:rFonts w:hint="eastAsia" w:ascii="仿宋_GB2312" w:hAnsi="仿宋_GB2312" w:eastAsia="仿宋_GB2312" w:cs="仿宋_GB2312"/>
          <w:sz w:val="32"/>
          <w:szCs w:val="32"/>
        </w:rPr>
        <w:t>该项目</w:t>
      </w:r>
      <w:r>
        <w:rPr>
          <w:rFonts w:hint="eastAsia" w:ascii="仿宋_GB2312" w:hAnsi="仿宋_GB2312" w:eastAsia="仿宋_GB2312" w:cs="仿宋_GB2312"/>
          <w:sz w:val="32"/>
          <w:szCs w:val="32"/>
          <w:lang w:val="en-US" w:eastAsia="zh-CN"/>
        </w:rPr>
        <w:t>绩效目标</w:t>
      </w:r>
      <w:r>
        <w:rPr>
          <w:rFonts w:hint="eastAsia" w:ascii="仿宋_GB2312" w:hAnsi="仿宋_GB2312" w:eastAsia="仿宋_GB2312" w:cs="仿宋_GB2312"/>
          <w:sz w:val="32"/>
          <w:szCs w:val="32"/>
        </w:rPr>
        <w:t>存在调整，</w:t>
      </w:r>
      <w:r>
        <w:rPr>
          <w:rFonts w:hint="eastAsia" w:ascii="仿宋_GB2312" w:hAnsi="仿宋_GB2312" w:eastAsia="仿宋_GB2312" w:cs="仿宋_GB2312"/>
          <w:sz w:val="32"/>
          <w:szCs w:val="32"/>
          <w:lang w:val="en-US" w:eastAsia="zh-CN"/>
        </w:rPr>
        <w:t>绩效目标调整函等</w:t>
      </w:r>
      <w:r>
        <w:rPr>
          <w:rFonts w:hint="eastAsia" w:ascii="仿宋_GB2312" w:hAnsi="仿宋_GB2312" w:eastAsia="仿宋_GB2312" w:cs="仿宋_GB2312"/>
          <w:sz w:val="32"/>
          <w:szCs w:val="32"/>
          <w:lang w:val="zh-TW" w:eastAsia="zh-CN"/>
        </w:rPr>
        <w:t>项目调整手续完备；</w:t>
      </w:r>
    </w:p>
    <w:p w14:paraId="26F12CB3">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③项目合同书、验收报告等资料齐全并及时归档，</w:t>
      </w:r>
      <w:r>
        <w:rPr>
          <w:rFonts w:hint="eastAsia" w:ascii="仿宋_GB2312" w:hAnsi="仿宋_GB2312" w:eastAsia="仿宋_GB2312" w:cs="仿宋_GB2312"/>
          <w:sz w:val="32"/>
          <w:szCs w:val="32"/>
          <w:highlight w:val="none"/>
          <w:lang w:val="en-US" w:eastAsia="zh-CN"/>
        </w:rPr>
        <w:t>我单位相关部门已签《档案移交签收单》，档案移交至综合部</w:t>
      </w:r>
      <w:r>
        <w:rPr>
          <w:rFonts w:hint="eastAsia" w:ascii="仿宋_GB2312" w:hAnsi="仿宋_GB2312" w:eastAsia="仿宋_GB2312" w:cs="仿宋_GB2312"/>
          <w:sz w:val="32"/>
          <w:szCs w:val="32"/>
          <w:highlight w:val="none"/>
          <w:lang w:val="zh-TW" w:eastAsia="zh-CN"/>
        </w:rPr>
        <w:t>；</w:t>
      </w:r>
    </w:p>
    <w:p w14:paraId="2C69AB1D">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④项目实施的人员条件、场地设备、信息支撑等落实到位。</w:t>
      </w:r>
    </w:p>
    <w:p w14:paraId="5E28732E">
      <w:pPr>
        <w:spacing w:line="560" w:lineRule="exact"/>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综上，该项指标满分4分，得分4分。</w:t>
      </w:r>
    </w:p>
    <w:p w14:paraId="3224FB92">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17" w:name="_Toc24890"/>
      <w:r>
        <w:rPr>
          <w:rFonts w:hint="eastAsia" w:ascii="楷体_GB2312" w:hAnsi="Times New Roman" w:eastAsia="楷体_GB2312" w:cs="宋体"/>
          <w:b/>
          <w:bCs/>
          <w:color w:val="auto"/>
          <w:spacing w:val="6"/>
          <w:kern w:val="2"/>
          <w:sz w:val="32"/>
          <w:szCs w:val="32"/>
          <w:highlight w:val="none"/>
          <w:lang w:val="en-US" w:eastAsia="zh-CN" w:bidi="ar-SA"/>
        </w:rPr>
        <w:t>（三）项目产出情况</w:t>
      </w:r>
      <w:bookmarkEnd w:id="17"/>
    </w:p>
    <w:p w14:paraId="471B8FD1">
      <w:pPr>
        <w:spacing w:line="560" w:lineRule="exact"/>
        <w:ind w:firstLine="640" w:firstLineChars="200"/>
        <w:rPr>
          <w:rFonts w:hint="eastAsia" w:ascii="仿宋_GB2312" w:hAnsi="仿宋_GB2312" w:eastAsia="仿宋_GB2312" w:cs="仿宋_GB2312"/>
          <w:sz w:val="32"/>
          <w:szCs w:val="32"/>
          <w:lang w:val="zh-TW" w:eastAsia="zh-TW"/>
        </w:rPr>
      </w:pPr>
      <w:r>
        <w:rPr>
          <w:rFonts w:hint="eastAsia" w:ascii="仿宋_GB2312" w:hAnsi="仿宋_GB2312" w:eastAsia="仿宋_GB2312" w:cs="仿宋_GB2312"/>
          <w:sz w:val="32"/>
          <w:szCs w:val="32"/>
          <w:lang w:val="zh-TW" w:eastAsia="zh-TW"/>
        </w:rPr>
        <w:t>项目</w:t>
      </w:r>
      <w:r>
        <w:rPr>
          <w:rFonts w:hint="eastAsia" w:ascii="仿宋_GB2312" w:hAnsi="仿宋_GB2312" w:eastAsia="仿宋_GB2312" w:cs="仿宋_GB2312"/>
          <w:sz w:val="32"/>
          <w:szCs w:val="32"/>
          <w:lang w:val="en-US" w:eastAsia="zh-CN"/>
        </w:rPr>
        <w:t>产出</w:t>
      </w:r>
      <w:r>
        <w:rPr>
          <w:rFonts w:hint="eastAsia" w:ascii="仿宋_GB2312" w:hAnsi="仿宋_GB2312" w:eastAsia="仿宋_GB2312" w:cs="仿宋_GB2312"/>
          <w:sz w:val="32"/>
          <w:szCs w:val="32"/>
          <w:lang w:val="zh-TW" w:eastAsia="zh-TW"/>
        </w:rPr>
        <w:t>类指标由</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zh-TW" w:eastAsia="zh-CN"/>
        </w:rPr>
        <w:t>二</w:t>
      </w:r>
      <w:r>
        <w:rPr>
          <w:rFonts w:hint="eastAsia" w:ascii="仿宋_GB2312" w:hAnsi="仿宋_GB2312" w:eastAsia="仿宋_GB2312" w:cs="仿宋_GB2312"/>
          <w:sz w:val="32"/>
          <w:szCs w:val="32"/>
          <w:lang w:val="zh-TW" w:eastAsia="zh-TW"/>
        </w:rPr>
        <w:t>级指标和</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zh-TW" w:eastAsia="zh-CN"/>
        </w:rPr>
        <w:t>三</w:t>
      </w:r>
      <w:r>
        <w:rPr>
          <w:rFonts w:hint="eastAsia" w:ascii="仿宋_GB2312" w:hAnsi="仿宋_GB2312" w:eastAsia="仿宋_GB2312" w:cs="仿宋_GB2312"/>
          <w:sz w:val="32"/>
          <w:szCs w:val="32"/>
          <w:lang w:val="zh-TW" w:eastAsia="zh-TW"/>
        </w:rPr>
        <w:t>级指标构成，权重分</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val="zh-TW" w:eastAsia="zh-TW"/>
        </w:rPr>
        <w:t>分，实际得分</w:t>
      </w:r>
      <w:r>
        <w:rPr>
          <w:rFonts w:hint="eastAsia" w:ascii="仿宋_GB2312" w:hAnsi="仿宋_GB2312" w:eastAsia="仿宋_GB2312" w:cs="仿宋_GB2312"/>
          <w:sz w:val="32"/>
          <w:szCs w:val="32"/>
          <w:lang w:val="en-US" w:eastAsia="zh-CN"/>
        </w:rPr>
        <w:t>29.95</w:t>
      </w:r>
      <w:r>
        <w:rPr>
          <w:rFonts w:hint="eastAsia" w:ascii="仿宋_GB2312" w:hAnsi="仿宋_GB2312" w:eastAsia="仿宋_GB2312" w:cs="仿宋_GB2312"/>
          <w:sz w:val="32"/>
          <w:szCs w:val="32"/>
          <w:lang w:val="zh-TW" w:eastAsia="zh-TW"/>
        </w:rPr>
        <w:t>分</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各指标业绩值和绩效分值如表</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TW" w:eastAsia="zh-TW"/>
        </w:rPr>
        <w:t>所示</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详见上传的附件</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w:t>
      </w:r>
    </w:p>
    <w:p w14:paraId="07FE23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eastAsia="仿宋_GB2312" w:cs="宋体"/>
          <w:b/>
          <w:bCs/>
          <w:color w:val="auto"/>
          <w:kern w:val="0"/>
          <w:sz w:val="28"/>
          <w:szCs w:val="28"/>
          <w:highlight w:val="none"/>
          <w:shd w:val="clear" w:color="auto" w:fill="auto"/>
          <w:lang w:val="en-US" w:eastAsia="zh-CN"/>
        </w:rPr>
      </w:pPr>
      <w:r>
        <w:rPr>
          <w:rFonts w:hint="eastAsia" w:ascii="仿宋_GB2312" w:hAnsi="仿宋_GB2312" w:eastAsia="仿宋_GB2312" w:cs="仿宋_GB2312"/>
          <w:b/>
          <w:bCs/>
          <w:spacing w:val="6"/>
          <w:sz w:val="22"/>
          <w:szCs w:val="22"/>
          <w:lang w:val="zh-TW" w:eastAsia="zh-TW"/>
        </w:rPr>
        <w:t>表</w:t>
      </w:r>
      <w:r>
        <w:rPr>
          <w:rFonts w:hint="eastAsia" w:ascii="仿宋_GB2312" w:hAnsi="仿宋_GB2312" w:eastAsia="仿宋_GB2312" w:cs="仿宋_GB2312"/>
          <w:b/>
          <w:bCs/>
          <w:spacing w:val="6"/>
          <w:sz w:val="22"/>
          <w:szCs w:val="22"/>
          <w:lang w:val="en-US" w:eastAsia="zh-CN"/>
        </w:rPr>
        <w:t>4-3项目产出</w:t>
      </w:r>
      <w:r>
        <w:rPr>
          <w:rFonts w:hint="eastAsia" w:ascii="仿宋_GB2312" w:hAnsi="仿宋_GB2312" w:eastAsia="仿宋_GB2312" w:cs="仿宋_GB2312"/>
          <w:b/>
          <w:bCs/>
          <w:spacing w:val="6"/>
          <w:sz w:val="22"/>
          <w:szCs w:val="22"/>
          <w:lang w:val="zh-TW" w:eastAsia="zh-TW"/>
        </w:rPr>
        <w:t>指标及分值</w:t>
      </w:r>
      <w:r>
        <w:rPr>
          <w:rFonts w:hint="eastAsia" w:ascii="仿宋_GB2312" w:hAnsi="仿宋_GB2312" w:eastAsia="仿宋_GB2312" w:cs="仿宋_GB2312"/>
          <w:b/>
          <w:bCs/>
          <w:spacing w:val="6"/>
          <w:sz w:val="22"/>
          <w:szCs w:val="22"/>
          <w:lang w:val="en-US" w:eastAsia="zh-CN"/>
        </w:rPr>
        <w:t>情况</w:t>
      </w:r>
    </w:p>
    <w:tbl>
      <w:tblPr>
        <w:tblStyle w:val="15"/>
        <w:tblW w:w="8197" w:type="dxa"/>
        <w:jc w:val="center"/>
        <w:shd w:val="clear" w:color="auto" w:fill="auto"/>
        <w:tblLayout w:type="fixed"/>
        <w:tblCellMar>
          <w:top w:w="0" w:type="dxa"/>
          <w:left w:w="0" w:type="dxa"/>
          <w:bottom w:w="0" w:type="dxa"/>
          <w:right w:w="0" w:type="dxa"/>
        </w:tblCellMar>
      </w:tblPr>
      <w:tblGrid>
        <w:gridCol w:w="634"/>
        <w:gridCol w:w="615"/>
        <w:gridCol w:w="2632"/>
        <w:gridCol w:w="1762"/>
        <w:gridCol w:w="558"/>
        <w:gridCol w:w="1365"/>
        <w:gridCol w:w="631"/>
      </w:tblGrid>
      <w:tr w14:paraId="11E2457D">
        <w:tblPrEx>
          <w:shd w:val="clear" w:color="auto" w:fill="auto"/>
          <w:tblCellMar>
            <w:top w:w="0" w:type="dxa"/>
            <w:left w:w="0" w:type="dxa"/>
            <w:bottom w:w="0" w:type="dxa"/>
            <w:right w:w="0" w:type="dxa"/>
          </w:tblCellMar>
        </w:tblPrEx>
        <w:trPr>
          <w:trHeight w:val="750" w:hRule="atLeast"/>
          <w:jc w:val="center"/>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1D0D0A2">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一级指标</w:t>
            </w:r>
          </w:p>
        </w:tc>
        <w:tc>
          <w:tcPr>
            <w:tcW w:w="6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3B09DA">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二级指标</w:t>
            </w:r>
          </w:p>
        </w:tc>
        <w:tc>
          <w:tcPr>
            <w:tcW w:w="263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F161F0">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三级指标</w:t>
            </w:r>
          </w:p>
        </w:tc>
        <w:tc>
          <w:tcPr>
            <w:tcW w:w="176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E20F4C">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E9097B0">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03CEAF">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49F9F1">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指标得分</w:t>
            </w:r>
          </w:p>
        </w:tc>
      </w:tr>
      <w:tr w14:paraId="205E7E37">
        <w:tblPrEx>
          <w:shd w:val="clear" w:color="auto" w:fill="auto"/>
          <w:tblCellMar>
            <w:top w:w="0" w:type="dxa"/>
            <w:left w:w="0" w:type="dxa"/>
            <w:bottom w:w="0" w:type="dxa"/>
            <w:right w:w="0" w:type="dxa"/>
          </w:tblCellMar>
        </w:tblPrEx>
        <w:trPr>
          <w:trHeight w:val="415" w:hRule="atLeast"/>
          <w:jc w:val="center"/>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1A898D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产出</w:t>
            </w:r>
          </w:p>
        </w:tc>
        <w:tc>
          <w:tcPr>
            <w:tcW w:w="6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2B062B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数量指标</w:t>
            </w: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B138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一体化平台维护数量</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5DDC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9519F">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21CC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DA3A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r>
      <w:tr w14:paraId="7228CEDC">
        <w:tblPrEx>
          <w:shd w:val="clear" w:color="auto" w:fill="auto"/>
          <w:tblCellMar>
            <w:top w:w="0" w:type="dxa"/>
            <w:left w:w="0" w:type="dxa"/>
            <w:bottom w:w="0" w:type="dxa"/>
            <w:right w:w="0" w:type="dxa"/>
          </w:tblCellMar>
        </w:tblPrEx>
        <w:trPr>
          <w:trHeight w:val="415"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D40D7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43E6A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FE2B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网络安全监测评估次数</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E017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&gt;=53次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1BE4B">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6589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53次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48D56">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r>
      <w:tr w14:paraId="0DFEE2B6">
        <w:tblPrEx>
          <w:shd w:val="clear" w:color="auto" w:fill="auto"/>
          <w:tblCellMar>
            <w:top w:w="0" w:type="dxa"/>
            <w:left w:w="0" w:type="dxa"/>
            <w:bottom w:w="0" w:type="dxa"/>
            <w:right w:w="0" w:type="dxa"/>
          </w:tblCellMar>
        </w:tblPrEx>
        <w:trPr>
          <w:trHeight w:val="415"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A85F90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59C9B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D59B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公共资源交易项目个数</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08E2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&gt;=1874个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E105D">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7486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1874个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7E016">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r>
      <w:tr w14:paraId="2C647C78">
        <w:tblPrEx>
          <w:shd w:val="clear" w:color="auto" w:fill="auto"/>
          <w:tblCellMar>
            <w:top w:w="0" w:type="dxa"/>
            <w:left w:w="0" w:type="dxa"/>
            <w:bottom w:w="0" w:type="dxa"/>
            <w:right w:w="0" w:type="dxa"/>
          </w:tblCellMar>
        </w:tblPrEx>
        <w:trPr>
          <w:trHeight w:val="415"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CEF39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452FD5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35AF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工单处办量</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BB08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&gt;=384057个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FC4C">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25C6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384057个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E793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r>
      <w:tr w14:paraId="67857422">
        <w:tblPrEx>
          <w:shd w:val="clear" w:color="auto" w:fill="auto"/>
          <w:tblCellMar>
            <w:top w:w="0" w:type="dxa"/>
            <w:left w:w="0" w:type="dxa"/>
            <w:bottom w:w="0" w:type="dxa"/>
            <w:right w:w="0" w:type="dxa"/>
          </w:tblCellMar>
        </w:tblPrEx>
        <w:trPr>
          <w:trHeight w:val="415"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147367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4158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0240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在职人数</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5C07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&gt;=80人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62D9D">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F8E2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76人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94FD5">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0.95</w:t>
            </w:r>
          </w:p>
        </w:tc>
      </w:tr>
      <w:tr w14:paraId="04D7E02E">
        <w:tblPrEx>
          <w:shd w:val="clear" w:color="auto" w:fill="auto"/>
          <w:tblCellMar>
            <w:top w:w="0" w:type="dxa"/>
            <w:left w:w="0" w:type="dxa"/>
            <w:bottom w:w="0" w:type="dxa"/>
            <w:right w:w="0" w:type="dxa"/>
          </w:tblCellMar>
        </w:tblPrEx>
        <w:trPr>
          <w:trHeight w:val="390"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A6324C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39E1C6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质量指标</w:t>
            </w: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3331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一体化平台系统故障率</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F744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&lt;=10%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97B49">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ECEB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7FDC5">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w:t>
            </w:r>
          </w:p>
        </w:tc>
      </w:tr>
      <w:tr w14:paraId="575093C6">
        <w:tblPrEx>
          <w:shd w:val="clear" w:color="auto" w:fill="auto"/>
          <w:tblCellMar>
            <w:top w:w="0" w:type="dxa"/>
            <w:left w:w="0" w:type="dxa"/>
            <w:bottom w:w="0" w:type="dxa"/>
            <w:right w:w="0" w:type="dxa"/>
          </w:tblCellMar>
        </w:tblPrEx>
        <w:trPr>
          <w:trHeight w:val="390"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813B541">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AF8F24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50FD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项目验收合格率</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6B8B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&gt;=80%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02F7C">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6E33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85%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DD704">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7A123481">
        <w:tblPrEx>
          <w:shd w:val="clear" w:color="auto" w:fill="auto"/>
          <w:tblCellMar>
            <w:top w:w="0" w:type="dxa"/>
            <w:left w:w="0" w:type="dxa"/>
            <w:bottom w:w="0" w:type="dxa"/>
            <w:right w:w="0" w:type="dxa"/>
          </w:tblCellMar>
        </w:tblPrEx>
        <w:trPr>
          <w:trHeight w:val="390"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A3744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62DD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A18C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工单转派准确率</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E07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&gt;=90%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D5CD7">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C998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99.92%</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8565E">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7F2CB11D">
        <w:tblPrEx>
          <w:shd w:val="clear" w:color="auto" w:fill="auto"/>
          <w:tblCellMar>
            <w:top w:w="0" w:type="dxa"/>
            <w:left w:w="0" w:type="dxa"/>
            <w:bottom w:w="0" w:type="dxa"/>
            <w:right w:w="0" w:type="dxa"/>
          </w:tblCellMar>
        </w:tblPrEx>
        <w:trPr>
          <w:trHeight w:val="410"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389D4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F61AFF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时效指标</w:t>
            </w: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6FBD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系统故障修复处理时间</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B30C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&lt;=2天</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9BAC5">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D008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1天</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93B89">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195FFE3E">
        <w:tblPrEx>
          <w:shd w:val="clear" w:color="auto" w:fill="auto"/>
          <w:tblCellMar>
            <w:top w:w="0" w:type="dxa"/>
            <w:left w:w="0" w:type="dxa"/>
            <w:bottom w:w="0" w:type="dxa"/>
            <w:right w:w="0" w:type="dxa"/>
          </w:tblCellMar>
        </w:tblPrEx>
        <w:trPr>
          <w:trHeight w:val="410"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914B0B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FA3C0A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F215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系统运行响应时间</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C8E7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&lt;=72小时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4F12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37AB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1小时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6CBF2">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48882479">
        <w:tblPrEx>
          <w:shd w:val="clear" w:color="auto" w:fill="auto"/>
          <w:tblCellMar>
            <w:top w:w="0" w:type="dxa"/>
            <w:left w:w="0" w:type="dxa"/>
            <w:bottom w:w="0" w:type="dxa"/>
            <w:right w:w="0" w:type="dxa"/>
          </w:tblCellMar>
        </w:tblPrEx>
        <w:trPr>
          <w:trHeight w:val="410"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86F88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BCEF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C355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签入及时率</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3FCC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&gt;=80%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96EAD">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D9ED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B7FBE">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6A39F3CE">
        <w:tblPrEx>
          <w:shd w:val="clear" w:color="auto" w:fill="auto"/>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D01C3A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E70A59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成本指标</w:t>
            </w: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ED4C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公共资源交易项目评审、处理质疑、论证等成本</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3DA9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&lt;=189万元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6D60B">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0C9D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140.14万元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C2EE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w:t>
            </w:r>
          </w:p>
        </w:tc>
      </w:tr>
      <w:tr w14:paraId="40B4E4CF">
        <w:tblPrEx>
          <w:shd w:val="clear" w:color="auto" w:fill="auto"/>
          <w:tblCellMar>
            <w:top w:w="0" w:type="dxa"/>
            <w:left w:w="0" w:type="dxa"/>
            <w:bottom w:w="0" w:type="dxa"/>
            <w:right w:w="0" w:type="dxa"/>
          </w:tblCellMar>
        </w:tblPrEx>
        <w:trPr>
          <w:trHeight w:val="428" w:hRule="atLeast"/>
          <w:jc w:val="center"/>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3D7C37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A3F34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C26A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一体化运行维护成本</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F01B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&lt;=3238.82万元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42326">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F7D1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2910.42万元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D54AF">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w:t>
            </w:r>
          </w:p>
        </w:tc>
      </w:tr>
      <w:tr w14:paraId="29D252C8">
        <w:tblPrEx>
          <w:shd w:val="clear" w:color="auto" w:fill="auto"/>
          <w:tblCellMar>
            <w:top w:w="0" w:type="dxa"/>
            <w:left w:w="0" w:type="dxa"/>
            <w:bottom w:w="0" w:type="dxa"/>
            <w:right w:w="0" w:type="dxa"/>
          </w:tblCellMar>
        </w:tblPrEx>
        <w:trPr>
          <w:trHeight w:val="428" w:hRule="atLeast"/>
          <w:jc w:val="center"/>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E07B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7A9B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9CF0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运转保障成本</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A0B2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&lt;=3048.75万元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C0B1E">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A459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2550.48万元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D0D4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w:t>
            </w:r>
          </w:p>
        </w:tc>
      </w:tr>
      <w:tr w14:paraId="1F963D90">
        <w:tblPrEx>
          <w:shd w:val="clear" w:color="auto" w:fill="auto"/>
          <w:tblCellMar>
            <w:top w:w="0" w:type="dxa"/>
            <w:left w:w="0" w:type="dxa"/>
            <w:bottom w:w="0" w:type="dxa"/>
            <w:right w:w="0" w:type="dxa"/>
          </w:tblCellMar>
        </w:tblPrEx>
        <w:trPr>
          <w:trHeight w:val="403" w:hRule="atLeast"/>
          <w:jc w:val="center"/>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2BF9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05D7F">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08BD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F1772">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29.95</w:t>
            </w:r>
          </w:p>
        </w:tc>
      </w:tr>
    </w:tbl>
    <w:p w14:paraId="4D285276">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1.项目完成数量</w:t>
      </w:r>
    </w:p>
    <w:p w14:paraId="63E72BD1">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一体化平台维护数量</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指标，预期目标值为&gt;=1个，实际完成为1个。实际完成率=（1个/1个）×100%=100%。</w:t>
      </w:r>
    </w:p>
    <w:p w14:paraId="5B1B49D3">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综上，该项指标满分3分，得分3分。</w:t>
      </w:r>
    </w:p>
    <w:p w14:paraId="0F2D6F1F">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网络安全监测评估次数</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指标，预期目标值为&gt;=53次，实际完成为53次。实际完成率=（53次/53次）×100%=100%。</w:t>
      </w:r>
    </w:p>
    <w:p w14:paraId="5076972E">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综上，该项指标满分3分，得分3分。</w:t>
      </w:r>
    </w:p>
    <w:p w14:paraId="08DF2FE5">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公共资源交易项目个数</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指标，预期目标值为&gt;=1874个，实际完成为1874个。实际完成率=（1874个/1874个）×100%=100%。</w:t>
      </w:r>
    </w:p>
    <w:p w14:paraId="1B3C1F5D">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综上，该项指标满分3分，得分3分。</w:t>
      </w:r>
    </w:p>
    <w:p w14:paraId="5A006858">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工单处办量</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指标，预期目标值为&gt;=384057个，实际完成为1个。实际完成率=（384057个/384057个）×100%=100%。</w:t>
      </w:r>
    </w:p>
    <w:p w14:paraId="5B749D78">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综上，该项指标满分3分，得分3分。</w:t>
      </w:r>
    </w:p>
    <w:p w14:paraId="04DE7FE9">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在职人数</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指标，预期目标值为&gt;=80人，实际完成为76人。实际完成率=（76人/80人）×100%=95%。</w:t>
      </w:r>
    </w:p>
    <w:p w14:paraId="489DB7DB">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偏差率为5%，偏差原因：截至2023年12月31日，本单位在职人数76人，退休4人。</w:t>
      </w:r>
    </w:p>
    <w:p w14:paraId="731D641B">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综上，该项指标满分1分，得分0.95分。</w:t>
      </w:r>
    </w:p>
    <w:p w14:paraId="06D92FBD">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2.项目完成质量</w:t>
      </w:r>
    </w:p>
    <w:p w14:paraId="5AB0460F">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一体化平台系统故障率</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指标，预期目标值为&lt;=10%，实际完成为1%，实际完成率100%。</w:t>
      </w:r>
    </w:p>
    <w:p w14:paraId="357D16D4">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综上，该项指标满分1分，得分1分。</w:t>
      </w:r>
    </w:p>
    <w:p w14:paraId="647E232C">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项目验收合格率</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指标，预期目标值为&gt;=80%，实际完成为85%，实际完成率100%。</w:t>
      </w:r>
    </w:p>
    <w:p w14:paraId="33C5BA0E">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综上，该项指标满分2分，得分2分。</w:t>
      </w:r>
    </w:p>
    <w:p w14:paraId="51332172">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工单转派准确率</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指标，预期目标值为&gt;=90%，实际完成为99.92%，实际完成率100%。</w:t>
      </w:r>
    </w:p>
    <w:p w14:paraId="6301F6B2">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综上，该项指标满分2分，得分2分。</w:t>
      </w:r>
    </w:p>
    <w:p w14:paraId="7CB03418">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3.项目完成时效</w:t>
      </w:r>
    </w:p>
    <w:p w14:paraId="70697364">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系统故障修复处理时间</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指标，预期目标值为&lt;=2天，实际完成为1天，实际完成率100%。</w:t>
      </w:r>
    </w:p>
    <w:p w14:paraId="639FC42B">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综上，该项指标满分2分，得分2分。</w:t>
      </w:r>
    </w:p>
    <w:p w14:paraId="702368E6">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系统运行响应时间</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指标，预期目标值为&lt;=72小时，实际完成为1小时，实际完成率100%。</w:t>
      </w:r>
    </w:p>
    <w:p w14:paraId="5486D487">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综上，该项指标满分2分，得分2分。</w:t>
      </w:r>
    </w:p>
    <w:p w14:paraId="0F3DC1D0">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系统运行响应时间</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指标，预期目标值为&lt;=72小时，实际完成为100%，实际完成率100%。</w:t>
      </w:r>
    </w:p>
    <w:p w14:paraId="1A1A5F91">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综上，该项指标满分2分，得分2分。</w:t>
      </w:r>
    </w:p>
    <w:p w14:paraId="64C2D99E">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4.项目完成成本</w:t>
      </w:r>
    </w:p>
    <w:p w14:paraId="7C2160D5">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公共资源交易项目评审、处理质疑、论证等成本</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指标，预期目标值为&lt;=189万元，实际完成为140.14万元，实际完成率100%。</w:t>
      </w:r>
    </w:p>
    <w:p w14:paraId="240C4461">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综上，该项指标满分1分，得分1分。</w:t>
      </w:r>
    </w:p>
    <w:p w14:paraId="3A73E515">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一体化运行维护成本</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指标，预期目标值为&lt;=3238.82万元，实际完成为2910.42万元。实际完成率，实际完成率100%。</w:t>
      </w:r>
    </w:p>
    <w:p w14:paraId="3C37B7E4">
      <w:pPr>
        <w:spacing w:line="560" w:lineRule="exact"/>
        <w:ind w:firstLine="643" w:firstLineChars="200"/>
        <w:rPr>
          <w:rFonts w:hint="eastAsia" w:ascii="仿宋_GB2312" w:hAnsi="仿宋_GB2312" w:eastAsia="仿宋_GB2312" w:cs="仿宋_GB2312"/>
          <w:b/>
          <w:bCs/>
          <w:sz w:val="32"/>
          <w:szCs w:val="32"/>
          <w:lang w:val="zh-TW" w:eastAsia="zh-CN"/>
        </w:rPr>
      </w:pPr>
      <w:r>
        <w:rPr>
          <w:rFonts w:hint="eastAsia" w:ascii="仿宋_GB2312" w:hAnsi="仿宋_GB2312" w:eastAsia="仿宋_GB2312" w:cs="仿宋_GB2312"/>
          <w:b/>
          <w:bCs/>
          <w:sz w:val="32"/>
          <w:szCs w:val="32"/>
          <w:lang w:val="en-US" w:eastAsia="zh-CN"/>
        </w:rPr>
        <w:t>综上，该项指标满分3分，得分3分。</w:t>
      </w:r>
    </w:p>
    <w:p w14:paraId="766E53BB">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运转保障成本</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指标，预期目标值为&lt;=3048.75万元，实际完成为2550.48万元，实际完成率100%。</w:t>
      </w:r>
    </w:p>
    <w:p w14:paraId="3FC9794A">
      <w:pPr>
        <w:spacing w:line="560" w:lineRule="exact"/>
        <w:ind w:firstLine="643" w:firstLineChars="200"/>
        <w:rPr>
          <w:rFonts w:hint="eastAsia" w:ascii="仿宋_GB2312" w:hAnsi="Times New Roman" w:eastAsia="仿宋_GB2312" w:cs="Times New Roman"/>
          <w:b/>
          <w:bCs/>
          <w:kern w:val="2"/>
          <w:sz w:val="30"/>
          <w:szCs w:val="24"/>
          <w:lang w:val="en-US" w:eastAsia="zh-CN" w:bidi="ar-SA"/>
        </w:rPr>
      </w:pPr>
      <w:r>
        <w:rPr>
          <w:rFonts w:hint="eastAsia" w:ascii="仿宋_GB2312" w:hAnsi="仿宋_GB2312" w:eastAsia="仿宋_GB2312" w:cs="仿宋_GB2312"/>
          <w:b/>
          <w:bCs/>
          <w:sz w:val="32"/>
          <w:szCs w:val="32"/>
          <w:lang w:val="en-US" w:eastAsia="zh-CN"/>
        </w:rPr>
        <w:t>综上，该项指标满分2分，得分2分。</w:t>
      </w:r>
    </w:p>
    <w:p w14:paraId="3C9BE7DC">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en-US" w:eastAsia="zh-CN" w:bidi="ar-SA"/>
        </w:rPr>
      </w:pPr>
      <w:bookmarkStart w:id="18" w:name="_Toc13832"/>
      <w:r>
        <w:rPr>
          <w:rFonts w:hint="eastAsia" w:ascii="楷体_GB2312" w:hAnsi="Times New Roman" w:eastAsia="楷体_GB2312" w:cs="宋体"/>
          <w:b/>
          <w:bCs/>
          <w:color w:val="auto"/>
          <w:spacing w:val="6"/>
          <w:kern w:val="2"/>
          <w:sz w:val="32"/>
          <w:szCs w:val="32"/>
          <w:highlight w:val="none"/>
          <w:lang w:val="en-US" w:eastAsia="zh-CN" w:bidi="ar-SA"/>
        </w:rPr>
        <w:t>（四）项目效益情况</w:t>
      </w:r>
      <w:bookmarkEnd w:id="18"/>
    </w:p>
    <w:p w14:paraId="46E34941">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zh-TW" w:eastAsia="zh-TW"/>
        </w:rPr>
        <w:t>项目</w:t>
      </w:r>
      <w:r>
        <w:rPr>
          <w:rFonts w:hint="eastAsia" w:ascii="仿宋_GB2312" w:hAnsi="仿宋_GB2312" w:eastAsia="仿宋_GB2312" w:cs="仿宋_GB2312"/>
          <w:sz w:val="32"/>
          <w:szCs w:val="32"/>
          <w:lang w:val="en-US" w:eastAsia="zh-CN"/>
        </w:rPr>
        <w:t>效益</w:t>
      </w:r>
      <w:r>
        <w:rPr>
          <w:rFonts w:hint="eastAsia" w:ascii="仿宋_GB2312" w:hAnsi="仿宋_GB2312" w:eastAsia="仿宋_GB2312" w:cs="仿宋_GB2312"/>
          <w:sz w:val="32"/>
          <w:szCs w:val="32"/>
          <w:lang w:val="zh-TW" w:eastAsia="zh-TW"/>
        </w:rPr>
        <w:t>类指标由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zh-TW" w:eastAsia="zh-CN"/>
        </w:rPr>
        <w:t>二</w:t>
      </w:r>
      <w:r>
        <w:rPr>
          <w:rFonts w:hint="eastAsia" w:ascii="仿宋_GB2312" w:hAnsi="仿宋_GB2312" w:eastAsia="仿宋_GB2312" w:cs="仿宋_GB2312"/>
          <w:sz w:val="32"/>
          <w:szCs w:val="32"/>
          <w:lang w:val="zh-TW" w:eastAsia="zh-TW"/>
        </w:rPr>
        <w:t>级指标和</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TW" w:eastAsia="zh-TW"/>
        </w:rPr>
        <w:t>个</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val="zh-TW" w:eastAsia="zh-TW"/>
        </w:rPr>
        <w:t>级指标构成，权重分</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val="zh-TW" w:eastAsia="zh-TW"/>
        </w:rPr>
        <w:t>分，实际得分</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val="zh-TW" w:eastAsia="zh-TW"/>
        </w:rPr>
        <w:t>分</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各指标业绩值和绩效分值如表</w:t>
      </w:r>
      <w:r>
        <w:rPr>
          <w:rFonts w:hint="eastAsia" w:ascii="仿宋_GB2312" w:hAnsi="仿宋_GB2312" w:eastAsia="仿宋_GB2312" w:cs="仿宋_GB2312"/>
          <w:sz w:val="32"/>
          <w:szCs w:val="32"/>
          <w:lang w:val="en-US" w:eastAsia="zh-CN"/>
        </w:rPr>
        <w:t>4-4</w:t>
      </w:r>
      <w:r>
        <w:rPr>
          <w:rFonts w:hint="eastAsia" w:ascii="仿宋_GB2312" w:hAnsi="仿宋_GB2312" w:eastAsia="仿宋_GB2312" w:cs="仿宋_GB2312"/>
          <w:sz w:val="32"/>
          <w:szCs w:val="32"/>
          <w:lang w:val="zh-TW" w:eastAsia="zh-TW"/>
        </w:rPr>
        <w:t>所示</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详见上传的附件</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w:t>
      </w:r>
    </w:p>
    <w:p w14:paraId="1C7948AF">
      <w:pPr>
        <w:spacing w:line="600" w:lineRule="atLeast"/>
        <w:jc w:val="center"/>
        <w:rPr>
          <w:rFonts w:hint="eastAsia" w:ascii="仿宋_GB2312" w:hAnsi="仿宋_GB2312" w:eastAsia="仿宋_GB2312" w:cs="仿宋_GB2312"/>
          <w:b/>
          <w:bCs/>
          <w:spacing w:val="6"/>
          <w:sz w:val="22"/>
          <w:szCs w:val="22"/>
          <w:lang w:val="en-US" w:eastAsia="zh-CN"/>
        </w:rPr>
      </w:pPr>
      <w:r>
        <w:rPr>
          <w:rFonts w:hint="eastAsia" w:ascii="仿宋_GB2312" w:hAnsi="仿宋_GB2312" w:eastAsia="仿宋_GB2312" w:cs="仿宋_GB2312"/>
          <w:b/>
          <w:bCs/>
          <w:spacing w:val="6"/>
          <w:sz w:val="22"/>
          <w:szCs w:val="22"/>
          <w:lang w:val="zh-TW" w:eastAsia="zh-TW"/>
        </w:rPr>
        <w:t>表</w:t>
      </w:r>
      <w:r>
        <w:rPr>
          <w:rFonts w:hint="eastAsia" w:ascii="仿宋_GB2312" w:hAnsi="仿宋_GB2312" w:eastAsia="仿宋_GB2312" w:cs="仿宋_GB2312"/>
          <w:b/>
          <w:bCs/>
          <w:spacing w:val="6"/>
          <w:sz w:val="22"/>
          <w:szCs w:val="22"/>
          <w:lang w:val="en-US" w:eastAsia="zh-CN"/>
        </w:rPr>
        <w:t>4-4项目效益</w:t>
      </w:r>
      <w:r>
        <w:rPr>
          <w:rFonts w:hint="eastAsia" w:ascii="仿宋_GB2312" w:hAnsi="仿宋_GB2312" w:eastAsia="仿宋_GB2312" w:cs="仿宋_GB2312"/>
          <w:b/>
          <w:bCs/>
          <w:spacing w:val="6"/>
          <w:sz w:val="22"/>
          <w:szCs w:val="22"/>
          <w:lang w:val="zh-TW" w:eastAsia="zh-TW"/>
        </w:rPr>
        <w:t>指标及分值</w:t>
      </w:r>
      <w:r>
        <w:rPr>
          <w:rFonts w:hint="eastAsia" w:ascii="仿宋_GB2312" w:hAnsi="仿宋_GB2312" w:eastAsia="仿宋_GB2312" w:cs="仿宋_GB2312"/>
          <w:b/>
          <w:bCs/>
          <w:spacing w:val="6"/>
          <w:sz w:val="22"/>
          <w:szCs w:val="22"/>
          <w:lang w:val="en-US" w:eastAsia="zh-CN"/>
        </w:rPr>
        <w:t>情况</w:t>
      </w:r>
    </w:p>
    <w:tbl>
      <w:tblPr>
        <w:tblStyle w:val="15"/>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9E4E5A6">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14:paraId="13D43133">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一级</w:t>
            </w:r>
          </w:p>
          <w:p w14:paraId="52C7521A">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45554E">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2C96EF">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A53A18">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年度指</w:t>
            </w:r>
          </w:p>
          <w:p w14:paraId="31D42FD6">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98D6F9">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标杆</w:t>
            </w:r>
          </w:p>
          <w:p w14:paraId="14C4CBBD">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D513F2">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全年实</w:t>
            </w:r>
          </w:p>
          <w:p w14:paraId="2B8B3C08">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CDD7E8">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指标</w:t>
            </w:r>
          </w:p>
          <w:p w14:paraId="5058D335">
            <w:pPr>
              <w:widowControl/>
              <w:jc w:val="center"/>
              <w:rPr>
                <w:rFonts w:hint="eastAsia" w:ascii="仿宋_GB2312" w:hAnsi="仿宋_GB2312" w:eastAsia="仿宋_GB2312" w:cs="仿宋_GB2312"/>
                <w:b/>
                <w:bCs/>
                <w:kern w:val="2"/>
                <w:sz w:val="21"/>
                <w:szCs w:val="21"/>
                <w:lang w:val="en-US" w:eastAsia="zh-CN"/>
              </w:rPr>
            </w:pPr>
            <w:r>
              <w:rPr>
                <w:rFonts w:hint="eastAsia" w:ascii="仿宋_GB2312" w:hAnsi="仿宋_GB2312" w:eastAsia="仿宋_GB2312" w:cs="仿宋_GB2312"/>
                <w:b/>
                <w:bCs/>
                <w:kern w:val="2"/>
                <w:sz w:val="21"/>
                <w:szCs w:val="21"/>
                <w:lang w:val="en-US" w:eastAsia="zh-CN"/>
              </w:rPr>
              <w:t>得分</w:t>
            </w:r>
          </w:p>
        </w:tc>
      </w:tr>
      <w:tr w14:paraId="4DE696A7">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22E01FB5">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效益</w:t>
            </w: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0948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经济效益指标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8712B">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7FF9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A8A99">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13C19">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4D79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r>
      <w:tr w14:paraId="6C58DC88">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10E86F5">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72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DDC0C0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社会效益指标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C983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政务服务水平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AD51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有效提高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5A79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7C7F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DB15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r>
      <w:tr w14:paraId="3CC3B567">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08A3426">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72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F709A9">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397A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公共资源交易服务水平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4D4AD">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有效提高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A4876">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CAA9F">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9CB8A">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r>
      <w:tr w14:paraId="0F6BDEF7">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D3C3689">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72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EB93CDA">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1F4CB">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工单处办满意率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866B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A0271">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9F6A2">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91.65%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89078">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10</w:t>
            </w:r>
          </w:p>
        </w:tc>
      </w:tr>
      <w:tr w14:paraId="3E90A35D">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8325D0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725" w:type="dxa"/>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6E86C2A">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生态效益指标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BF927">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C4CE0">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4AE08">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73621">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1F2D0">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w:t>
            </w:r>
          </w:p>
        </w:tc>
      </w:tr>
      <w:tr w14:paraId="3A92FC0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350E2D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725"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305DB488">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958B4">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办事人员满意度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C322C">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656D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DFF93">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92%</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F1677">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r>
      <w:tr w14:paraId="494968FB">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0136970">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172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D8CA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38C2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工作人员满意度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F0307">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&gt;=90%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12D90">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9D93C">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91.36%</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E216C">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5</w:t>
            </w:r>
          </w:p>
        </w:tc>
      </w:tr>
      <w:tr w14:paraId="4EAD4E9D">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76752">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2DA83">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BE9FE">
            <w:pPr>
              <w:widowControl/>
              <w:spacing w:line="240" w:lineRule="auto"/>
              <w:ind w:firstLine="0" w:firstLineChars="0"/>
              <w:jc w:val="center"/>
              <w:rPr>
                <w:rFonts w:hint="eastAsia" w:ascii="仿宋_GB2312" w:hAnsi="仿宋_GB2312" w:eastAsia="仿宋_GB2312" w:cs="仿宋_GB2312"/>
                <w:kern w:val="2"/>
                <w:sz w:val="21"/>
                <w:szCs w:val="21"/>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75D98">
            <w:pPr>
              <w:widowControl/>
              <w:spacing w:line="240" w:lineRule="auto"/>
              <w:ind w:firstLine="0" w:firstLineChars="0"/>
              <w:jc w:val="center"/>
              <w:rPr>
                <w:rFonts w:hint="default"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30</w:t>
            </w:r>
          </w:p>
        </w:tc>
      </w:tr>
    </w:tbl>
    <w:p w14:paraId="52A604CF">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1.经济效益指标</w:t>
      </w:r>
    </w:p>
    <w:p w14:paraId="7B451FD5">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本项目不涉及经济效益指标。</w:t>
      </w:r>
    </w:p>
    <w:p w14:paraId="7D83234D">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2.社会效益指标</w:t>
      </w:r>
    </w:p>
    <w:p w14:paraId="3C493191">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政务服务水平</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指标，预期目标值为有效提高，实际完成为100%，实际完成率100%。</w:t>
      </w:r>
    </w:p>
    <w:p w14:paraId="43E4BC04">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w:t>
      </w:r>
      <w:r>
        <w:rPr>
          <w:rFonts w:hint="default" w:ascii="仿宋_GB2312" w:hAnsi="仿宋_GB2312" w:eastAsia="仿宋_GB2312" w:cs="仿宋_GB2312"/>
          <w:sz w:val="32"/>
          <w:szCs w:val="32"/>
          <w:lang w:val="zh-TW" w:eastAsia="zh-TW"/>
        </w:rPr>
        <w:t>自治区政务服务和公共资源交易中心政务服务部202</w:t>
      </w:r>
      <w:r>
        <w:rPr>
          <w:rFonts w:hint="default"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TW" w:eastAsia="zh-TW"/>
        </w:rPr>
        <w:t>年重点开展项目主要有4项，分别是政务服务能力第三方评估项目、“一件事一次办”数据梳理流程再造专项服务、自治区政务服务事项标准化专项服务、地标编制工作。</w:t>
      </w:r>
      <w:r>
        <w:rPr>
          <w:rFonts w:hint="eastAsia" w:ascii="仿宋_GB2312" w:hAnsi="仿宋_GB2312" w:cs="仿宋_GB2312"/>
          <w:sz w:val="32"/>
          <w:szCs w:val="32"/>
          <w:lang w:val="zh-TW" w:eastAsia="zh-CN"/>
        </w:rPr>
        <w:t>截至</w:t>
      </w:r>
      <w:r>
        <w:rPr>
          <w:rFonts w:hint="default" w:ascii="仿宋_GB2312" w:hAnsi="仿宋_GB2312" w:eastAsia="仿宋_GB2312" w:cs="仿宋_GB2312"/>
          <w:sz w:val="32"/>
          <w:szCs w:val="32"/>
          <w:lang w:val="zh-TW" w:eastAsia="zh-TW"/>
        </w:rPr>
        <w:t>2023年12月31日，各项工作完成情况较好，政务服务水平有效提高，社会效益达成年度指标，完成率为100%</w:t>
      </w:r>
    </w:p>
    <w:p w14:paraId="313CE33E">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综上，该项指标满分5分，得分5分。</w:t>
      </w:r>
    </w:p>
    <w:p w14:paraId="4C27EAB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公共资源交易服务水平</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指标，预期目标值为有效提高，实际完成为100%，实际完成率100%。</w:t>
      </w:r>
    </w:p>
    <w:p w14:paraId="1626E156">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自治区政务服务和公共资源交易中心公共资源交易部2023年重点开展项目主要有4项，分别是全区CA数字证书互认项目、自治区公共资源交易数据上报情况检测监测项目、公共资源交易数据资料整理及数字化归集存储项目、公共资源交易收费项目执行和收支情况评估项目。截至2023年12月31日，各项工作有序推进，完成情况较好，公共资源交易服务水平提高，达成年度指标，完成率为100%。</w:t>
      </w:r>
    </w:p>
    <w:p w14:paraId="1C0A25F6">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综上，该项指标满分5分，得分5分。</w:t>
      </w:r>
    </w:p>
    <w:p w14:paraId="7552778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工单处办满意率</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指标，预期目标值为&gt;=90%，实际完成为91.65%，实际完成率100%。</w:t>
      </w:r>
    </w:p>
    <w:p w14:paraId="14000017">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通过项目的实施，自治区政务服务和公共资源交易中心系统对自治区本级回访工单数统计，自治区本级回访工单数63699个，自治区本级工单处办满意率达到91.65%。</w:t>
      </w:r>
    </w:p>
    <w:p w14:paraId="649C0D8E">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综上，该项指标满分10分，得分10分。</w:t>
      </w:r>
    </w:p>
    <w:p w14:paraId="6899EF9E">
      <w:pPr>
        <w:spacing w:line="560" w:lineRule="exact"/>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3.生态效益指标</w:t>
      </w:r>
    </w:p>
    <w:p w14:paraId="47E78606">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本项目不涉及生态效益指标。</w:t>
      </w:r>
    </w:p>
    <w:p w14:paraId="27EE9932">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4.满意度指标</w:t>
      </w:r>
    </w:p>
    <w:p w14:paraId="0B8EC32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办事人员满意度</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指标，预期目标值为&gt;=90%，实际完成为92%，实际完成率100%。</w:t>
      </w:r>
    </w:p>
    <w:p w14:paraId="7036D6D3">
      <w:p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综上，该项指标满分5分，得分5分。</w:t>
      </w:r>
    </w:p>
    <w:p w14:paraId="3E26F6F3">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工作人员满意度</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指标，预期目标值为&gt;=90%，实际完成为91.36%，实际完成率100%。</w:t>
      </w:r>
    </w:p>
    <w:p w14:paraId="30B01BEC">
      <w:pPr>
        <w:spacing w:line="560" w:lineRule="exact"/>
        <w:ind w:firstLine="643" w:firstLineChars="200"/>
        <w:rPr>
          <w:rFonts w:hint="eastAsia" w:ascii="仿宋_GB2312" w:hAnsi="Times New Roman" w:eastAsia="仿宋_GB2312" w:cs="Times New Roman"/>
          <w:b/>
          <w:bCs/>
          <w:kern w:val="2"/>
          <w:sz w:val="30"/>
          <w:szCs w:val="24"/>
          <w:lang w:val="en-US" w:eastAsia="zh-CN" w:bidi="ar-SA"/>
        </w:rPr>
      </w:pPr>
      <w:r>
        <w:rPr>
          <w:rFonts w:hint="eastAsia" w:ascii="仿宋_GB2312" w:hAnsi="仿宋_GB2312" w:eastAsia="仿宋_GB2312" w:cs="仿宋_GB2312"/>
          <w:b/>
          <w:bCs/>
          <w:sz w:val="32"/>
          <w:szCs w:val="32"/>
          <w:lang w:val="en-US" w:eastAsia="zh-CN"/>
        </w:rPr>
        <w:t>综上，该项指标满分5分，得分5分。</w:t>
      </w:r>
    </w:p>
    <w:p w14:paraId="022DA4D2">
      <w:pPr>
        <w:spacing w:line="560" w:lineRule="exact"/>
        <w:ind w:firstLine="643" w:firstLineChars="200"/>
        <w:outlineLvl w:val="0"/>
        <w:rPr>
          <w:rFonts w:hint="eastAsia" w:ascii="Times New Roman" w:hAnsi="Times New Roman" w:eastAsia="黑体" w:cs="Times New Roman"/>
          <w:b/>
          <w:kern w:val="44"/>
          <w:sz w:val="32"/>
          <w:szCs w:val="24"/>
        </w:rPr>
      </w:pPr>
      <w:bookmarkStart w:id="19" w:name="_Toc26973"/>
      <w:r>
        <w:rPr>
          <w:rFonts w:hint="eastAsia" w:ascii="Times New Roman" w:hAnsi="Times New Roman" w:eastAsia="黑体" w:cs="Times New Roman"/>
          <w:b/>
          <w:kern w:val="44"/>
          <w:sz w:val="32"/>
          <w:szCs w:val="24"/>
        </w:rPr>
        <w:t>五、主要经验及做法、存在的问题及原因分析</w:t>
      </w:r>
      <w:bookmarkEnd w:id="19"/>
    </w:p>
    <w:p w14:paraId="1C995FF9">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zh-TW" w:eastAsia="zh-CN" w:bidi="ar-SA"/>
        </w:rPr>
      </w:pPr>
      <w:bookmarkStart w:id="20" w:name="_Toc32271"/>
      <w:bookmarkStart w:id="21" w:name="_Toc1921"/>
      <w:bookmarkStart w:id="22" w:name="_Toc28290"/>
      <w:r>
        <w:rPr>
          <w:rFonts w:hint="eastAsia" w:ascii="楷体_GB2312" w:hAnsi="Times New Roman" w:eastAsia="楷体_GB2312" w:cs="宋体"/>
          <w:b/>
          <w:bCs/>
          <w:color w:val="auto"/>
          <w:spacing w:val="6"/>
          <w:kern w:val="2"/>
          <w:sz w:val="32"/>
          <w:szCs w:val="32"/>
          <w:highlight w:val="none"/>
          <w:lang w:val="zh-TW" w:eastAsia="zh-CN" w:bidi="ar-SA"/>
        </w:rPr>
        <w:t>（</w:t>
      </w:r>
      <w:r>
        <w:rPr>
          <w:rFonts w:hint="eastAsia" w:ascii="楷体_GB2312" w:hAnsi="Times New Roman" w:eastAsia="楷体_GB2312" w:cs="宋体"/>
          <w:b/>
          <w:bCs/>
          <w:color w:val="auto"/>
          <w:spacing w:val="6"/>
          <w:kern w:val="2"/>
          <w:sz w:val="32"/>
          <w:szCs w:val="32"/>
          <w:highlight w:val="none"/>
          <w:lang w:val="en-US" w:eastAsia="zh-CN" w:bidi="ar-SA"/>
        </w:rPr>
        <w:t>一</w:t>
      </w:r>
      <w:r>
        <w:rPr>
          <w:rFonts w:hint="eastAsia" w:ascii="楷体_GB2312" w:hAnsi="Times New Roman" w:eastAsia="楷体_GB2312" w:cs="宋体"/>
          <w:b/>
          <w:bCs/>
          <w:color w:val="auto"/>
          <w:spacing w:val="6"/>
          <w:kern w:val="2"/>
          <w:sz w:val="32"/>
          <w:szCs w:val="32"/>
          <w:highlight w:val="none"/>
          <w:lang w:val="zh-TW" w:eastAsia="zh-CN" w:bidi="ar-SA"/>
        </w:rPr>
        <w:t>）主要经验及做法</w:t>
      </w:r>
      <w:bookmarkEnd w:id="20"/>
    </w:p>
    <w:p w14:paraId="05CEA245">
      <w:pPr>
        <w:spacing w:line="560" w:lineRule="exact"/>
        <w:ind w:firstLine="640" w:firstLineChars="200"/>
        <w:rPr>
          <w:rFonts w:hint="eastAsia" w:ascii="仿宋_GB2312" w:hAnsi="仿宋_GB2312" w:eastAsia="仿宋_GB2312" w:cs="仿宋_GB2312"/>
          <w:sz w:val="32"/>
          <w:szCs w:val="32"/>
          <w:lang w:val="zh-TW" w:eastAsia="zh-CN"/>
        </w:rPr>
      </w:pPr>
      <w:r>
        <w:rPr>
          <w:rFonts w:hint="eastAsia" w:ascii="仿宋_GB2312" w:hAnsi="仿宋_GB2312" w:eastAsia="仿宋_GB2312" w:cs="仿宋_GB2312"/>
          <w:sz w:val="32"/>
          <w:szCs w:val="32"/>
          <w:lang w:val="en-US" w:eastAsia="zh-CN"/>
        </w:rPr>
        <w:t>政务服务和公共资源交易运转保障项目</w:t>
      </w:r>
      <w:r>
        <w:rPr>
          <w:rFonts w:hint="eastAsia" w:ascii="仿宋_GB2312" w:hAnsi="仿宋_GB2312" w:eastAsia="仿宋_GB2312" w:cs="仿宋_GB2312"/>
          <w:sz w:val="32"/>
          <w:szCs w:val="32"/>
          <w:lang w:val="zh-TW" w:eastAsia="zh-CN"/>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lang w:val="zh-TW" w:eastAsia="zh-CN"/>
        </w:rPr>
        <w:t>年预算</w:t>
      </w:r>
      <w:r>
        <w:rPr>
          <w:rFonts w:hint="eastAsia" w:ascii="仿宋_GB2312" w:hAnsi="仿宋_GB2312" w:eastAsia="仿宋_GB2312" w:cs="仿宋_GB2312"/>
          <w:sz w:val="32"/>
          <w:szCs w:val="32"/>
          <w:lang w:val="en-US" w:eastAsia="zh-CN"/>
        </w:rPr>
        <w:t>数</w:t>
      </w:r>
      <w:r>
        <w:rPr>
          <w:rFonts w:hint="eastAsia" w:ascii="仿宋_GB2312" w:hAnsi="仿宋_GB2312" w:eastAsia="仿宋_GB2312" w:cs="仿宋_GB2312"/>
          <w:sz w:val="32"/>
          <w:szCs w:val="32"/>
          <w:lang w:val="zh-TW" w:eastAsia="zh-CN"/>
        </w:rPr>
        <w:t>为</w:t>
      </w:r>
      <w:r>
        <w:rPr>
          <w:rFonts w:hint="eastAsia" w:ascii="仿宋_GB2312" w:hAnsi="仿宋_GB2312" w:eastAsia="仿宋_GB2312" w:cs="仿宋_GB2312"/>
          <w:sz w:val="32"/>
          <w:szCs w:val="32"/>
          <w:lang w:val="en-US" w:eastAsia="zh-CN"/>
        </w:rPr>
        <w:t>6476.57万元</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截至2023年12月31日共</w:t>
      </w:r>
      <w:r>
        <w:rPr>
          <w:rFonts w:hint="eastAsia" w:ascii="仿宋_GB2312" w:hAnsi="仿宋_GB2312" w:eastAsia="仿宋_GB2312" w:cs="仿宋_GB2312"/>
          <w:sz w:val="32"/>
          <w:szCs w:val="32"/>
          <w:lang w:val="zh-TW" w:eastAsia="zh-CN"/>
        </w:rPr>
        <w:t>支出</w:t>
      </w:r>
      <w:r>
        <w:rPr>
          <w:rFonts w:hint="eastAsia" w:ascii="仿宋_GB2312" w:hAnsi="仿宋_GB2312" w:eastAsia="仿宋_GB2312" w:cs="仿宋_GB2312"/>
          <w:sz w:val="32"/>
          <w:szCs w:val="32"/>
          <w:lang w:val="en-US" w:eastAsia="zh-CN"/>
        </w:rPr>
        <w:t>5601.04</w:t>
      </w:r>
      <w:r>
        <w:rPr>
          <w:rFonts w:hint="eastAsia" w:ascii="仿宋_GB2312" w:hAnsi="仿宋_GB2312" w:eastAsia="仿宋_GB2312" w:cs="仿宋_GB2312"/>
          <w:sz w:val="32"/>
          <w:szCs w:val="32"/>
          <w:lang w:val="zh-TW" w:eastAsia="zh-CN"/>
        </w:rPr>
        <w:t>万元，预算</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lang w:val="zh-TW" w:eastAsia="zh-CN"/>
        </w:rPr>
        <w:t>率为</w:t>
      </w:r>
      <w:r>
        <w:rPr>
          <w:rFonts w:hint="eastAsia" w:ascii="仿宋_GB2312" w:hAnsi="仿宋_GB2312" w:eastAsia="仿宋_GB2312" w:cs="仿宋_GB2312"/>
          <w:sz w:val="32"/>
          <w:szCs w:val="32"/>
          <w:lang w:val="en-US" w:eastAsia="zh-CN"/>
        </w:rPr>
        <w:t>86.48%</w:t>
      </w:r>
      <w:r>
        <w:rPr>
          <w:rFonts w:hint="eastAsia" w:ascii="仿宋_GB2312" w:hAnsi="仿宋_GB2312" w:eastAsia="仿宋_GB2312" w:cs="仿宋_GB2312"/>
          <w:sz w:val="32"/>
          <w:szCs w:val="32"/>
          <w:lang w:val="zh-TW" w:eastAsia="zh-CN"/>
        </w:rPr>
        <w:t>。</w:t>
      </w:r>
    </w:p>
    <w:p w14:paraId="29EBC33C">
      <w:pPr>
        <w:spacing w:line="560" w:lineRule="exact"/>
        <w:ind w:firstLine="640" w:firstLineChars="200"/>
        <w:rPr>
          <w:rFonts w:hint="eastAsia" w:ascii="仿宋_GB2312" w:hAnsi="Times New Roman" w:eastAsia="仿宋_GB2312" w:cs="Times New Roman"/>
          <w:b w:val="0"/>
          <w:bCs w:val="0"/>
          <w:kern w:val="2"/>
          <w:sz w:val="30"/>
          <w:szCs w:val="24"/>
          <w:lang w:val="zh-TW" w:eastAsia="zh-CN" w:bidi="ar-SA"/>
        </w:rPr>
      </w:pPr>
      <w:r>
        <w:rPr>
          <w:rFonts w:hint="eastAsia" w:ascii="仿宋_GB2312" w:hAnsi="仿宋_GB2312" w:eastAsia="仿宋_GB2312" w:cs="仿宋_GB2312"/>
          <w:sz w:val="32"/>
          <w:szCs w:val="32"/>
          <w:lang w:val="en-US" w:eastAsia="zh-CN"/>
        </w:rPr>
        <w:t>自治区政务服务和公共资源交易中心</w:t>
      </w:r>
      <w:r>
        <w:rPr>
          <w:rFonts w:hint="eastAsia" w:ascii="仿宋_GB2312" w:hAnsi="仿宋_GB2312" w:eastAsia="仿宋_GB2312" w:cs="仿宋_GB2312"/>
          <w:sz w:val="32"/>
          <w:szCs w:val="32"/>
          <w:lang w:val="zh-TW"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sz w:val="32"/>
          <w:szCs w:val="32"/>
          <w:lang w:val="en-US" w:eastAsia="zh-CN"/>
        </w:rPr>
        <w:t>自治区政务服务和公共资源交易中心</w:t>
      </w:r>
      <w:r>
        <w:rPr>
          <w:rFonts w:hint="eastAsia" w:ascii="仿宋_GB2312" w:hAnsi="仿宋_GB2312" w:eastAsia="仿宋_GB2312" w:cs="仿宋_GB2312"/>
          <w:sz w:val="32"/>
          <w:szCs w:val="32"/>
          <w:lang w:val="zh-TW" w:eastAsia="zh-CN"/>
        </w:rPr>
        <w:t>事业发展中关系民生与稳定的项目，切实优化资源配置，提高了资金使用的效率和效果。</w:t>
      </w:r>
    </w:p>
    <w:bookmarkEnd w:id="21"/>
    <w:bookmarkEnd w:id="22"/>
    <w:p w14:paraId="2EBBE0B3">
      <w:pPr>
        <w:pStyle w:val="4"/>
        <w:keepNext w:val="0"/>
        <w:keepLines w:val="0"/>
        <w:spacing w:before="0" w:after="0" w:line="560" w:lineRule="exact"/>
        <w:ind w:firstLine="667" w:firstLineChars="200"/>
        <w:jc w:val="both"/>
        <w:outlineLvl w:val="1"/>
        <w:rPr>
          <w:rFonts w:hint="eastAsia" w:ascii="楷体_GB2312" w:hAnsi="Times New Roman" w:eastAsia="楷体_GB2312" w:cs="宋体"/>
          <w:b/>
          <w:bCs/>
          <w:color w:val="auto"/>
          <w:spacing w:val="6"/>
          <w:kern w:val="2"/>
          <w:sz w:val="32"/>
          <w:szCs w:val="32"/>
          <w:highlight w:val="none"/>
          <w:lang w:val="zh-TW" w:eastAsia="zh-CN" w:bidi="ar-SA"/>
        </w:rPr>
      </w:pPr>
      <w:bookmarkStart w:id="23" w:name="_Toc10267"/>
      <w:r>
        <w:rPr>
          <w:rFonts w:hint="eastAsia" w:ascii="楷体_GB2312" w:hAnsi="Times New Roman" w:eastAsia="楷体_GB2312" w:cs="宋体"/>
          <w:b/>
          <w:bCs/>
          <w:color w:val="auto"/>
          <w:spacing w:val="6"/>
          <w:kern w:val="2"/>
          <w:sz w:val="32"/>
          <w:szCs w:val="32"/>
          <w:highlight w:val="none"/>
          <w:lang w:val="zh-TW" w:eastAsia="zh-CN" w:bidi="ar-SA"/>
        </w:rPr>
        <w:t>（</w:t>
      </w:r>
      <w:r>
        <w:rPr>
          <w:rFonts w:hint="eastAsia" w:ascii="楷体_GB2312" w:hAnsi="Times New Roman" w:eastAsia="楷体_GB2312" w:cs="宋体"/>
          <w:b/>
          <w:bCs/>
          <w:color w:val="auto"/>
          <w:spacing w:val="6"/>
          <w:kern w:val="2"/>
          <w:sz w:val="32"/>
          <w:szCs w:val="32"/>
          <w:highlight w:val="none"/>
          <w:lang w:val="en-US" w:eastAsia="zh-CN" w:bidi="ar-SA"/>
        </w:rPr>
        <w:t>二</w:t>
      </w:r>
      <w:r>
        <w:rPr>
          <w:rFonts w:hint="eastAsia" w:ascii="楷体_GB2312" w:hAnsi="Times New Roman" w:eastAsia="楷体_GB2312" w:cs="宋体"/>
          <w:b/>
          <w:bCs/>
          <w:color w:val="auto"/>
          <w:spacing w:val="6"/>
          <w:kern w:val="2"/>
          <w:sz w:val="32"/>
          <w:szCs w:val="32"/>
          <w:highlight w:val="none"/>
          <w:lang w:val="zh-TW" w:eastAsia="zh-CN" w:bidi="ar-SA"/>
        </w:rPr>
        <w:t>）存在的问题及原因分析</w:t>
      </w:r>
      <w:bookmarkEnd w:id="23"/>
    </w:p>
    <w:p w14:paraId="2A991856">
      <w:pPr>
        <w:spacing w:line="560" w:lineRule="exact"/>
        <w:ind w:firstLine="643" w:firstLineChars="200"/>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1.预算执行率较低</w:t>
      </w:r>
    </w:p>
    <w:p w14:paraId="1EC05122">
      <w:pPr>
        <w:spacing w:line="560" w:lineRule="exact"/>
        <w:ind w:firstLine="640" w:firstLineChars="200"/>
        <w:rPr>
          <w:rFonts w:hint="eastAsia" w:ascii="仿宋_GB2312" w:hAnsi="仿宋_GB2312" w:eastAsia="仿宋_GB2312" w:cs="仿宋_GB2312"/>
          <w:sz w:val="32"/>
          <w:szCs w:val="32"/>
          <w:highlight w:val="cyan"/>
          <w:lang w:val="en-US" w:eastAsia="zh-CN"/>
        </w:rPr>
      </w:pPr>
      <w:r>
        <w:rPr>
          <w:rFonts w:hint="eastAsia" w:ascii="仿宋_GB2312" w:hAnsi="仿宋_GB2312" w:eastAsia="仿宋_GB2312" w:cs="仿宋_GB2312"/>
          <w:sz w:val="32"/>
          <w:szCs w:val="32"/>
          <w:highlight w:val="none"/>
          <w:lang w:val="en-US" w:eastAsia="zh-CN"/>
        </w:rPr>
        <w:t>项目预算资金总额6476.57万元，2023年实际支付资金5601.04万元，执行率86.48%</w:t>
      </w:r>
      <w:r>
        <w:rPr>
          <w:rFonts w:hint="eastAsia" w:ascii="仿宋_GB2312" w:hAnsi="仿宋_GB2312" w:cs="仿宋_GB2312"/>
          <w:sz w:val="32"/>
          <w:szCs w:val="32"/>
          <w:highlight w:val="none"/>
          <w:lang w:val="en-US" w:eastAsia="zh-CN"/>
        </w:rPr>
        <w:t>。项目年初根据政府采购合同价编制预算，截至2023年12月31日，项目按照实施进度实际支付资金</w:t>
      </w:r>
      <w:r>
        <w:rPr>
          <w:rFonts w:hint="eastAsia" w:ascii="仿宋_GB2312" w:hAnsi="仿宋_GB2312" w:eastAsia="仿宋_GB2312" w:cs="仿宋_GB2312"/>
          <w:sz w:val="32"/>
          <w:szCs w:val="32"/>
          <w:highlight w:val="none"/>
          <w:lang w:val="en-US" w:eastAsia="zh-CN"/>
        </w:rPr>
        <w:t>5601.04万元，</w:t>
      </w:r>
      <w:r>
        <w:rPr>
          <w:rFonts w:hint="eastAsia" w:ascii="仿宋_GB2312" w:hAnsi="仿宋_GB2312" w:cs="仿宋_GB2312"/>
          <w:sz w:val="32"/>
          <w:szCs w:val="32"/>
          <w:highlight w:val="none"/>
          <w:lang w:val="en-US" w:eastAsia="zh-CN"/>
        </w:rPr>
        <w:t>剩余资金875.53万元。因部分项目已完成政府采购招投标，按政府采购合同需在下一年度完成资金支付，导致</w:t>
      </w:r>
      <w:r>
        <w:rPr>
          <w:rFonts w:hint="eastAsia" w:ascii="仿宋_GB2312" w:hAnsi="仿宋_GB2312" w:eastAsia="仿宋_GB2312" w:cs="仿宋_GB2312"/>
          <w:sz w:val="32"/>
          <w:szCs w:val="32"/>
          <w:highlight w:val="none"/>
          <w:lang w:val="en-US" w:eastAsia="zh-CN"/>
        </w:rPr>
        <w:t>预算执行率较低；</w:t>
      </w:r>
    </w:p>
    <w:p w14:paraId="50BAB0DC">
      <w:pPr>
        <w:spacing w:line="560" w:lineRule="exact"/>
        <w:ind w:firstLine="643" w:firstLineChars="20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2.绩效目标设置不精确</w:t>
      </w:r>
    </w:p>
    <w:p w14:paraId="0376DD75">
      <w:pPr>
        <w:spacing w:line="560" w:lineRule="exact"/>
        <w:ind w:firstLine="640" w:firstLineChars="200"/>
        <w:rPr>
          <w:rFonts w:hint="default" w:ascii="仿宋_GB2312" w:hAnsi="Times New Roman" w:eastAsia="仿宋_GB2312" w:cs="Times New Roman"/>
          <w:b w:val="0"/>
          <w:bCs w:val="0"/>
          <w:kern w:val="2"/>
          <w:sz w:val="30"/>
          <w:szCs w:val="24"/>
          <w:highlight w:val="yellow"/>
          <w:lang w:val="en-US" w:eastAsia="zh-CN" w:bidi="ar-SA"/>
        </w:rPr>
      </w:pPr>
      <w:r>
        <w:rPr>
          <w:rFonts w:hint="eastAsia" w:ascii="仿宋_GB2312" w:hAnsi="仿宋_GB2312" w:eastAsia="仿宋_GB2312" w:cs="仿宋_GB2312"/>
          <w:sz w:val="32"/>
          <w:szCs w:val="32"/>
          <w:highlight w:val="none"/>
          <w:lang w:val="en-US" w:eastAsia="zh-CN"/>
        </w:rPr>
        <w:t>绩效目标设置科学性有待提高，部分绩效指标指标值设置不够精确，指标值设定依据、赋分规则存在问题，导致后期绩效工作开展困难。</w:t>
      </w:r>
    </w:p>
    <w:p w14:paraId="3D734558">
      <w:pPr>
        <w:spacing w:line="560" w:lineRule="exact"/>
        <w:ind w:firstLine="643" w:firstLineChars="200"/>
        <w:outlineLvl w:val="0"/>
        <w:rPr>
          <w:rFonts w:hint="eastAsia" w:ascii="Times New Roman" w:hAnsi="Times New Roman" w:eastAsia="黑体" w:cs="Times New Roman"/>
          <w:b/>
          <w:kern w:val="44"/>
          <w:sz w:val="32"/>
          <w:szCs w:val="24"/>
        </w:rPr>
      </w:pPr>
      <w:bookmarkStart w:id="24" w:name="_Toc21761"/>
      <w:r>
        <w:rPr>
          <w:rFonts w:hint="eastAsia" w:ascii="Times New Roman" w:hAnsi="Times New Roman" w:eastAsia="黑体" w:cs="Times New Roman"/>
          <w:b/>
          <w:kern w:val="44"/>
          <w:sz w:val="32"/>
          <w:szCs w:val="24"/>
        </w:rPr>
        <w:t>六、有关建议</w:t>
      </w:r>
      <w:bookmarkEnd w:id="24"/>
    </w:p>
    <w:p w14:paraId="4BF01A3D">
      <w:pPr>
        <w:keepNext w:val="0"/>
        <w:keepLines w:val="0"/>
        <w:pageBreakBefore w:val="0"/>
        <w:widowControl w:val="0"/>
        <w:kinsoku/>
        <w:wordWrap/>
        <w:overflowPunct/>
        <w:topLinePunct w:val="0"/>
        <w:autoSpaceDE/>
        <w:autoSpaceDN/>
        <w:bidi w:val="0"/>
        <w:adjustRightInd/>
        <w:snapToGrid/>
        <w:spacing w:before="0" w:after="0" w:line="560" w:lineRule="exact"/>
        <w:ind w:firstLine="667" w:firstLineChars="200"/>
        <w:jc w:val="left"/>
        <w:textAlignment w:val="auto"/>
        <w:outlineLvl w:val="9"/>
        <w:rPr>
          <w:rFonts w:hint="eastAsia" w:ascii="楷体_GB2312" w:hAnsi="Times New Roman" w:eastAsia="楷体_GB2312" w:cs="宋体"/>
          <w:b/>
          <w:bCs/>
          <w:color w:val="auto"/>
          <w:spacing w:val="6"/>
          <w:kern w:val="2"/>
          <w:sz w:val="32"/>
          <w:szCs w:val="32"/>
          <w:highlight w:val="none"/>
          <w:lang w:val="en-US" w:eastAsia="zh-CN" w:bidi="ar-SA"/>
        </w:rPr>
      </w:pPr>
      <w:r>
        <w:rPr>
          <w:rFonts w:hint="eastAsia" w:ascii="楷体_GB2312" w:hAnsi="Times New Roman" w:eastAsia="楷体_GB2312" w:cs="宋体"/>
          <w:b/>
          <w:bCs/>
          <w:color w:val="auto"/>
          <w:spacing w:val="6"/>
          <w:kern w:val="2"/>
          <w:sz w:val="32"/>
          <w:szCs w:val="32"/>
          <w:highlight w:val="none"/>
          <w:lang w:val="en-US" w:eastAsia="zh-CN" w:bidi="ar-SA"/>
        </w:rPr>
        <w:t>（一）科学合理编制预算、合理安排预算收支</w:t>
      </w:r>
    </w:p>
    <w:p w14:paraId="4E828852">
      <w:pPr>
        <w:spacing w:line="560" w:lineRule="exact"/>
        <w:ind w:firstLine="640" w:firstLineChars="20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 量入为出、收支平衡、统筹兼顾，确保重点 ” 的原则，合理安排预算收支，将预算资金尽量落实到具体项目，争取做到每个支出项目都能在预算中有所反映，使预算充分反映以政府为主体的资金收支活动全貌，保证预算的可执行性。</w:t>
      </w:r>
    </w:p>
    <w:p w14:paraId="20DAE09B">
      <w:pPr>
        <w:keepNext w:val="0"/>
        <w:keepLines w:val="0"/>
        <w:pageBreakBefore w:val="0"/>
        <w:widowControl w:val="0"/>
        <w:kinsoku/>
        <w:wordWrap/>
        <w:overflowPunct/>
        <w:topLinePunct w:val="0"/>
        <w:autoSpaceDE/>
        <w:autoSpaceDN/>
        <w:bidi w:val="0"/>
        <w:adjustRightInd/>
        <w:snapToGrid/>
        <w:spacing w:before="0" w:after="0" w:line="560" w:lineRule="exact"/>
        <w:ind w:firstLine="667" w:firstLineChars="200"/>
        <w:jc w:val="left"/>
        <w:textAlignment w:val="auto"/>
        <w:outlineLvl w:val="9"/>
        <w:rPr>
          <w:rFonts w:hint="eastAsia" w:ascii="楷体_GB2312" w:hAnsi="Times New Roman" w:eastAsia="楷体_GB2312" w:cs="宋体"/>
          <w:b/>
          <w:bCs/>
          <w:color w:val="auto"/>
          <w:spacing w:val="6"/>
          <w:kern w:val="2"/>
          <w:sz w:val="32"/>
          <w:szCs w:val="32"/>
          <w:highlight w:val="none"/>
          <w:lang w:val="en-US" w:eastAsia="zh-CN" w:bidi="ar-SA"/>
        </w:rPr>
      </w:pPr>
      <w:r>
        <w:rPr>
          <w:rFonts w:hint="eastAsia" w:ascii="楷体_GB2312" w:hAnsi="Times New Roman" w:eastAsia="楷体_GB2312" w:cs="宋体"/>
          <w:b/>
          <w:bCs/>
          <w:color w:val="auto"/>
          <w:spacing w:val="6"/>
          <w:kern w:val="2"/>
          <w:sz w:val="32"/>
          <w:szCs w:val="32"/>
          <w:highlight w:val="none"/>
          <w:lang w:val="en-US" w:eastAsia="zh-CN" w:bidi="ar-SA"/>
        </w:rPr>
        <w:t>（二）加强绩效目标编制</w:t>
      </w:r>
    </w:p>
    <w:p w14:paraId="107BA0DF">
      <w:pPr>
        <w:spacing w:line="560" w:lineRule="exact"/>
        <w:ind w:firstLine="640" w:firstLineChars="200"/>
        <w:rPr>
          <w:rFonts w:hint="eastAsia" w:ascii="仿宋_GB2312" w:hAnsi="Times New Roman" w:eastAsia="仿宋_GB2312" w:cs="Times New Roman"/>
          <w:b w:val="0"/>
          <w:bCs w:val="0"/>
          <w:kern w:val="2"/>
          <w:sz w:val="30"/>
          <w:szCs w:val="24"/>
          <w:highlight w:val="yellow"/>
          <w:lang w:val="en-US" w:eastAsia="zh-CN" w:bidi="ar-SA"/>
        </w:rPr>
      </w:pPr>
      <w:r>
        <w:rPr>
          <w:rFonts w:hint="eastAsia" w:ascii="仿宋_GB2312" w:hAnsi="仿宋_GB2312" w:eastAsia="仿宋_GB2312" w:cs="仿宋_GB2312"/>
          <w:sz w:val="32"/>
          <w:szCs w:val="32"/>
          <w:highlight w:val="none"/>
          <w:lang w:val="en-US" w:eastAsia="zh-CN"/>
        </w:rPr>
        <w:t>加强</w:t>
      </w:r>
      <w:r>
        <w:rPr>
          <w:rFonts w:hint="eastAsia" w:ascii="仿宋_GB2312" w:hAnsi="仿宋_GB2312" w:cs="仿宋_GB2312"/>
          <w:sz w:val="32"/>
          <w:szCs w:val="32"/>
          <w:highlight w:val="none"/>
          <w:lang w:val="en-US" w:eastAsia="zh-CN"/>
        </w:rPr>
        <w:t>我单位</w:t>
      </w:r>
      <w:r>
        <w:rPr>
          <w:rFonts w:hint="eastAsia" w:ascii="仿宋_GB2312" w:hAnsi="仿宋_GB2312" w:eastAsia="仿宋_GB2312" w:cs="仿宋_GB2312"/>
          <w:sz w:val="32"/>
          <w:szCs w:val="32"/>
          <w:highlight w:val="none"/>
          <w:lang w:val="en-US" w:eastAsia="zh-CN"/>
        </w:rPr>
        <w:t>对全面实施预算绩效管理相关理论知识的学习，树立绩效意识、目标意识、责任意识，并建立相关绩效管理制度、完善绩效目标管理内容，重视绩效目标申报表的填报，切实提高绩效管理水平，特别是对项目支出的绩效目标编制依据、方法、形式的深入理解和学习，便于其从产出数量、产出质量、产出时效、产出成本、经济效益、社会效益、可持续性、满意度等方面提出更加具体、全面、细化、可衡量、可实现的绩效目标及相应绩效指标。</w:t>
      </w:r>
    </w:p>
    <w:p w14:paraId="7CD03F49">
      <w:pPr>
        <w:spacing w:line="560" w:lineRule="exact"/>
        <w:ind w:firstLine="643" w:firstLineChars="200"/>
        <w:outlineLvl w:val="0"/>
        <w:rPr>
          <w:rFonts w:hint="eastAsia" w:ascii="Times New Roman" w:hAnsi="Times New Roman" w:eastAsia="黑体" w:cs="Times New Roman"/>
          <w:b/>
          <w:kern w:val="44"/>
          <w:sz w:val="32"/>
          <w:szCs w:val="24"/>
        </w:rPr>
      </w:pPr>
      <w:bookmarkStart w:id="25" w:name="_Toc25314"/>
      <w:r>
        <w:rPr>
          <w:rFonts w:hint="eastAsia" w:ascii="Times New Roman" w:hAnsi="Times New Roman" w:eastAsia="黑体" w:cs="Times New Roman"/>
          <w:b/>
          <w:kern w:val="44"/>
          <w:sz w:val="32"/>
          <w:szCs w:val="24"/>
        </w:rPr>
        <w:t>七、其他需要说明的问题</w:t>
      </w:r>
      <w:bookmarkEnd w:id="25"/>
    </w:p>
    <w:p w14:paraId="7C2368E9">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30B0C5B1">
      <w:pPr>
        <w:spacing w:line="560" w:lineRule="exact"/>
        <w:ind w:firstLine="640" w:firstLineChars="200"/>
        <w:rPr>
          <w:rFonts w:hint="eastAsia" w:ascii="仿宋_GB2312" w:hAnsi="仿宋_GB2312" w:eastAsia="仿宋_GB2312" w:cs="仿宋_GB2312"/>
          <w:sz w:val="32"/>
          <w:szCs w:val="32"/>
          <w:lang w:val="en-US" w:eastAsia="zh-CN"/>
        </w:rPr>
        <w:sectPr>
          <w:footerReference r:id="rId3" w:type="default"/>
          <w:pgSz w:w="11906" w:h="16838"/>
          <w:pgMar w:top="1928" w:right="1531" w:bottom="1701" w:left="1531" w:header="737" w:footer="851" w:gutter="0"/>
          <w:pgBorders>
            <w:top w:val="none" w:sz="0" w:space="0"/>
            <w:left w:val="none" w:sz="0" w:space="0"/>
            <w:bottom w:val="none" w:sz="0" w:space="0"/>
            <w:right w:val="none" w:sz="0" w:space="0"/>
          </w:pgBorders>
          <w:pgNumType w:fmt="decimal" w:start="1"/>
          <w:cols w:space="720" w:num="1"/>
          <w:docGrid w:type="lines" w:linePitch="408" w:charSpace="0"/>
        </w:sectPr>
      </w:pPr>
    </w:p>
    <w:p w14:paraId="76BB25D2">
      <w:pPr>
        <w:pStyle w:val="3"/>
        <w:spacing w:beforeLines="-2147483648" w:beforeAutospacing="0" w:afterLines="-2147483648" w:afterAutospacing="0"/>
        <w:ind w:firstLine="643"/>
        <w:rPr>
          <w:rFonts w:hint="default" w:ascii="Times New Roman" w:hAnsi="Times New Roman" w:cs="Times New Roman"/>
          <w:b/>
          <w:sz w:val="32"/>
          <w:szCs w:val="24"/>
          <w:lang w:val="en-US" w:eastAsia="zh-CN"/>
        </w:rPr>
      </w:pPr>
      <w:bookmarkStart w:id="26" w:name="_Toc31348"/>
      <w:r>
        <w:rPr>
          <w:rFonts w:hint="eastAsia" w:ascii="Times New Roman" w:hAnsi="Times New Roman" w:cs="Times New Roman"/>
          <w:b/>
          <w:sz w:val="32"/>
          <w:szCs w:val="24"/>
          <w:lang w:val="en-US" w:eastAsia="zh-CN"/>
        </w:rPr>
        <w:t>附件</w:t>
      </w:r>
      <w:r>
        <w:rPr>
          <w:rFonts w:hint="eastAsia" w:cs="Times New Roman"/>
          <w:b/>
          <w:sz w:val="32"/>
          <w:szCs w:val="24"/>
          <w:lang w:val="en-US" w:eastAsia="zh-CN"/>
        </w:rPr>
        <w:t xml:space="preserve">1   </w:t>
      </w:r>
      <w:r>
        <w:rPr>
          <w:rFonts w:hint="eastAsia" w:ascii="Times New Roman" w:hAnsi="Times New Roman" w:cs="Times New Roman"/>
          <w:b/>
          <w:sz w:val="32"/>
          <w:szCs w:val="24"/>
          <w:lang w:val="en-US" w:eastAsia="zh-CN"/>
        </w:rPr>
        <w:t>项目支出绩效自评表</w:t>
      </w:r>
      <w:bookmarkEnd w:id="26"/>
      <w:bookmarkStart w:id="28" w:name="_GoBack"/>
      <w:bookmarkEnd w:id="28"/>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7"/>
        <w:gridCol w:w="660"/>
        <w:gridCol w:w="1007"/>
        <w:gridCol w:w="1311"/>
        <w:gridCol w:w="861"/>
        <w:gridCol w:w="1140"/>
        <w:gridCol w:w="1147"/>
        <w:gridCol w:w="737"/>
        <w:gridCol w:w="627"/>
        <w:gridCol w:w="1036"/>
        <w:gridCol w:w="1064"/>
        <w:gridCol w:w="1214"/>
        <w:gridCol w:w="995"/>
        <w:gridCol w:w="1009"/>
      </w:tblGrid>
      <w:tr w14:paraId="4AD0E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55782DA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仿宋GB2312" w:hAnsi="仿宋GB2312" w:eastAsia="仿宋GB2312" w:cs="仿宋GB2312"/>
                <w:b/>
                <w:bCs/>
                <w:color w:val="000000"/>
                <w:kern w:val="0"/>
                <w:sz w:val="28"/>
                <w:szCs w:val="28"/>
                <w:lang w:val="en-US" w:eastAsia="zh-CN" w:bidi="ar"/>
              </w:rPr>
              <w:t>项目支出绩效自评表</w:t>
            </w:r>
          </w:p>
        </w:tc>
      </w:tr>
      <w:tr w14:paraId="68E2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CF84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(2023年度)</w:t>
            </w:r>
          </w:p>
        </w:tc>
      </w:tr>
      <w:tr w14:paraId="68E4F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B92A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项目名称</w:t>
            </w:r>
          </w:p>
        </w:tc>
        <w:tc>
          <w:tcPr>
            <w:tcW w:w="452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C2C2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政务服务和公共资源交易运转保障项目</w:t>
            </w:r>
          </w:p>
        </w:tc>
      </w:tr>
      <w:tr w14:paraId="42B04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679F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主管部门</w:t>
            </w:r>
          </w:p>
        </w:tc>
        <w:tc>
          <w:tcPr>
            <w:tcW w:w="20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091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自治区政务服务和公共资源交易中心</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FF3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实施单位</w:t>
            </w:r>
          </w:p>
        </w:tc>
        <w:tc>
          <w:tcPr>
            <w:tcW w:w="19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AFE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自治区政务服务和公共资源交易中心</w:t>
            </w:r>
          </w:p>
        </w:tc>
      </w:tr>
      <w:tr w14:paraId="33082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7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3B0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B05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C50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年初预算数</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994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全年预算数</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438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全年执行数</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867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分值</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C6F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执行率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42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得分</w:t>
            </w:r>
          </w:p>
        </w:tc>
      </w:tr>
      <w:tr w14:paraId="0A59F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B37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787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774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BAA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38F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5601.04</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A8C6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E20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86.5%</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65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6.62分</w:t>
            </w:r>
          </w:p>
        </w:tc>
      </w:tr>
      <w:tr w14:paraId="12244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D2E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4E5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3AC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0C8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46D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1F2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5384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BBE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r>
      <w:tr w14:paraId="1D8EA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7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460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8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1B0F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90F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8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3DA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6476.57</w:t>
            </w:r>
          </w:p>
        </w:tc>
        <w:tc>
          <w:tcPr>
            <w:tcW w:w="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0B7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5601.04</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CF7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FB8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94C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r>
      <w:tr w14:paraId="6811B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842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2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89B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预期目标</w:t>
            </w:r>
          </w:p>
        </w:tc>
        <w:tc>
          <w:tcPr>
            <w:tcW w:w="24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16740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B9BB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7CD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22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D01A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按照国务院和自治区相关要求，聚焦数字政府重大改革，继续深化“放管服”改革，不断优化营商环境，大力推进“一网通办”和自治区政务服务规范化、标准化建设，优化完善一体化在线政务服务平台，在统一事项办理、业务处理、数据共享、身份认证、电子证照、电子印章、物流邮寄、12345政务服务便民热线、咨询建议、制定政务服务事项地方标准、大厅管理、好差评、系统网络安全等12个方面做好平台运行保障工作，打造覆盖全区、五级联动、部门协同、安全可靠的政务服务体系，为企业和个人提供高效服务。2.常态化开展自治区公共资源交易平台安全运行保障工作，提升服务、交易、监督三方面高效协同能力。3.开展自治区本级工程建设项目招标投标、矿业权出让、国有产权交易、政府采购、医疗药品采购等公共资源交易工作，规范自治区政务服务大厅和公共资源交易大厅的日常管理，做好自治区本级采购评审保障工作。</w:t>
            </w:r>
          </w:p>
        </w:tc>
        <w:tc>
          <w:tcPr>
            <w:tcW w:w="248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DC152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截至2023年12月31日，自治区政务服务和公共资源交易中心政务服务和公共资源交易运转保障项目主要通过完成维护一体化平台，并进行网络安全监测评估53次，系统故障修复处理在1天内完成，一体化平台系统故障率控制在1%，常态化开展自治区公共资源交易平台安全运行保障工作，提升服务、交易、监督三方面高效协同能力；完成公共资源交易项目1874个；12345政务服务便民热线完成工单处办量384057个，工单转派准确率达到99.92%，工单签入及时率达到100%，整体项目验收合格率达到85%。通过项目的实施，政务服务水平及公共资源交易服务水平得到有效的提高，工单处办满意率达到91.65%，办事人员满意度达到92%，工作人员满意度达到91.36%。</w:t>
            </w:r>
          </w:p>
        </w:tc>
      </w:tr>
      <w:tr w14:paraId="6EB3A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E53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A7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一级指标</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E4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二级指标</w:t>
            </w:r>
          </w:p>
        </w:tc>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978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三级指标</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2E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权重</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FB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目标值</w:t>
            </w:r>
          </w:p>
        </w:tc>
        <w:tc>
          <w:tcPr>
            <w:tcW w:w="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93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业绩值</w:t>
            </w:r>
          </w:p>
        </w:tc>
        <w:tc>
          <w:tcPr>
            <w:tcW w:w="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8D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完成率</w:t>
            </w:r>
          </w:p>
        </w:tc>
        <w:tc>
          <w:tcPr>
            <w:tcW w:w="2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1EA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指标得分</w:t>
            </w:r>
          </w:p>
        </w:tc>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0EF8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418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33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赋分规则</w:t>
            </w:r>
          </w:p>
        </w:tc>
        <w:tc>
          <w:tcPr>
            <w:tcW w:w="3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7FE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佐证资料</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FA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DD98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9A2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158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1CA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FD6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913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A4C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58F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EBD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B65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E98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DD2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F52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E54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22BF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549D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14:paraId="01FF4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44F08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18D9B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7CB13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206ABD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74E93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6F2887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50061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34FC3E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31220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p>
          <w:p w14:paraId="31CB9F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066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4A3F3A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5D4616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4F4212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26981A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p w14:paraId="35DE60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产出指标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00F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BD5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一体化平台维护数量</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5C6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B77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&gt;=1个</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1DB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=1个</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35E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F4A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17F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919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1个</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54A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38F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0C7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0FB55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1A7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E74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DEC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CBD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网络安全监测评估次数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DB3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631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&gt;=53次</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A44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=53次</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A7C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2B9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AFB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5C6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1次</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1C7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EF3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81D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0914D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2D8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5BC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61A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90B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公共资源交易项目个数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4A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D5A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&gt;=1874个</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804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=1874个</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A33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B6D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769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9DD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300个</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615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EC6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87D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57F61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FDE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FF7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203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62F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工单处办量</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893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30A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&gt;=384057个</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3C5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=384057个</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740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459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5A5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AB8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2000个</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888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582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427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07610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252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C74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1B3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AA5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在职人数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C8B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B8A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&gt;=80人</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7A8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=76人</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635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1DF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B6C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B1F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D8D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659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47E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退休4人</w:t>
            </w:r>
          </w:p>
        </w:tc>
      </w:tr>
      <w:tr w14:paraId="722E9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02D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A2E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201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DF5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一体化平台系统故障率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1C0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6B8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632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B70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A89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001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E2F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D25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FF1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4D5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671CE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2D3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026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826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859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项目验收合格率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2DA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41C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&gt;=80%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00A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EB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D3A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FBD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4EB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1A0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CF3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AF3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0FA14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A02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B63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811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318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工单转派准确率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E8D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8D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7BE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=99.92%</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674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395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28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AF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F4A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082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F04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5AD55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FFB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192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8A9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614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系统故障修复处理时间</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145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16E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&lt;=2天</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782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=1天</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714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8B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7DA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CD1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1天</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4ED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471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DDE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1C286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1A2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11E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4C2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88E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系统运行响应时间</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837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206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&lt;=72小时</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D2D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=1小时</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1D0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2DD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68C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EAE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10小时</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F75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182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47C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0244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0B4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2C7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D20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7B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签入及时率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217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47C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&gt;=80%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D12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AF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3CD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3E0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013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70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7A1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70D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6E92B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6D5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A13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成本指标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75F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D71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公共资源交易项目评审、处理质疑、论证等成本</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889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CF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&lt;=189万元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650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=140.14万元</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9B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F98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01F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E78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49.23万元</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E3F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738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28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36510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81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64F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AF7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D7C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一体化运行维护成本</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EC4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71A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&lt;=3238.82万元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9B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=2910.42万元</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B0D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F74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661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42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1172.74万元</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967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F4E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AF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14CC6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C3D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931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1FB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经济成本指标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D9E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运转保障成本</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C9D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D97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&lt;=3048.75万元</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CE7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=2550.48万元</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BFA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D9E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196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470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918.73万元</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F3E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D8D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05A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2A9BA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9F8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8FE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效益指标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22C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74F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政务服务水平</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BC2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331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8C2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6EB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835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78F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行业标准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4BC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210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C7D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FEC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56D6A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E44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7E9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599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019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公共资源交易服务水平</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0BA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7F0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B18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9C1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D5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8E3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行业标准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E5C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DCA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FA4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904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2A217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6FC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60D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1D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社会效益指标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20B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工单处办满意率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4E6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467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83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=91.65%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B62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E6C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053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CE4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80%</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345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0C2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C2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3DBD5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965D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444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满意度指标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AA0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满意度指标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B74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办事人员满意度</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907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F82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E7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=92%</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7F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C3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C129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EF6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161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3D7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DA8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78FE8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995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B7E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bCs/>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E2A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满意度指标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17F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工作人员满意度</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E1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0F3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802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=91.36%</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2ED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52C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43E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EE1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7DC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534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738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r w14:paraId="7A132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338" w:type="pct"/>
            <w:gridSpan w:val="4"/>
            <w:tcBorders>
              <w:top w:val="single" w:color="000000" w:sz="4" w:space="0"/>
              <w:left w:val="single" w:color="000000" w:sz="4" w:space="0"/>
              <w:bottom w:val="single" w:color="000000" w:sz="4" w:space="0"/>
              <w:right w:val="nil"/>
            </w:tcBorders>
            <w:shd w:val="clear" w:color="auto" w:fill="auto"/>
            <w:vAlign w:val="center"/>
          </w:tcPr>
          <w:p w14:paraId="61324A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总分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4A0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100分</w:t>
            </w:r>
          </w:p>
        </w:tc>
        <w:tc>
          <w:tcPr>
            <w:tcW w:w="424" w:type="pct"/>
            <w:tcBorders>
              <w:top w:val="single" w:color="000000" w:sz="4" w:space="0"/>
              <w:left w:val="nil"/>
              <w:bottom w:val="single" w:color="000000" w:sz="4" w:space="0"/>
              <w:right w:val="single" w:color="000000" w:sz="4" w:space="0"/>
            </w:tcBorders>
            <w:shd w:val="clear" w:color="auto" w:fill="auto"/>
            <w:vAlign w:val="center"/>
          </w:tcPr>
          <w:p w14:paraId="036398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A95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D38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E5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96.25分</w:t>
            </w: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69A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C1A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397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5AF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C40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r>
    </w:tbl>
    <w:p w14:paraId="4E9BE7C5">
      <w:pPr>
        <w:pStyle w:val="3"/>
        <w:pageBreakBefore w:val="0"/>
        <w:numPr>
          <w:ilvl w:val="0"/>
          <w:numId w:val="0"/>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sectPr>
          <w:pgSz w:w="16838" w:h="11906" w:orient="landscape"/>
          <w:pgMar w:top="1531" w:right="1928" w:bottom="1531" w:left="1701"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332CDFC7">
      <w:pPr>
        <w:pStyle w:val="3"/>
        <w:spacing w:beforeLines="-2147483648" w:beforeAutospacing="0" w:afterLines="-2147483648" w:afterAutospacing="0"/>
        <w:ind w:firstLine="643"/>
        <w:rPr>
          <w:rFonts w:hint="eastAsia" w:ascii="Times New Roman" w:hAnsi="Times New Roman" w:cs="Times New Roman"/>
          <w:b/>
          <w:sz w:val="32"/>
          <w:szCs w:val="24"/>
          <w:lang w:val="en-US" w:eastAsia="zh-CN"/>
        </w:rPr>
      </w:pPr>
      <w:bookmarkStart w:id="27" w:name="_Toc13131"/>
      <w:r>
        <w:rPr>
          <w:rFonts w:hint="eastAsia" w:ascii="Times New Roman" w:hAnsi="Times New Roman" w:cs="Times New Roman"/>
          <w:b/>
          <w:sz w:val="32"/>
          <w:szCs w:val="24"/>
          <w:lang w:val="en-US" w:eastAsia="zh-CN"/>
        </w:rPr>
        <w:t>附件二、项目支出绩效评价指标体系打分表</w:t>
      </w:r>
      <w:bookmarkEnd w:id="27"/>
    </w:p>
    <w:tbl>
      <w:tblPr>
        <w:tblStyle w:val="15"/>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1040"/>
        <w:gridCol w:w="2114"/>
        <w:gridCol w:w="7628"/>
        <w:gridCol w:w="785"/>
        <w:gridCol w:w="769"/>
      </w:tblGrid>
      <w:tr w14:paraId="059B74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14:paraId="25AD8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一级指标</w:t>
            </w:r>
          </w:p>
        </w:tc>
        <w:tc>
          <w:tcPr>
            <w:tcW w:w="727" w:type="dxa"/>
            <w:shd w:val="clear" w:color="auto" w:fill="FFFFFF"/>
            <w:noWrap w:val="0"/>
            <w:vAlign w:val="center"/>
          </w:tcPr>
          <w:p w14:paraId="706D0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二级指标</w:t>
            </w:r>
          </w:p>
        </w:tc>
        <w:tc>
          <w:tcPr>
            <w:tcW w:w="1040" w:type="dxa"/>
            <w:shd w:val="clear" w:color="auto" w:fill="FFFFFF"/>
            <w:noWrap w:val="0"/>
            <w:vAlign w:val="center"/>
          </w:tcPr>
          <w:p w14:paraId="03AB3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三级指标</w:t>
            </w:r>
          </w:p>
        </w:tc>
        <w:tc>
          <w:tcPr>
            <w:tcW w:w="2114" w:type="dxa"/>
            <w:shd w:val="clear" w:color="auto" w:fill="FFFFFF"/>
            <w:noWrap w:val="0"/>
            <w:vAlign w:val="center"/>
          </w:tcPr>
          <w:p w14:paraId="1A732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指标解释</w:t>
            </w:r>
          </w:p>
        </w:tc>
        <w:tc>
          <w:tcPr>
            <w:tcW w:w="7628" w:type="dxa"/>
            <w:shd w:val="clear" w:color="auto" w:fill="FFFFFF"/>
            <w:noWrap w:val="0"/>
            <w:vAlign w:val="center"/>
          </w:tcPr>
          <w:p w14:paraId="43B916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指标说明</w:t>
            </w:r>
          </w:p>
        </w:tc>
        <w:tc>
          <w:tcPr>
            <w:tcW w:w="785" w:type="dxa"/>
            <w:shd w:val="clear" w:color="auto" w:fill="FFFFFF"/>
            <w:noWrap w:val="0"/>
            <w:vAlign w:val="center"/>
          </w:tcPr>
          <w:p w14:paraId="09EA6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分值</w:t>
            </w:r>
          </w:p>
        </w:tc>
        <w:tc>
          <w:tcPr>
            <w:tcW w:w="769" w:type="dxa"/>
            <w:shd w:val="clear" w:color="auto" w:fill="FFFFFF"/>
            <w:noWrap w:val="0"/>
            <w:vAlign w:val="center"/>
          </w:tcPr>
          <w:p w14:paraId="798D8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得分</w:t>
            </w:r>
          </w:p>
        </w:tc>
      </w:tr>
      <w:tr w14:paraId="53B898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64" w:hRule="atLeast"/>
          <w:jc w:val="center"/>
        </w:trPr>
        <w:tc>
          <w:tcPr>
            <w:tcW w:w="861" w:type="dxa"/>
            <w:vMerge w:val="restart"/>
            <w:shd w:val="clear" w:color="auto" w:fill="FFFFFF"/>
            <w:noWrap w:val="0"/>
            <w:vAlign w:val="center"/>
          </w:tcPr>
          <w:p w14:paraId="6BCE2B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决策　</w:t>
            </w:r>
          </w:p>
          <w:p w14:paraId="5F776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w:t>
            </w:r>
          </w:p>
          <w:p w14:paraId="4785A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w:t>
            </w:r>
          </w:p>
        </w:tc>
        <w:tc>
          <w:tcPr>
            <w:tcW w:w="727" w:type="dxa"/>
            <w:vMerge w:val="restart"/>
            <w:shd w:val="clear" w:color="auto" w:fill="FFFFFF"/>
            <w:noWrap w:val="0"/>
            <w:vAlign w:val="center"/>
          </w:tcPr>
          <w:p w14:paraId="352F0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项目立项　</w:t>
            </w:r>
          </w:p>
        </w:tc>
        <w:tc>
          <w:tcPr>
            <w:tcW w:w="1040" w:type="dxa"/>
            <w:shd w:val="clear" w:color="auto" w:fill="FFFFFF"/>
            <w:noWrap w:val="0"/>
            <w:vAlign w:val="center"/>
          </w:tcPr>
          <w:p w14:paraId="48DD6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立项依据充分性</w:t>
            </w:r>
          </w:p>
        </w:tc>
        <w:tc>
          <w:tcPr>
            <w:tcW w:w="2114" w:type="dxa"/>
            <w:shd w:val="clear" w:color="auto" w:fill="FFFFFF"/>
            <w:noWrap w:val="0"/>
            <w:vAlign w:val="center"/>
          </w:tcPr>
          <w:p w14:paraId="6301072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项目立项是否符合法律法规、相关政策、发展规划以及部门职责，用以反映和考核项目立项依据情况。</w:t>
            </w:r>
          </w:p>
        </w:tc>
        <w:tc>
          <w:tcPr>
            <w:tcW w:w="7628" w:type="dxa"/>
            <w:shd w:val="clear" w:color="auto" w:fill="FFFFFF"/>
            <w:noWrap w:val="0"/>
            <w:vAlign w:val="center"/>
          </w:tcPr>
          <w:p w14:paraId="09B59D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2D27FA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①项目立项是否符合国家法律法规、国民经济发展规划和相关政策；</w:t>
            </w:r>
          </w:p>
          <w:p w14:paraId="289114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②项目立项是否符合行业发展规划和政策要求；</w:t>
            </w:r>
          </w:p>
          <w:p w14:paraId="4FB7D1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③项目立项是否与部门职责范围相符，属于部门履职所需；</w:t>
            </w:r>
          </w:p>
          <w:p w14:paraId="75B4E1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④项目是否属于公共财政支持范围，是否符合中央、地方事权支出责任划分原则；</w:t>
            </w:r>
          </w:p>
          <w:p w14:paraId="4D9897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⑤项目是否与相关部门同类项目或部门内部相关项目重复。</w:t>
            </w:r>
          </w:p>
        </w:tc>
        <w:tc>
          <w:tcPr>
            <w:tcW w:w="785" w:type="dxa"/>
            <w:shd w:val="clear" w:color="auto" w:fill="FFFFFF"/>
            <w:noWrap w:val="0"/>
            <w:vAlign w:val="center"/>
          </w:tcPr>
          <w:p w14:paraId="31E0B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auto" w:fill="FFFFFF"/>
            <w:noWrap w:val="0"/>
            <w:vAlign w:val="center"/>
          </w:tcPr>
          <w:p w14:paraId="0BE189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4D0C0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3" w:hRule="atLeast"/>
          <w:jc w:val="center"/>
        </w:trPr>
        <w:tc>
          <w:tcPr>
            <w:tcW w:w="861" w:type="dxa"/>
            <w:vMerge w:val="continue"/>
            <w:shd w:val="clear" w:color="auto" w:fill="FFFFFF"/>
            <w:noWrap w:val="0"/>
            <w:vAlign w:val="center"/>
          </w:tcPr>
          <w:p w14:paraId="5E18C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continue"/>
            <w:shd w:val="clear" w:color="auto" w:fill="FFFFFF"/>
            <w:noWrap w:val="0"/>
            <w:vAlign w:val="center"/>
          </w:tcPr>
          <w:p w14:paraId="25E11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40" w:type="dxa"/>
            <w:shd w:val="clear" w:color="auto" w:fill="FFFFFF"/>
            <w:noWrap w:val="0"/>
            <w:vAlign w:val="center"/>
          </w:tcPr>
          <w:p w14:paraId="50F06A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立项程序规范性</w:t>
            </w:r>
          </w:p>
        </w:tc>
        <w:tc>
          <w:tcPr>
            <w:tcW w:w="2114" w:type="dxa"/>
            <w:shd w:val="clear" w:color="auto" w:fill="FFFFFF"/>
            <w:noWrap w:val="0"/>
            <w:vAlign w:val="center"/>
          </w:tcPr>
          <w:p w14:paraId="0F2416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项目申请、设立过程是否符合相关要求，用以反映和考核项目立项的规范情况。</w:t>
            </w:r>
          </w:p>
        </w:tc>
        <w:tc>
          <w:tcPr>
            <w:tcW w:w="7628" w:type="dxa"/>
            <w:shd w:val="clear" w:color="auto" w:fill="FFFFFF"/>
            <w:noWrap w:val="0"/>
            <w:vAlign w:val="center"/>
          </w:tcPr>
          <w:p w14:paraId="33EEE1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250819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①项目是否按照规定的程序申请设立；</w:t>
            </w:r>
          </w:p>
          <w:p w14:paraId="48B2F0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②审批文件、材料是否符合相关要求；</w:t>
            </w:r>
          </w:p>
          <w:p w14:paraId="5B7794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③事前是否已经过必要的可行性研究、专家论证、风险评估、绩效评估、集体决策。</w:t>
            </w:r>
          </w:p>
        </w:tc>
        <w:tc>
          <w:tcPr>
            <w:tcW w:w="785" w:type="dxa"/>
            <w:shd w:val="clear" w:color="auto" w:fill="FFFFFF"/>
            <w:noWrap w:val="0"/>
            <w:vAlign w:val="center"/>
          </w:tcPr>
          <w:p w14:paraId="2A516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769" w:type="dxa"/>
            <w:shd w:val="clear" w:color="auto" w:fill="FFFFFF"/>
            <w:noWrap w:val="0"/>
            <w:vAlign w:val="center"/>
          </w:tcPr>
          <w:p w14:paraId="302AD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14:paraId="66F28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6" w:hRule="atLeast"/>
          <w:jc w:val="center"/>
        </w:trPr>
        <w:tc>
          <w:tcPr>
            <w:tcW w:w="861" w:type="dxa"/>
            <w:vMerge w:val="continue"/>
            <w:shd w:val="clear" w:color="auto" w:fill="FFFFFF"/>
            <w:noWrap w:val="0"/>
            <w:vAlign w:val="center"/>
          </w:tcPr>
          <w:p w14:paraId="170210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67B578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绩效目标　</w:t>
            </w:r>
          </w:p>
        </w:tc>
        <w:tc>
          <w:tcPr>
            <w:tcW w:w="1040" w:type="dxa"/>
            <w:shd w:val="clear" w:color="auto" w:fill="FFFFFF"/>
            <w:noWrap w:val="0"/>
            <w:vAlign w:val="center"/>
          </w:tcPr>
          <w:p w14:paraId="7E4F3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绩效目标</w:t>
            </w:r>
          </w:p>
          <w:p w14:paraId="579258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合理性</w:t>
            </w:r>
          </w:p>
        </w:tc>
        <w:tc>
          <w:tcPr>
            <w:tcW w:w="2114" w:type="dxa"/>
            <w:shd w:val="clear" w:color="000000" w:fill="FFFFFF"/>
            <w:noWrap w:val="0"/>
            <w:vAlign w:val="center"/>
          </w:tcPr>
          <w:p w14:paraId="1EDCD8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项目所设定的绩效目标是否依据充分，是否符合客观实际，用以反映和考核项目绩效目标与项目实施的相符情况。</w:t>
            </w:r>
          </w:p>
        </w:tc>
        <w:tc>
          <w:tcPr>
            <w:tcW w:w="7628" w:type="dxa"/>
            <w:shd w:val="clear" w:color="000000" w:fill="FFFFFF"/>
            <w:noWrap w:val="0"/>
            <w:vAlign w:val="center"/>
          </w:tcPr>
          <w:p w14:paraId="79929D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249A28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（如未设定预算绩效目标，也可考核其他工作任务目标）</w:t>
            </w:r>
          </w:p>
          <w:p w14:paraId="51BB10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①项目是否有绩效目标；</w:t>
            </w:r>
          </w:p>
          <w:p w14:paraId="76C428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②项目绩效目标与实际工作内容是否具有相关性；</w:t>
            </w:r>
          </w:p>
          <w:p w14:paraId="63D180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③项目预期产出效益和效果是否符合正常的业绩水平；</w:t>
            </w:r>
          </w:p>
          <w:p w14:paraId="635215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④是否与预算确定的项目投资额或资金量相匹配。</w:t>
            </w:r>
          </w:p>
        </w:tc>
        <w:tc>
          <w:tcPr>
            <w:tcW w:w="785" w:type="dxa"/>
            <w:shd w:val="clear" w:color="000000" w:fill="FFFFFF"/>
            <w:noWrap w:val="0"/>
            <w:vAlign w:val="center"/>
          </w:tcPr>
          <w:p w14:paraId="7142B7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69" w:type="dxa"/>
            <w:shd w:val="clear" w:color="000000" w:fill="FFFFFF"/>
            <w:noWrap w:val="0"/>
            <w:vAlign w:val="center"/>
          </w:tcPr>
          <w:p w14:paraId="1832B6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r>
      <w:tr w14:paraId="0E728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44" w:hRule="atLeast"/>
          <w:jc w:val="center"/>
        </w:trPr>
        <w:tc>
          <w:tcPr>
            <w:tcW w:w="861" w:type="dxa"/>
            <w:vMerge w:val="restart"/>
            <w:shd w:val="clear" w:color="auto" w:fill="FFFFFF"/>
            <w:noWrap w:val="0"/>
            <w:vAlign w:val="center"/>
          </w:tcPr>
          <w:p w14:paraId="5B780C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决策　</w:t>
            </w:r>
          </w:p>
        </w:tc>
        <w:tc>
          <w:tcPr>
            <w:tcW w:w="727" w:type="dxa"/>
            <w:shd w:val="clear" w:color="auto" w:fill="FFFFFF"/>
            <w:noWrap w:val="0"/>
            <w:vAlign w:val="center"/>
          </w:tcPr>
          <w:p w14:paraId="5F244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绩效目标</w:t>
            </w:r>
          </w:p>
        </w:tc>
        <w:tc>
          <w:tcPr>
            <w:tcW w:w="1040" w:type="dxa"/>
            <w:shd w:val="clear" w:color="auto" w:fill="FFFFFF"/>
            <w:noWrap w:val="0"/>
            <w:vAlign w:val="center"/>
          </w:tcPr>
          <w:p w14:paraId="13F67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绩效指标</w:t>
            </w:r>
          </w:p>
          <w:p w14:paraId="4BEFE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明确性</w:t>
            </w:r>
          </w:p>
        </w:tc>
        <w:tc>
          <w:tcPr>
            <w:tcW w:w="2114" w:type="dxa"/>
            <w:shd w:val="clear" w:color="000000" w:fill="FFFFFF"/>
            <w:noWrap w:val="0"/>
            <w:vAlign w:val="center"/>
          </w:tcPr>
          <w:p w14:paraId="1726EC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依据绩效目标设定的绩效指标是否清晰、细化、可衡量等，用以反映和考核项目绩效目标的明细化情况。</w:t>
            </w:r>
          </w:p>
        </w:tc>
        <w:tc>
          <w:tcPr>
            <w:tcW w:w="7628" w:type="dxa"/>
            <w:shd w:val="clear" w:color="000000" w:fill="FFFFFF"/>
            <w:noWrap w:val="0"/>
            <w:vAlign w:val="center"/>
          </w:tcPr>
          <w:p w14:paraId="3D34C2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563627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①是否将项目绩效目标细化分解为具体的绩效指标；</w:t>
            </w:r>
          </w:p>
          <w:p w14:paraId="2ED63B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②是否通过清晰、可衡量的指标值予以体现；</w:t>
            </w:r>
          </w:p>
          <w:p w14:paraId="245953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③是否与项目目标任务数或计划数相对应。</w:t>
            </w:r>
          </w:p>
          <w:p w14:paraId="6A9F35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tc>
        <w:tc>
          <w:tcPr>
            <w:tcW w:w="785" w:type="dxa"/>
            <w:shd w:val="clear" w:color="000000" w:fill="FFFFFF"/>
            <w:noWrap w:val="0"/>
            <w:vAlign w:val="center"/>
          </w:tcPr>
          <w:p w14:paraId="3431C6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69" w:type="dxa"/>
            <w:shd w:val="clear" w:color="000000" w:fill="FFFFFF"/>
            <w:noWrap w:val="0"/>
            <w:vAlign w:val="center"/>
          </w:tcPr>
          <w:p w14:paraId="3DC680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r>
      <w:tr w14:paraId="7B6B8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68" w:hRule="atLeast"/>
          <w:jc w:val="center"/>
        </w:trPr>
        <w:tc>
          <w:tcPr>
            <w:tcW w:w="861" w:type="dxa"/>
            <w:vMerge w:val="continue"/>
            <w:shd w:val="clear" w:color="auto" w:fill="FFFFFF"/>
            <w:noWrap w:val="0"/>
            <w:vAlign w:val="center"/>
          </w:tcPr>
          <w:p w14:paraId="472B3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restart"/>
            <w:shd w:val="clear" w:color="auto" w:fill="FFFFFF"/>
            <w:noWrap w:val="0"/>
            <w:vAlign w:val="center"/>
          </w:tcPr>
          <w:p w14:paraId="17F8B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资金投入</w:t>
            </w:r>
          </w:p>
          <w:p w14:paraId="441A38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w:t>
            </w:r>
          </w:p>
        </w:tc>
        <w:tc>
          <w:tcPr>
            <w:tcW w:w="1040" w:type="dxa"/>
            <w:shd w:val="clear" w:color="auto" w:fill="FFFFFF"/>
            <w:noWrap w:val="0"/>
            <w:vAlign w:val="center"/>
          </w:tcPr>
          <w:p w14:paraId="456AF9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预算编制</w:t>
            </w:r>
          </w:p>
          <w:p w14:paraId="4719D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科学性</w:t>
            </w:r>
          </w:p>
        </w:tc>
        <w:tc>
          <w:tcPr>
            <w:tcW w:w="2114" w:type="dxa"/>
            <w:shd w:val="clear" w:color="auto" w:fill="FFFFFF"/>
            <w:noWrap w:val="0"/>
            <w:vAlign w:val="center"/>
          </w:tcPr>
          <w:p w14:paraId="0928DD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项目预算编制是否经过科学论证、有明确标准，资金额度与年度目标是否相适应，用以反映和考核项目预算编制的科学性、合理性情况。</w:t>
            </w:r>
          </w:p>
        </w:tc>
        <w:tc>
          <w:tcPr>
            <w:tcW w:w="7628" w:type="dxa"/>
            <w:shd w:val="clear" w:color="auto" w:fill="FFFFFF"/>
            <w:noWrap w:val="0"/>
            <w:vAlign w:val="center"/>
          </w:tcPr>
          <w:p w14:paraId="12D2BC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418791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①预算编制是否经过科学论证；</w:t>
            </w:r>
          </w:p>
          <w:p w14:paraId="2A1C1D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②预算内容与项目内容是否匹配；</w:t>
            </w:r>
          </w:p>
          <w:p w14:paraId="5B9602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③预算额度测算依据是否充分，是否按照标准编制；</w:t>
            </w:r>
          </w:p>
          <w:p w14:paraId="185ABF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④预算确定的项目投资额或资金量是否与工作任务相匹配。</w:t>
            </w:r>
          </w:p>
        </w:tc>
        <w:tc>
          <w:tcPr>
            <w:tcW w:w="785" w:type="dxa"/>
            <w:shd w:val="clear" w:color="auto" w:fill="FFFFFF"/>
            <w:noWrap w:val="0"/>
            <w:vAlign w:val="center"/>
          </w:tcPr>
          <w:p w14:paraId="6C5292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auto" w:fill="FFFFFF"/>
            <w:noWrap w:val="0"/>
            <w:vAlign w:val="center"/>
          </w:tcPr>
          <w:p w14:paraId="5F410D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359B8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22" w:hRule="atLeast"/>
          <w:jc w:val="center"/>
        </w:trPr>
        <w:tc>
          <w:tcPr>
            <w:tcW w:w="861" w:type="dxa"/>
            <w:vMerge w:val="continue"/>
            <w:shd w:val="clear" w:color="auto" w:fill="FFFFFF"/>
            <w:noWrap w:val="0"/>
            <w:vAlign w:val="center"/>
          </w:tcPr>
          <w:p w14:paraId="22D76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continue"/>
            <w:shd w:val="clear" w:color="auto" w:fill="FFFFFF"/>
            <w:noWrap w:val="0"/>
            <w:vAlign w:val="center"/>
          </w:tcPr>
          <w:p w14:paraId="74D35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40" w:type="dxa"/>
            <w:shd w:val="clear" w:color="auto" w:fill="FFFFFF"/>
            <w:noWrap w:val="0"/>
            <w:vAlign w:val="center"/>
          </w:tcPr>
          <w:p w14:paraId="39C60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资金分配</w:t>
            </w:r>
          </w:p>
          <w:p w14:paraId="07849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合理性</w:t>
            </w:r>
          </w:p>
        </w:tc>
        <w:tc>
          <w:tcPr>
            <w:tcW w:w="2114" w:type="dxa"/>
            <w:shd w:val="clear" w:color="auto" w:fill="FFFFFF"/>
            <w:noWrap w:val="0"/>
            <w:vAlign w:val="center"/>
          </w:tcPr>
          <w:p w14:paraId="7651E6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项目预算资金分配是否有测算依据，与补助单位或地方实际是否相适应，用以反映和考核项目预算资金分配的科学性、合理性情况。</w:t>
            </w:r>
          </w:p>
        </w:tc>
        <w:tc>
          <w:tcPr>
            <w:tcW w:w="7628" w:type="dxa"/>
            <w:shd w:val="clear" w:color="auto" w:fill="FFFFFF"/>
            <w:noWrap w:val="0"/>
            <w:vAlign w:val="center"/>
          </w:tcPr>
          <w:p w14:paraId="77DDAC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3CAA62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①预算资金分配依据是否充分；</w:t>
            </w:r>
          </w:p>
          <w:p w14:paraId="0F1BB5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②资金分配额度是否合理，与项目单位或地方实际是否相适应。</w:t>
            </w:r>
          </w:p>
        </w:tc>
        <w:tc>
          <w:tcPr>
            <w:tcW w:w="785" w:type="dxa"/>
            <w:shd w:val="clear" w:color="auto" w:fill="FFFFFF"/>
            <w:noWrap w:val="0"/>
            <w:vAlign w:val="center"/>
          </w:tcPr>
          <w:p w14:paraId="50DF0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769" w:type="dxa"/>
            <w:shd w:val="clear" w:color="auto" w:fill="FFFFFF"/>
            <w:noWrap w:val="0"/>
            <w:vAlign w:val="center"/>
          </w:tcPr>
          <w:p w14:paraId="49BD4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14:paraId="6E372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59" w:hRule="atLeast"/>
          <w:jc w:val="center"/>
        </w:trPr>
        <w:tc>
          <w:tcPr>
            <w:tcW w:w="861" w:type="dxa"/>
            <w:vMerge w:val="restart"/>
            <w:shd w:val="clear" w:color="auto" w:fill="FFFFFF"/>
            <w:noWrap w:val="0"/>
            <w:vAlign w:val="center"/>
          </w:tcPr>
          <w:p w14:paraId="73F933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过程</w:t>
            </w:r>
          </w:p>
        </w:tc>
        <w:tc>
          <w:tcPr>
            <w:tcW w:w="727" w:type="dxa"/>
            <w:vMerge w:val="restart"/>
            <w:shd w:val="clear" w:color="auto" w:fill="FFFFFF"/>
            <w:noWrap w:val="0"/>
            <w:vAlign w:val="center"/>
          </w:tcPr>
          <w:p w14:paraId="20AA72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资金管理</w:t>
            </w:r>
          </w:p>
        </w:tc>
        <w:tc>
          <w:tcPr>
            <w:tcW w:w="1040" w:type="dxa"/>
            <w:shd w:val="clear" w:color="auto" w:fill="FFFFFF"/>
            <w:noWrap w:val="0"/>
            <w:vAlign w:val="center"/>
          </w:tcPr>
          <w:p w14:paraId="79C82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资金到位率</w:t>
            </w:r>
          </w:p>
        </w:tc>
        <w:tc>
          <w:tcPr>
            <w:tcW w:w="2114" w:type="dxa"/>
            <w:shd w:val="clear" w:color="000000" w:fill="FFFFFF"/>
            <w:noWrap w:val="0"/>
            <w:vAlign w:val="center"/>
          </w:tcPr>
          <w:p w14:paraId="070590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实际到位资金与预算资金的比率，用以反映和考核资金落实情况对项目实施的总体保障程度。</w:t>
            </w:r>
          </w:p>
        </w:tc>
        <w:tc>
          <w:tcPr>
            <w:tcW w:w="7628" w:type="dxa"/>
            <w:shd w:val="clear" w:color="000000" w:fill="FFFFFF"/>
            <w:noWrap w:val="0"/>
            <w:vAlign w:val="center"/>
          </w:tcPr>
          <w:p w14:paraId="575B38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资金到位率=（实际到位资金/预算资金）×100%。</w:t>
            </w:r>
          </w:p>
          <w:p w14:paraId="78AFA2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实际到位资金：一定时期（本年度或项目期）内落实到具体项目的资金。</w:t>
            </w:r>
          </w:p>
          <w:p w14:paraId="4155D7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预算资金：一定时期（本年度或项目期）内预算安排到具体项目的资金。</w:t>
            </w:r>
          </w:p>
        </w:tc>
        <w:tc>
          <w:tcPr>
            <w:tcW w:w="785" w:type="dxa"/>
            <w:shd w:val="clear" w:color="000000" w:fill="FFFFFF"/>
            <w:noWrap w:val="0"/>
            <w:vAlign w:val="center"/>
          </w:tcPr>
          <w:p w14:paraId="79138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69" w:type="dxa"/>
            <w:shd w:val="clear" w:color="000000" w:fill="FFFFFF"/>
            <w:noWrap w:val="0"/>
            <w:vAlign w:val="center"/>
          </w:tcPr>
          <w:p w14:paraId="78EB2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r>
      <w:tr w14:paraId="76B60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2" w:hRule="atLeast"/>
          <w:jc w:val="center"/>
        </w:trPr>
        <w:tc>
          <w:tcPr>
            <w:tcW w:w="861" w:type="dxa"/>
            <w:vMerge w:val="continue"/>
            <w:shd w:val="clear" w:color="auto" w:fill="FFFFFF"/>
            <w:noWrap w:val="0"/>
            <w:vAlign w:val="center"/>
          </w:tcPr>
          <w:p w14:paraId="658D0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continue"/>
            <w:shd w:val="clear" w:color="auto" w:fill="FFFFFF"/>
            <w:noWrap w:val="0"/>
            <w:vAlign w:val="center"/>
          </w:tcPr>
          <w:p w14:paraId="0E4720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40" w:type="dxa"/>
            <w:shd w:val="clear" w:color="auto" w:fill="FFFFFF"/>
            <w:noWrap w:val="0"/>
            <w:vAlign w:val="center"/>
          </w:tcPr>
          <w:p w14:paraId="798AE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预算执行率</w:t>
            </w:r>
          </w:p>
        </w:tc>
        <w:tc>
          <w:tcPr>
            <w:tcW w:w="2114" w:type="dxa"/>
            <w:shd w:val="clear" w:color="auto" w:fill="FFFFFF"/>
            <w:noWrap w:val="0"/>
            <w:vAlign w:val="center"/>
          </w:tcPr>
          <w:p w14:paraId="3A0F17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项目预算资金是否按照计划执行，用以反映或考核项目预算执行情况。</w:t>
            </w:r>
          </w:p>
        </w:tc>
        <w:tc>
          <w:tcPr>
            <w:tcW w:w="7628" w:type="dxa"/>
            <w:shd w:val="clear" w:color="auto" w:fill="FFFFFF"/>
            <w:noWrap w:val="0"/>
            <w:vAlign w:val="center"/>
          </w:tcPr>
          <w:p w14:paraId="698392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预算执行率=（实际支出资金/实际到位资金）×100%。</w:t>
            </w:r>
          </w:p>
          <w:p w14:paraId="3ABDE4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实际支出资金：一定时期（本年度或项目期）内项目实际拨付的资金。</w:t>
            </w:r>
          </w:p>
        </w:tc>
        <w:tc>
          <w:tcPr>
            <w:tcW w:w="785" w:type="dxa"/>
            <w:shd w:val="clear" w:color="auto" w:fill="FFFFFF"/>
            <w:noWrap w:val="0"/>
            <w:vAlign w:val="center"/>
          </w:tcPr>
          <w:p w14:paraId="041B09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69" w:type="dxa"/>
            <w:shd w:val="clear" w:color="auto" w:fill="FFFFFF"/>
            <w:noWrap w:val="0"/>
            <w:vAlign w:val="center"/>
          </w:tcPr>
          <w:p w14:paraId="527F0F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3.46</w:t>
            </w:r>
          </w:p>
        </w:tc>
      </w:tr>
      <w:tr w14:paraId="76424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47" w:hRule="atLeast"/>
          <w:jc w:val="center"/>
        </w:trPr>
        <w:tc>
          <w:tcPr>
            <w:tcW w:w="861" w:type="dxa"/>
            <w:vMerge w:val="restart"/>
            <w:shd w:val="clear" w:color="auto" w:fill="FFFFFF"/>
            <w:noWrap w:val="0"/>
            <w:vAlign w:val="center"/>
          </w:tcPr>
          <w:p w14:paraId="67E0DA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w:t>
            </w:r>
          </w:p>
          <w:p w14:paraId="12F47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过程　</w:t>
            </w:r>
          </w:p>
        </w:tc>
        <w:tc>
          <w:tcPr>
            <w:tcW w:w="727" w:type="dxa"/>
            <w:shd w:val="clear" w:color="auto" w:fill="FFFFFF"/>
            <w:noWrap w:val="0"/>
            <w:vAlign w:val="center"/>
          </w:tcPr>
          <w:p w14:paraId="65702B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资金管理</w:t>
            </w:r>
          </w:p>
        </w:tc>
        <w:tc>
          <w:tcPr>
            <w:tcW w:w="1040" w:type="dxa"/>
            <w:shd w:val="clear" w:color="auto" w:fill="FFFFFF"/>
            <w:noWrap w:val="0"/>
            <w:vAlign w:val="center"/>
          </w:tcPr>
          <w:p w14:paraId="1C12A0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资金使用</w:t>
            </w:r>
          </w:p>
          <w:p w14:paraId="4B9F91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合规性</w:t>
            </w:r>
          </w:p>
        </w:tc>
        <w:tc>
          <w:tcPr>
            <w:tcW w:w="2114" w:type="dxa"/>
            <w:shd w:val="clear" w:color="000000" w:fill="FFFFFF"/>
            <w:noWrap w:val="0"/>
            <w:vAlign w:val="center"/>
          </w:tcPr>
          <w:p w14:paraId="7F6010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项目资金使用是否符合相关的财务管理制度规定，用以反映和考核项目资金的规范运行情况。</w:t>
            </w:r>
          </w:p>
        </w:tc>
        <w:tc>
          <w:tcPr>
            <w:tcW w:w="7628" w:type="dxa"/>
            <w:shd w:val="clear" w:color="000000" w:fill="FFFFFF"/>
            <w:noWrap w:val="0"/>
            <w:vAlign w:val="center"/>
          </w:tcPr>
          <w:p w14:paraId="32E0E6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31DCC6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①是否符合国家财经法规和财务管理制度以及有关专项资金管理办法的规定；</w:t>
            </w:r>
          </w:p>
          <w:p w14:paraId="50588D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②资金的拨付是否有完整的审批程序和手续；</w:t>
            </w:r>
          </w:p>
          <w:p w14:paraId="09300E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③是否符合项目预算批复或合同规定的用途；</w:t>
            </w:r>
          </w:p>
          <w:p w14:paraId="43FD69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④是否存在截留、挤占、挪用、虚列支出等情况。</w:t>
            </w:r>
          </w:p>
        </w:tc>
        <w:tc>
          <w:tcPr>
            <w:tcW w:w="785" w:type="dxa"/>
            <w:shd w:val="clear" w:color="000000" w:fill="FFFFFF"/>
            <w:noWrap w:val="0"/>
            <w:vAlign w:val="center"/>
          </w:tcPr>
          <w:p w14:paraId="0EA0D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69" w:type="dxa"/>
            <w:shd w:val="clear" w:color="000000" w:fill="FFFFFF"/>
            <w:noWrap w:val="0"/>
            <w:vAlign w:val="center"/>
          </w:tcPr>
          <w:p w14:paraId="3A418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r>
      <w:tr w14:paraId="00F19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7" w:hRule="atLeast"/>
          <w:jc w:val="center"/>
        </w:trPr>
        <w:tc>
          <w:tcPr>
            <w:tcW w:w="861" w:type="dxa"/>
            <w:vMerge w:val="continue"/>
            <w:shd w:val="clear" w:color="auto" w:fill="FFFFFF"/>
            <w:noWrap w:val="0"/>
            <w:vAlign w:val="center"/>
          </w:tcPr>
          <w:p w14:paraId="458AB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restart"/>
            <w:shd w:val="clear" w:color="auto" w:fill="FFFFFF"/>
            <w:noWrap w:val="0"/>
            <w:vAlign w:val="center"/>
          </w:tcPr>
          <w:p w14:paraId="11A80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组织实施</w:t>
            </w:r>
          </w:p>
          <w:p w14:paraId="7DD94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w:t>
            </w:r>
          </w:p>
        </w:tc>
        <w:tc>
          <w:tcPr>
            <w:tcW w:w="1040" w:type="dxa"/>
            <w:shd w:val="clear" w:color="auto" w:fill="FFFFFF"/>
            <w:noWrap w:val="0"/>
            <w:vAlign w:val="center"/>
          </w:tcPr>
          <w:p w14:paraId="796FA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管理制度</w:t>
            </w:r>
          </w:p>
          <w:p w14:paraId="00DC86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健全性</w:t>
            </w:r>
          </w:p>
        </w:tc>
        <w:tc>
          <w:tcPr>
            <w:tcW w:w="2114" w:type="dxa"/>
            <w:shd w:val="clear" w:color="000000" w:fill="FFFFFF"/>
            <w:noWrap w:val="0"/>
            <w:vAlign w:val="center"/>
          </w:tcPr>
          <w:p w14:paraId="120F54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项目实施单位的财务和业务管理制度是否健全，用以反映和考核财务和业务管理制度对项目顺利实施的保障情况。</w:t>
            </w:r>
          </w:p>
        </w:tc>
        <w:tc>
          <w:tcPr>
            <w:tcW w:w="7628" w:type="dxa"/>
            <w:shd w:val="clear" w:color="000000" w:fill="FFFFFF"/>
            <w:noWrap w:val="0"/>
            <w:vAlign w:val="center"/>
          </w:tcPr>
          <w:p w14:paraId="76E2A4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308404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①是否已制定或具有相应的财务和业务管理制度；</w:t>
            </w:r>
          </w:p>
          <w:p w14:paraId="4A2B0F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②财务和业务管理制度是否合法、合规、完整。</w:t>
            </w:r>
          </w:p>
        </w:tc>
        <w:tc>
          <w:tcPr>
            <w:tcW w:w="785" w:type="dxa"/>
            <w:shd w:val="clear" w:color="000000" w:fill="FFFFFF"/>
            <w:noWrap w:val="0"/>
            <w:vAlign w:val="center"/>
          </w:tcPr>
          <w:p w14:paraId="04011B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69" w:type="dxa"/>
            <w:shd w:val="clear" w:color="000000" w:fill="FFFFFF"/>
            <w:noWrap w:val="0"/>
            <w:vAlign w:val="center"/>
          </w:tcPr>
          <w:p w14:paraId="0DF84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r>
      <w:tr w14:paraId="2E732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67" w:hRule="atLeast"/>
          <w:jc w:val="center"/>
        </w:trPr>
        <w:tc>
          <w:tcPr>
            <w:tcW w:w="861" w:type="dxa"/>
            <w:vMerge w:val="continue"/>
            <w:shd w:val="clear" w:color="auto" w:fill="FFFFFF"/>
            <w:noWrap w:val="0"/>
            <w:vAlign w:val="center"/>
          </w:tcPr>
          <w:p w14:paraId="4AE27E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continue"/>
            <w:shd w:val="clear" w:color="auto" w:fill="FFFFFF"/>
            <w:noWrap w:val="0"/>
            <w:vAlign w:val="center"/>
          </w:tcPr>
          <w:p w14:paraId="53673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40" w:type="dxa"/>
            <w:shd w:val="clear" w:color="auto" w:fill="FFFFFF"/>
            <w:noWrap w:val="0"/>
            <w:vAlign w:val="center"/>
          </w:tcPr>
          <w:p w14:paraId="422691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制度执行</w:t>
            </w:r>
          </w:p>
          <w:p w14:paraId="3EE7FF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有效性</w:t>
            </w:r>
          </w:p>
        </w:tc>
        <w:tc>
          <w:tcPr>
            <w:tcW w:w="2114" w:type="dxa"/>
            <w:shd w:val="clear" w:color="000000" w:fill="FFFFFF"/>
            <w:noWrap w:val="0"/>
            <w:vAlign w:val="center"/>
          </w:tcPr>
          <w:p w14:paraId="0B7868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项目实施是否符合相关管理规定，用以反映和考核相关管理制度的有效执行情况。</w:t>
            </w:r>
          </w:p>
        </w:tc>
        <w:tc>
          <w:tcPr>
            <w:tcW w:w="7628" w:type="dxa"/>
            <w:shd w:val="clear" w:color="000000" w:fill="FFFFFF"/>
            <w:noWrap w:val="0"/>
            <w:vAlign w:val="center"/>
          </w:tcPr>
          <w:p w14:paraId="67E737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评价要点：</w:t>
            </w:r>
          </w:p>
          <w:p w14:paraId="59CFAB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①是否遵守相关法律法规和相关管理规定；</w:t>
            </w:r>
          </w:p>
          <w:p w14:paraId="760D7F3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②项目调整及支出调整手续是否完备；</w:t>
            </w:r>
          </w:p>
          <w:p w14:paraId="784ED2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③项目合同书、验收报告、技术鉴定等资料是否齐全并及时归档；</w:t>
            </w:r>
          </w:p>
          <w:p w14:paraId="37BB0F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④项目实施的人员条件、场地设备、信息支撑等是否落实到位。</w:t>
            </w:r>
          </w:p>
        </w:tc>
        <w:tc>
          <w:tcPr>
            <w:tcW w:w="785" w:type="dxa"/>
            <w:shd w:val="clear" w:color="000000" w:fill="FFFFFF"/>
            <w:noWrap w:val="0"/>
            <w:vAlign w:val="center"/>
          </w:tcPr>
          <w:p w14:paraId="6507A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69" w:type="dxa"/>
            <w:shd w:val="clear" w:color="000000" w:fill="FFFFFF"/>
            <w:noWrap w:val="0"/>
            <w:vAlign w:val="center"/>
          </w:tcPr>
          <w:p w14:paraId="0A3F9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r>
      <w:tr w14:paraId="26877D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63" w:hRule="atLeast"/>
          <w:jc w:val="center"/>
        </w:trPr>
        <w:tc>
          <w:tcPr>
            <w:tcW w:w="861" w:type="dxa"/>
            <w:vMerge w:val="restart"/>
            <w:shd w:val="clear" w:color="auto" w:fill="FFFFFF"/>
            <w:noWrap w:val="0"/>
            <w:vAlign w:val="center"/>
          </w:tcPr>
          <w:p w14:paraId="11EDD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w:t>
            </w:r>
          </w:p>
          <w:p w14:paraId="6237C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3A5F4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产出数量</w:t>
            </w:r>
          </w:p>
        </w:tc>
        <w:tc>
          <w:tcPr>
            <w:tcW w:w="1040" w:type="dxa"/>
            <w:shd w:val="clear" w:color="auto" w:fill="FFFFFF"/>
            <w:noWrap w:val="0"/>
            <w:vAlign w:val="center"/>
          </w:tcPr>
          <w:p w14:paraId="2B093A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一体化平台维护数量</w:t>
            </w:r>
          </w:p>
        </w:tc>
        <w:tc>
          <w:tcPr>
            <w:tcW w:w="2114" w:type="dxa"/>
            <w:shd w:val="clear" w:color="000000" w:fill="FFFFFF"/>
            <w:noWrap w:val="0"/>
            <w:vAlign w:val="center"/>
          </w:tcPr>
          <w:p w14:paraId="286A97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项目实施的实际产出数与计划产出数的比率，用以反映和考核项目产出数量目标的实现程度。</w:t>
            </w:r>
          </w:p>
        </w:tc>
        <w:tc>
          <w:tcPr>
            <w:tcW w:w="7628" w:type="dxa"/>
            <w:shd w:val="clear" w:color="000000" w:fill="FFFFFF"/>
            <w:noWrap w:val="0"/>
            <w:vAlign w:val="center"/>
          </w:tcPr>
          <w:p w14:paraId="0AE355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实际完成率=（实际产出数/计划产出数）×100%。</w:t>
            </w:r>
          </w:p>
          <w:p w14:paraId="5CBE8D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实际产出数：一定时期（本年度或项目期）内项目实际产出的产品或提供的服务数量。</w:t>
            </w:r>
          </w:p>
          <w:p w14:paraId="67F9E1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计划产出数：项目绩效目标确定的在一定时期（本年度或项目期）内计划产出的产品或提供的服务数量。</w:t>
            </w:r>
          </w:p>
        </w:tc>
        <w:tc>
          <w:tcPr>
            <w:tcW w:w="785" w:type="dxa"/>
            <w:shd w:val="clear" w:color="000000" w:fill="FFFFFF"/>
            <w:noWrap w:val="0"/>
            <w:vAlign w:val="center"/>
          </w:tcPr>
          <w:p w14:paraId="1E9AC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769" w:type="dxa"/>
            <w:shd w:val="clear" w:color="000000" w:fill="FFFFFF"/>
            <w:noWrap w:val="0"/>
            <w:vAlign w:val="center"/>
          </w:tcPr>
          <w:p w14:paraId="24377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14:paraId="24B10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16" w:hRule="atLeast"/>
          <w:jc w:val="center"/>
        </w:trPr>
        <w:tc>
          <w:tcPr>
            <w:tcW w:w="861" w:type="dxa"/>
            <w:vMerge w:val="continue"/>
            <w:shd w:val="clear" w:color="auto" w:fill="FFFFFF"/>
            <w:noWrap w:val="0"/>
            <w:vAlign w:val="center"/>
          </w:tcPr>
          <w:p w14:paraId="0FE6AA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230F78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产出数量</w:t>
            </w:r>
          </w:p>
        </w:tc>
        <w:tc>
          <w:tcPr>
            <w:tcW w:w="1040" w:type="dxa"/>
            <w:shd w:val="clear" w:color="auto" w:fill="FFFFFF"/>
            <w:noWrap w:val="0"/>
            <w:vAlign w:val="center"/>
          </w:tcPr>
          <w:p w14:paraId="22702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网络安全监测评估次数</w:t>
            </w:r>
          </w:p>
        </w:tc>
        <w:tc>
          <w:tcPr>
            <w:tcW w:w="2114" w:type="dxa"/>
            <w:shd w:val="clear" w:color="000000" w:fill="FFFFFF"/>
            <w:noWrap w:val="0"/>
            <w:vAlign w:val="center"/>
          </w:tcPr>
          <w:p w14:paraId="68468C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项目实施的实际产出数与计划产出数的比率，用以反映和考核项目产出数量目标的实现程度。</w:t>
            </w:r>
          </w:p>
        </w:tc>
        <w:tc>
          <w:tcPr>
            <w:tcW w:w="7628" w:type="dxa"/>
            <w:shd w:val="clear" w:color="000000" w:fill="FFFFFF"/>
            <w:noWrap w:val="0"/>
            <w:vAlign w:val="center"/>
          </w:tcPr>
          <w:p w14:paraId="49F683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实际完成率=（实际产出数/计划产出数）×100%。</w:t>
            </w:r>
          </w:p>
          <w:p w14:paraId="6BBEE3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实际产出数：一定时期（本年度或项目期）内项目实际产出的产品或提供的服务数量。</w:t>
            </w:r>
          </w:p>
          <w:p w14:paraId="726E0F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计划产出数：项目绩效目标确定的在一定时期（本年度或项目期）内计划产出的产品或提供的服务数量。</w:t>
            </w:r>
          </w:p>
        </w:tc>
        <w:tc>
          <w:tcPr>
            <w:tcW w:w="785" w:type="dxa"/>
            <w:shd w:val="clear" w:color="000000" w:fill="FFFFFF"/>
            <w:noWrap w:val="0"/>
            <w:vAlign w:val="center"/>
          </w:tcPr>
          <w:p w14:paraId="742BED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769" w:type="dxa"/>
            <w:shd w:val="clear" w:color="000000" w:fill="FFFFFF"/>
            <w:noWrap w:val="0"/>
            <w:vAlign w:val="center"/>
          </w:tcPr>
          <w:p w14:paraId="40657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14:paraId="22B3B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2" w:hRule="atLeast"/>
          <w:jc w:val="center"/>
        </w:trPr>
        <w:tc>
          <w:tcPr>
            <w:tcW w:w="861" w:type="dxa"/>
            <w:vMerge w:val="continue"/>
            <w:shd w:val="clear" w:color="auto" w:fill="FFFFFF"/>
            <w:noWrap w:val="0"/>
            <w:vAlign w:val="center"/>
          </w:tcPr>
          <w:p w14:paraId="4F201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05454F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产出数量</w:t>
            </w:r>
          </w:p>
        </w:tc>
        <w:tc>
          <w:tcPr>
            <w:tcW w:w="1040" w:type="dxa"/>
            <w:shd w:val="clear" w:color="auto" w:fill="FFFFFF"/>
            <w:noWrap w:val="0"/>
            <w:vAlign w:val="center"/>
          </w:tcPr>
          <w:p w14:paraId="62D83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公共资源交易项目个数</w:t>
            </w:r>
          </w:p>
        </w:tc>
        <w:tc>
          <w:tcPr>
            <w:tcW w:w="2114" w:type="dxa"/>
            <w:shd w:val="clear" w:color="000000" w:fill="FFFFFF"/>
            <w:noWrap w:val="0"/>
            <w:vAlign w:val="center"/>
          </w:tcPr>
          <w:p w14:paraId="06C9E9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项目实施的实际产出数与计划产出数的比率，用以反映和考核项目产出数量目标的实现程度。</w:t>
            </w:r>
          </w:p>
        </w:tc>
        <w:tc>
          <w:tcPr>
            <w:tcW w:w="7628" w:type="dxa"/>
            <w:shd w:val="clear" w:color="000000" w:fill="FFFFFF"/>
            <w:noWrap w:val="0"/>
            <w:vAlign w:val="center"/>
          </w:tcPr>
          <w:p w14:paraId="233D88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实际完成率=（实际产出数/计划产出数）×100%。</w:t>
            </w:r>
          </w:p>
          <w:p w14:paraId="762521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实际产出数：一定时期（本年度或项目期）内项目实际产出的产品或提供的服务数量。</w:t>
            </w:r>
          </w:p>
          <w:p w14:paraId="017473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计划产出数：项目绩效目标确定的在一定时期（本年度或项目期）内计划产出的产品或提供的服务数量。</w:t>
            </w:r>
          </w:p>
        </w:tc>
        <w:tc>
          <w:tcPr>
            <w:tcW w:w="785" w:type="dxa"/>
            <w:shd w:val="clear" w:color="000000" w:fill="FFFFFF"/>
            <w:noWrap w:val="0"/>
            <w:vAlign w:val="center"/>
          </w:tcPr>
          <w:p w14:paraId="3B8FC3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769" w:type="dxa"/>
            <w:shd w:val="clear" w:color="000000" w:fill="FFFFFF"/>
            <w:noWrap w:val="0"/>
            <w:vAlign w:val="center"/>
          </w:tcPr>
          <w:p w14:paraId="4FBCF5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14:paraId="1DFE5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79" w:hRule="atLeast"/>
          <w:jc w:val="center"/>
        </w:trPr>
        <w:tc>
          <w:tcPr>
            <w:tcW w:w="861" w:type="dxa"/>
            <w:vMerge w:val="continue"/>
            <w:shd w:val="clear" w:color="auto" w:fill="FFFFFF"/>
            <w:noWrap w:val="0"/>
            <w:vAlign w:val="center"/>
          </w:tcPr>
          <w:p w14:paraId="2CAE2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22F44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产出数量</w:t>
            </w:r>
          </w:p>
        </w:tc>
        <w:tc>
          <w:tcPr>
            <w:tcW w:w="1040" w:type="dxa"/>
            <w:shd w:val="clear" w:color="auto" w:fill="FFFFFF"/>
            <w:noWrap w:val="0"/>
            <w:vAlign w:val="center"/>
          </w:tcPr>
          <w:p w14:paraId="5E596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工单处办量</w:t>
            </w:r>
          </w:p>
        </w:tc>
        <w:tc>
          <w:tcPr>
            <w:tcW w:w="2114" w:type="dxa"/>
            <w:shd w:val="clear" w:color="000000" w:fill="FFFFFF"/>
            <w:noWrap w:val="0"/>
            <w:vAlign w:val="center"/>
          </w:tcPr>
          <w:p w14:paraId="1ECD0B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项目实施的实际产出数与计划产出数的比率，用以反映和考核项目产出数量目标的实现程度。</w:t>
            </w:r>
          </w:p>
        </w:tc>
        <w:tc>
          <w:tcPr>
            <w:tcW w:w="7628" w:type="dxa"/>
            <w:shd w:val="clear" w:color="000000" w:fill="FFFFFF"/>
            <w:noWrap w:val="0"/>
            <w:vAlign w:val="center"/>
          </w:tcPr>
          <w:p w14:paraId="09CD13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实际完成率=（实际产出数/计划产出数）×100%。</w:t>
            </w:r>
          </w:p>
          <w:p w14:paraId="36EBC1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实际产出数：一定时期（本年度或项目期）内项目实际产出的产品或提供的服务数量。</w:t>
            </w:r>
          </w:p>
          <w:p w14:paraId="79B1E9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计划产出数：项目绩效目标确定的在一定时期（本年度或项目期）内计划产出的产品或提供的服务数量。</w:t>
            </w:r>
          </w:p>
        </w:tc>
        <w:tc>
          <w:tcPr>
            <w:tcW w:w="785" w:type="dxa"/>
            <w:shd w:val="clear" w:color="000000" w:fill="FFFFFF"/>
            <w:noWrap w:val="0"/>
            <w:vAlign w:val="center"/>
          </w:tcPr>
          <w:p w14:paraId="63F5C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769" w:type="dxa"/>
            <w:shd w:val="clear" w:color="000000" w:fill="FFFFFF"/>
            <w:noWrap w:val="0"/>
            <w:vAlign w:val="center"/>
          </w:tcPr>
          <w:p w14:paraId="3C80D4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14:paraId="0853D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9" w:hRule="atLeast"/>
          <w:jc w:val="center"/>
        </w:trPr>
        <w:tc>
          <w:tcPr>
            <w:tcW w:w="861" w:type="dxa"/>
            <w:vMerge w:val="continue"/>
            <w:shd w:val="clear" w:color="auto" w:fill="FFFFFF"/>
            <w:noWrap w:val="0"/>
            <w:vAlign w:val="center"/>
          </w:tcPr>
          <w:p w14:paraId="194C4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29C19A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产出数量</w:t>
            </w:r>
          </w:p>
        </w:tc>
        <w:tc>
          <w:tcPr>
            <w:tcW w:w="1040" w:type="dxa"/>
            <w:shd w:val="clear" w:color="auto" w:fill="FFFFFF"/>
            <w:noWrap w:val="0"/>
            <w:vAlign w:val="center"/>
          </w:tcPr>
          <w:p w14:paraId="78024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在职人数</w:t>
            </w:r>
          </w:p>
        </w:tc>
        <w:tc>
          <w:tcPr>
            <w:tcW w:w="2114" w:type="dxa"/>
            <w:shd w:val="clear" w:color="000000" w:fill="FFFFFF"/>
            <w:noWrap w:val="0"/>
            <w:vAlign w:val="center"/>
          </w:tcPr>
          <w:p w14:paraId="663D23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项目实施的实际产出数与计划产出数的比率，用以反映和考核项目产出数量目标的实现程度。</w:t>
            </w:r>
          </w:p>
        </w:tc>
        <w:tc>
          <w:tcPr>
            <w:tcW w:w="7628" w:type="dxa"/>
            <w:shd w:val="clear" w:color="000000" w:fill="FFFFFF"/>
            <w:noWrap w:val="0"/>
            <w:vAlign w:val="center"/>
          </w:tcPr>
          <w:p w14:paraId="6C4466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实际完成率=（实际产出数/计划产出数）×100%。</w:t>
            </w:r>
          </w:p>
          <w:p w14:paraId="66006D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实际产出数：一定时期（本年度或项目期）内项目实际产出的产品或提供的服务数量。</w:t>
            </w:r>
          </w:p>
          <w:p w14:paraId="703E14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计划产出数：项目绩效目标确定的在一定时期（本年度或项目期）内计划产出的产品或提供的服务数量。</w:t>
            </w:r>
          </w:p>
        </w:tc>
        <w:tc>
          <w:tcPr>
            <w:tcW w:w="785" w:type="dxa"/>
            <w:shd w:val="clear" w:color="000000" w:fill="FFFFFF"/>
            <w:noWrap w:val="0"/>
            <w:vAlign w:val="center"/>
          </w:tcPr>
          <w:p w14:paraId="3DA7E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769" w:type="dxa"/>
            <w:shd w:val="clear" w:color="000000" w:fill="FFFFFF"/>
            <w:noWrap w:val="0"/>
            <w:vAlign w:val="center"/>
          </w:tcPr>
          <w:p w14:paraId="7EC43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0.95</w:t>
            </w:r>
          </w:p>
        </w:tc>
      </w:tr>
      <w:tr w14:paraId="31783F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16" w:hRule="atLeast"/>
          <w:jc w:val="center"/>
        </w:trPr>
        <w:tc>
          <w:tcPr>
            <w:tcW w:w="861" w:type="dxa"/>
            <w:vMerge w:val="restart"/>
            <w:shd w:val="clear" w:color="auto" w:fill="FFFFFF"/>
            <w:noWrap w:val="0"/>
            <w:vAlign w:val="center"/>
          </w:tcPr>
          <w:p w14:paraId="5EAE8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w:t>
            </w:r>
          </w:p>
        </w:tc>
        <w:tc>
          <w:tcPr>
            <w:tcW w:w="727" w:type="dxa"/>
            <w:shd w:val="clear" w:color="auto" w:fill="FFFFFF"/>
            <w:noWrap w:val="0"/>
            <w:vAlign w:val="center"/>
          </w:tcPr>
          <w:p w14:paraId="5E2BB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产出质量</w:t>
            </w:r>
          </w:p>
        </w:tc>
        <w:tc>
          <w:tcPr>
            <w:tcW w:w="1040" w:type="dxa"/>
            <w:shd w:val="clear" w:color="auto" w:fill="FFFFFF"/>
            <w:noWrap w:val="0"/>
            <w:vAlign w:val="center"/>
          </w:tcPr>
          <w:p w14:paraId="7902B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一体化平台系统故障率</w:t>
            </w:r>
          </w:p>
        </w:tc>
        <w:tc>
          <w:tcPr>
            <w:tcW w:w="2114" w:type="dxa"/>
            <w:shd w:val="clear" w:color="000000" w:fill="FFFFFF"/>
            <w:noWrap w:val="0"/>
            <w:vAlign w:val="center"/>
          </w:tcPr>
          <w:p w14:paraId="1BB010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项目完成的质量达标产出数与实际产出数的比率，用以反映和考核项目产出质量目标的实现程度。</w:t>
            </w:r>
          </w:p>
        </w:tc>
        <w:tc>
          <w:tcPr>
            <w:tcW w:w="7628" w:type="dxa"/>
            <w:shd w:val="clear" w:color="000000" w:fill="FFFFFF"/>
            <w:noWrap w:val="0"/>
            <w:vAlign w:val="center"/>
          </w:tcPr>
          <w:p w14:paraId="113143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质量达标率=（质量达标产出数/实际产出数）×100%。</w:t>
            </w:r>
          </w:p>
          <w:p w14:paraId="6E689F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14:paraId="797FB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769" w:type="dxa"/>
            <w:shd w:val="clear" w:color="000000" w:fill="FFFFFF"/>
            <w:noWrap w:val="0"/>
            <w:vAlign w:val="center"/>
          </w:tcPr>
          <w:p w14:paraId="75A38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r>
      <w:tr w14:paraId="69050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3" w:hRule="atLeast"/>
          <w:jc w:val="center"/>
        </w:trPr>
        <w:tc>
          <w:tcPr>
            <w:tcW w:w="861" w:type="dxa"/>
            <w:vMerge w:val="continue"/>
            <w:shd w:val="clear" w:color="auto" w:fill="FFFFFF"/>
            <w:noWrap w:val="0"/>
            <w:vAlign w:val="center"/>
          </w:tcPr>
          <w:p w14:paraId="62D457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7A685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产出质量</w:t>
            </w:r>
          </w:p>
        </w:tc>
        <w:tc>
          <w:tcPr>
            <w:tcW w:w="1040" w:type="dxa"/>
            <w:shd w:val="clear" w:color="auto" w:fill="FFFFFF"/>
            <w:noWrap w:val="0"/>
            <w:vAlign w:val="center"/>
          </w:tcPr>
          <w:p w14:paraId="1EBDB3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项目验收合格率</w:t>
            </w:r>
          </w:p>
        </w:tc>
        <w:tc>
          <w:tcPr>
            <w:tcW w:w="2114" w:type="dxa"/>
            <w:shd w:val="clear" w:color="000000" w:fill="FFFFFF"/>
            <w:noWrap w:val="0"/>
            <w:vAlign w:val="center"/>
          </w:tcPr>
          <w:p w14:paraId="2A4512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项目完成的质量达标产出数与实际产出数的比率，用以反映和考核项目产出质量目标的实现程度。</w:t>
            </w:r>
          </w:p>
        </w:tc>
        <w:tc>
          <w:tcPr>
            <w:tcW w:w="7628" w:type="dxa"/>
            <w:shd w:val="clear" w:color="000000" w:fill="FFFFFF"/>
            <w:noWrap w:val="0"/>
            <w:vAlign w:val="center"/>
          </w:tcPr>
          <w:p w14:paraId="2059F1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质量达标率=（质量达标产出数/实际产出数）×100%。</w:t>
            </w:r>
          </w:p>
          <w:p w14:paraId="5BD851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14:paraId="099B3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000000" w:fill="FFFFFF"/>
            <w:noWrap w:val="0"/>
            <w:vAlign w:val="center"/>
          </w:tcPr>
          <w:p w14:paraId="4BF9A9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73F86B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4" w:hRule="atLeast"/>
          <w:jc w:val="center"/>
        </w:trPr>
        <w:tc>
          <w:tcPr>
            <w:tcW w:w="861" w:type="dxa"/>
            <w:vMerge w:val="continue"/>
            <w:shd w:val="clear" w:color="auto" w:fill="FFFFFF"/>
            <w:noWrap w:val="0"/>
            <w:vAlign w:val="center"/>
          </w:tcPr>
          <w:p w14:paraId="07478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1C8CA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产出质量</w:t>
            </w:r>
          </w:p>
        </w:tc>
        <w:tc>
          <w:tcPr>
            <w:tcW w:w="1040" w:type="dxa"/>
            <w:shd w:val="clear" w:color="auto" w:fill="FFFFFF"/>
            <w:noWrap w:val="0"/>
            <w:vAlign w:val="center"/>
          </w:tcPr>
          <w:p w14:paraId="452A9B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工单转派准确率</w:t>
            </w:r>
          </w:p>
        </w:tc>
        <w:tc>
          <w:tcPr>
            <w:tcW w:w="2114" w:type="dxa"/>
            <w:shd w:val="clear" w:color="000000" w:fill="FFFFFF"/>
            <w:noWrap w:val="0"/>
            <w:vAlign w:val="center"/>
          </w:tcPr>
          <w:p w14:paraId="4D9060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项目完成的质量达标产出数与实际产出数的比率，用以反映和考核项目产出质量目标的实现程度。</w:t>
            </w:r>
          </w:p>
        </w:tc>
        <w:tc>
          <w:tcPr>
            <w:tcW w:w="7628" w:type="dxa"/>
            <w:shd w:val="clear" w:color="000000" w:fill="FFFFFF"/>
            <w:noWrap w:val="0"/>
            <w:vAlign w:val="center"/>
          </w:tcPr>
          <w:p w14:paraId="0AB562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质量达标率=（质量达标产出数/实际产出数）×100%。</w:t>
            </w:r>
          </w:p>
          <w:p w14:paraId="3E19D0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14:paraId="62ECE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000000" w:fill="FFFFFF"/>
            <w:noWrap w:val="0"/>
            <w:vAlign w:val="center"/>
          </w:tcPr>
          <w:p w14:paraId="55CC7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5706E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2" w:hRule="atLeast"/>
          <w:jc w:val="center"/>
        </w:trPr>
        <w:tc>
          <w:tcPr>
            <w:tcW w:w="861" w:type="dxa"/>
            <w:vMerge w:val="restart"/>
            <w:shd w:val="clear" w:color="auto" w:fill="FFFFFF"/>
            <w:noWrap w:val="0"/>
            <w:vAlign w:val="center"/>
          </w:tcPr>
          <w:p w14:paraId="40186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w:t>
            </w:r>
          </w:p>
        </w:tc>
        <w:tc>
          <w:tcPr>
            <w:tcW w:w="727" w:type="dxa"/>
            <w:shd w:val="clear" w:color="auto" w:fill="FFFFFF"/>
            <w:noWrap w:val="0"/>
            <w:vAlign w:val="center"/>
          </w:tcPr>
          <w:p w14:paraId="2F5399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产出时效</w:t>
            </w:r>
          </w:p>
        </w:tc>
        <w:tc>
          <w:tcPr>
            <w:tcW w:w="1040" w:type="dxa"/>
            <w:shd w:val="clear" w:color="auto" w:fill="FFFFFF"/>
            <w:noWrap w:val="0"/>
            <w:vAlign w:val="center"/>
          </w:tcPr>
          <w:p w14:paraId="52FC9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系统故障修复处理时间</w:t>
            </w:r>
          </w:p>
        </w:tc>
        <w:tc>
          <w:tcPr>
            <w:tcW w:w="2114" w:type="dxa"/>
            <w:shd w:val="clear" w:color="000000" w:fill="FFFFFF"/>
            <w:noWrap w:val="0"/>
            <w:vAlign w:val="center"/>
          </w:tcPr>
          <w:p w14:paraId="781C5E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项目实际完成时间与计划完成时间的比较，用以反映和考核项目产出时效目标的实现程度。</w:t>
            </w:r>
          </w:p>
        </w:tc>
        <w:tc>
          <w:tcPr>
            <w:tcW w:w="7628" w:type="dxa"/>
            <w:shd w:val="clear" w:color="000000" w:fill="FFFFFF"/>
            <w:noWrap w:val="0"/>
            <w:vAlign w:val="center"/>
          </w:tcPr>
          <w:p w14:paraId="2D6C36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实际完成时间：项目实施单位完成该项目实际所耗用的时间。</w:t>
            </w:r>
          </w:p>
          <w:p w14:paraId="461344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计划完成时间：按照项目实施计划或相关规定完成该项目所需的时间。</w:t>
            </w:r>
          </w:p>
        </w:tc>
        <w:tc>
          <w:tcPr>
            <w:tcW w:w="785" w:type="dxa"/>
            <w:shd w:val="clear" w:color="000000" w:fill="FFFFFF"/>
            <w:noWrap w:val="0"/>
            <w:vAlign w:val="center"/>
          </w:tcPr>
          <w:p w14:paraId="3BE471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000000" w:fill="FFFFFF"/>
            <w:noWrap w:val="0"/>
            <w:vAlign w:val="center"/>
          </w:tcPr>
          <w:p w14:paraId="6FE5AF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34FD71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57" w:hRule="atLeast"/>
          <w:jc w:val="center"/>
        </w:trPr>
        <w:tc>
          <w:tcPr>
            <w:tcW w:w="861" w:type="dxa"/>
            <w:vMerge w:val="continue"/>
            <w:shd w:val="clear" w:color="auto" w:fill="FFFFFF"/>
            <w:noWrap w:val="0"/>
            <w:vAlign w:val="center"/>
          </w:tcPr>
          <w:p w14:paraId="6411E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7AFD9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产出时效</w:t>
            </w:r>
          </w:p>
        </w:tc>
        <w:tc>
          <w:tcPr>
            <w:tcW w:w="1040" w:type="dxa"/>
            <w:shd w:val="clear" w:color="auto" w:fill="FFFFFF"/>
            <w:noWrap w:val="0"/>
            <w:vAlign w:val="center"/>
          </w:tcPr>
          <w:p w14:paraId="2B94A4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系统运行响应时间</w:t>
            </w:r>
          </w:p>
        </w:tc>
        <w:tc>
          <w:tcPr>
            <w:tcW w:w="2114" w:type="dxa"/>
            <w:shd w:val="clear" w:color="000000" w:fill="FFFFFF"/>
            <w:noWrap w:val="0"/>
            <w:vAlign w:val="center"/>
          </w:tcPr>
          <w:p w14:paraId="7B0D5C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项目实际完成时间与计划完成时间的比较，用以反映和考核项目产出时效目标的实现程度。</w:t>
            </w:r>
          </w:p>
        </w:tc>
        <w:tc>
          <w:tcPr>
            <w:tcW w:w="7628" w:type="dxa"/>
            <w:shd w:val="clear" w:color="000000" w:fill="FFFFFF"/>
            <w:noWrap w:val="0"/>
            <w:vAlign w:val="center"/>
          </w:tcPr>
          <w:p w14:paraId="024568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实际完成时间：项目实施单位完成该项目实际所耗用的时间。</w:t>
            </w:r>
          </w:p>
          <w:p w14:paraId="03C477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计划完成时间：按照项目实施计划或相关规定完成该项目所需的时间。</w:t>
            </w:r>
          </w:p>
        </w:tc>
        <w:tc>
          <w:tcPr>
            <w:tcW w:w="785" w:type="dxa"/>
            <w:shd w:val="clear" w:color="000000" w:fill="FFFFFF"/>
            <w:noWrap w:val="0"/>
            <w:vAlign w:val="center"/>
          </w:tcPr>
          <w:p w14:paraId="72A95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000000" w:fill="FFFFFF"/>
            <w:noWrap w:val="0"/>
            <w:vAlign w:val="center"/>
          </w:tcPr>
          <w:p w14:paraId="3EBB4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21013A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77" w:hRule="atLeast"/>
          <w:jc w:val="center"/>
        </w:trPr>
        <w:tc>
          <w:tcPr>
            <w:tcW w:w="861" w:type="dxa"/>
            <w:vMerge w:val="continue"/>
            <w:shd w:val="clear" w:color="auto" w:fill="FFFFFF"/>
            <w:noWrap w:val="0"/>
            <w:vAlign w:val="center"/>
          </w:tcPr>
          <w:p w14:paraId="04E83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68288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产出时效</w:t>
            </w:r>
          </w:p>
        </w:tc>
        <w:tc>
          <w:tcPr>
            <w:tcW w:w="1040" w:type="dxa"/>
            <w:shd w:val="clear" w:color="auto" w:fill="FFFFFF"/>
            <w:noWrap w:val="0"/>
            <w:vAlign w:val="center"/>
          </w:tcPr>
          <w:p w14:paraId="690F1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签入及时率</w:t>
            </w:r>
          </w:p>
        </w:tc>
        <w:tc>
          <w:tcPr>
            <w:tcW w:w="2114" w:type="dxa"/>
            <w:shd w:val="clear" w:color="000000" w:fill="FFFFFF"/>
            <w:noWrap w:val="0"/>
            <w:vAlign w:val="center"/>
          </w:tcPr>
          <w:p w14:paraId="5B8E17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项目实际完成时间与计划完成时间的比较，用以反映和考核项目产出时效目标的实现程度。</w:t>
            </w:r>
          </w:p>
        </w:tc>
        <w:tc>
          <w:tcPr>
            <w:tcW w:w="7628" w:type="dxa"/>
            <w:shd w:val="clear" w:color="000000" w:fill="FFFFFF"/>
            <w:noWrap w:val="0"/>
            <w:vAlign w:val="center"/>
          </w:tcPr>
          <w:p w14:paraId="118AD7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实际完成时间：项目实施单位完成该项目实际所耗用的时间。</w:t>
            </w:r>
          </w:p>
          <w:p w14:paraId="1707D2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计划完成时间：按照项目实施计划或相关规定完成该项目所需的时间。</w:t>
            </w:r>
          </w:p>
        </w:tc>
        <w:tc>
          <w:tcPr>
            <w:tcW w:w="785" w:type="dxa"/>
            <w:shd w:val="clear" w:color="000000" w:fill="FFFFFF"/>
            <w:noWrap w:val="0"/>
            <w:vAlign w:val="center"/>
          </w:tcPr>
          <w:p w14:paraId="42918C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000000" w:fill="FFFFFF"/>
            <w:noWrap w:val="0"/>
            <w:vAlign w:val="center"/>
          </w:tcPr>
          <w:p w14:paraId="1E7DF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66805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97" w:hRule="atLeast"/>
          <w:jc w:val="center"/>
        </w:trPr>
        <w:tc>
          <w:tcPr>
            <w:tcW w:w="861" w:type="dxa"/>
            <w:vMerge w:val="restart"/>
            <w:shd w:val="clear" w:color="auto" w:fill="FFFFFF"/>
            <w:noWrap w:val="0"/>
            <w:vAlign w:val="center"/>
          </w:tcPr>
          <w:p w14:paraId="164E0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w:t>
            </w:r>
          </w:p>
        </w:tc>
        <w:tc>
          <w:tcPr>
            <w:tcW w:w="727" w:type="dxa"/>
            <w:shd w:val="clear" w:color="auto" w:fill="FFFFFF"/>
            <w:noWrap w:val="0"/>
            <w:vAlign w:val="center"/>
          </w:tcPr>
          <w:p w14:paraId="2A0FE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产出成本</w:t>
            </w:r>
          </w:p>
        </w:tc>
        <w:tc>
          <w:tcPr>
            <w:tcW w:w="1040" w:type="dxa"/>
            <w:shd w:val="clear" w:color="auto" w:fill="FFFFFF"/>
            <w:noWrap w:val="0"/>
            <w:vAlign w:val="center"/>
          </w:tcPr>
          <w:p w14:paraId="18874C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公共资源交易项目评审、处理质疑、论证等成本</w:t>
            </w:r>
          </w:p>
        </w:tc>
        <w:tc>
          <w:tcPr>
            <w:tcW w:w="2114" w:type="dxa"/>
            <w:shd w:val="clear" w:color="000000" w:fill="FFFFFF"/>
            <w:noWrap w:val="0"/>
            <w:vAlign w:val="center"/>
          </w:tcPr>
          <w:p w14:paraId="7BDCD0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完成项目计划工作目标的实际节约成本与计划成本的比率，用以反映和考核项目的成本节约程度。</w:t>
            </w:r>
          </w:p>
        </w:tc>
        <w:tc>
          <w:tcPr>
            <w:tcW w:w="7628" w:type="dxa"/>
            <w:shd w:val="clear" w:color="000000" w:fill="FFFFFF"/>
            <w:noWrap w:val="0"/>
            <w:vAlign w:val="center"/>
          </w:tcPr>
          <w:p w14:paraId="729891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p w14:paraId="54E84B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成本节约率=[（计划成本-实际成本）/计划成本]×100%。</w:t>
            </w:r>
          </w:p>
          <w:p w14:paraId="5B1BB0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实际成本：项目实施单位如期、保质、保量完成既定工作目标实际所耗费的支出。</w:t>
            </w:r>
          </w:p>
          <w:p w14:paraId="482868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计划成本：项目实施单位为完成工作目标计划安排的支出，一般以项目预算为参考。</w:t>
            </w:r>
          </w:p>
        </w:tc>
        <w:tc>
          <w:tcPr>
            <w:tcW w:w="785" w:type="dxa"/>
            <w:shd w:val="clear" w:color="000000" w:fill="FFFFFF"/>
            <w:noWrap w:val="0"/>
            <w:vAlign w:val="center"/>
          </w:tcPr>
          <w:p w14:paraId="69116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769" w:type="dxa"/>
            <w:shd w:val="clear" w:color="000000" w:fill="FFFFFF"/>
            <w:noWrap w:val="0"/>
            <w:vAlign w:val="center"/>
          </w:tcPr>
          <w:p w14:paraId="633AA8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r>
      <w:tr w14:paraId="2A872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861" w:type="dxa"/>
            <w:vMerge w:val="continue"/>
            <w:shd w:val="clear" w:color="auto" w:fill="FFFFFF"/>
            <w:noWrap w:val="0"/>
            <w:vAlign w:val="center"/>
          </w:tcPr>
          <w:p w14:paraId="552843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2C7FC8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产出成本</w:t>
            </w:r>
          </w:p>
        </w:tc>
        <w:tc>
          <w:tcPr>
            <w:tcW w:w="1040" w:type="dxa"/>
            <w:shd w:val="clear" w:color="auto" w:fill="FFFFFF"/>
            <w:noWrap w:val="0"/>
            <w:vAlign w:val="center"/>
          </w:tcPr>
          <w:p w14:paraId="37ACB2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一体化运行维护成本</w:t>
            </w:r>
          </w:p>
        </w:tc>
        <w:tc>
          <w:tcPr>
            <w:tcW w:w="2114" w:type="dxa"/>
            <w:shd w:val="clear" w:color="000000" w:fill="FFFFFF"/>
            <w:noWrap w:val="0"/>
            <w:vAlign w:val="center"/>
          </w:tcPr>
          <w:p w14:paraId="2CE3E7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完成项目计划工作目标的实际节约成本与计划成本的比率，用以反映和考核项目的成本节约程度。</w:t>
            </w:r>
          </w:p>
        </w:tc>
        <w:tc>
          <w:tcPr>
            <w:tcW w:w="7628" w:type="dxa"/>
            <w:shd w:val="clear" w:color="000000" w:fill="FFFFFF"/>
            <w:noWrap w:val="0"/>
            <w:vAlign w:val="center"/>
          </w:tcPr>
          <w:p w14:paraId="7F9C6E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p w14:paraId="20366E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成本节约率=[（计划成本-实际成本）/计划成本]×100%。</w:t>
            </w:r>
          </w:p>
          <w:p w14:paraId="5BF705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实际成本：项目实施单位如期、保质、保量完成既定工作目标实际所耗费的支出。</w:t>
            </w:r>
          </w:p>
          <w:p w14:paraId="0847B4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计划成本：项目实施单位为完成工作目标计划安排的支出，一般以项目预算为参考。</w:t>
            </w:r>
          </w:p>
        </w:tc>
        <w:tc>
          <w:tcPr>
            <w:tcW w:w="785" w:type="dxa"/>
            <w:shd w:val="clear" w:color="000000" w:fill="FFFFFF"/>
            <w:noWrap w:val="0"/>
            <w:vAlign w:val="center"/>
          </w:tcPr>
          <w:p w14:paraId="15829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769" w:type="dxa"/>
            <w:shd w:val="clear" w:color="000000" w:fill="FFFFFF"/>
            <w:noWrap w:val="0"/>
            <w:vAlign w:val="center"/>
          </w:tcPr>
          <w:p w14:paraId="76AB4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r>
      <w:tr w14:paraId="28C90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8" w:hRule="atLeast"/>
          <w:jc w:val="center"/>
        </w:trPr>
        <w:tc>
          <w:tcPr>
            <w:tcW w:w="861" w:type="dxa"/>
            <w:vMerge w:val="continue"/>
            <w:shd w:val="clear" w:color="auto" w:fill="FFFFFF"/>
            <w:noWrap w:val="0"/>
            <w:vAlign w:val="center"/>
          </w:tcPr>
          <w:p w14:paraId="0398B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shd w:val="clear" w:color="auto" w:fill="FFFFFF"/>
            <w:noWrap w:val="0"/>
            <w:vAlign w:val="center"/>
          </w:tcPr>
          <w:p w14:paraId="6573E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产出成本</w:t>
            </w:r>
          </w:p>
        </w:tc>
        <w:tc>
          <w:tcPr>
            <w:tcW w:w="1040" w:type="dxa"/>
            <w:shd w:val="clear" w:color="auto" w:fill="FFFFFF"/>
            <w:noWrap w:val="0"/>
            <w:vAlign w:val="center"/>
          </w:tcPr>
          <w:p w14:paraId="7E08F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运转保障成本</w:t>
            </w:r>
          </w:p>
        </w:tc>
        <w:tc>
          <w:tcPr>
            <w:tcW w:w="2114" w:type="dxa"/>
            <w:shd w:val="clear" w:color="000000" w:fill="FFFFFF"/>
            <w:noWrap w:val="0"/>
            <w:vAlign w:val="center"/>
          </w:tcPr>
          <w:p w14:paraId="4F6499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完成项目计划工作目标的实际节约成本与计划成本的比率，用以反映和考核项目的成本节约程度。</w:t>
            </w:r>
          </w:p>
        </w:tc>
        <w:tc>
          <w:tcPr>
            <w:tcW w:w="7628" w:type="dxa"/>
            <w:shd w:val="clear" w:color="000000" w:fill="FFFFFF"/>
            <w:noWrap w:val="0"/>
            <w:vAlign w:val="center"/>
          </w:tcPr>
          <w:p w14:paraId="047FE7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p>
          <w:p w14:paraId="2036B1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成本节约率=[（计划成本-实际成本）/计划成本]×100%。</w:t>
            </w:r>
          </w:p>
          <w:p w14:paraId="2C132B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实际成本：项目实施单位如期、保质、保量完成既定工作目标实际所耗费的支出。</w:t>
            </w:r>
          </w:p>
          <w:p w14:paraId="579B34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计划成本：项目实施单位为完成工作目标计划安排的支出，一般以项目预算为参考。</w:t>
            </w:r>
          </w:p>
        </w:tc>
        <w:tc>
          <w:tcPr>
            <w:tcW w:w="785" w:type="dxa"/>
            <w:shd w:val="clear" w:color="000000" w:fill="FFFFFF"/>
            <w:noWrap w:val="0"/>
            <w:vAlign w:val="center"/>
          </w:tcPr>
          <w:p w14:paraId="1E542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769" w:type="dxa"/>
            <w:shd w:val="clear" w:color="000000" w:fill="FFFFFF"/>
            <w:noWrap w:val="0"/>
            <w:vAlign w:val="center"/>
          </w:tcPr>
          <w:p w14:paraId="58121A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r>
      <w:tr w14:paraId="10D72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46" w:hRule="atLeast"/>
          <w:jc w:val="center"/>
        </w:trPr>
        <w:tc>
          <w:tcPr>
            <w:tcW w:w="861" w:type="dxa"/>
            <w:vMerge w:val="restart"/>
            <w:shd w:val="clear" w:color="auto" w:fill="FFFFFF"/>
            <w:noWrap w:val="0"/>
            <w:vAlign w:val="center"/>
          </w:tcPr>
          <w:p w14:paraId="003E2B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　</w:t>
            </w:r>
          </w:p>
        </w:tc>
        <w:tc>
          <w:tcPr>
            <w:tcW w:w="727" w:type="dxa"/>
            <w:vMerge w:val="restart"/>
            <w:shd w:val="clear" w:color="auto" w:fill="FFFFFF"/>
            <w:noWrap w:val="0"/>
            <w:vAlign w:val="center"/>
          </w:tcPr>
          <w:p w14:paraId="242526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　</w:t>
            </w:r>
          </w:p>
        </w:tc>
        <w:tc>
          <w:tcPr>
            <w:tcW w:w="1040" w:type="dxa"/>
            <w:shd w:val="clear" w:color="auto" w:fill="FFFFFF"/>
            <w:noWrap w:val="0"/>
            <w:vAlign w:val="center"/>
          </w:tcPr>
          <w:p w14:paraId="3393AC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政务服务水平</w:t>
            </w:r>
          </w:p>
        </w:tc>
        <w:tc>
          <w:tcPr>
            <w:tcW w:w="2114" w:type="dxa"/>
            <w:shd w:val="clear" w:color="auto" w:fill="FFFFFF"/>
            <w:noWrap w:val="0"/>
            <w:vAlign w:val="center"/>
          </w:tcPr>
          <w:p w14:paraId="6E9312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项目实施所产生的效益。</w:t>
            </w:r>
          </w:p>
        </w:tc>
        <w:tc>
          <w:tcPr>
            <w:tcW w:w="7628" w:type="dxa"/>
            <w:shd w:val="clear" w:color="auto" w:fill="FFFFFF"/>
            <w:noWrap w:val="0"/>
            <w:vAlign w:val="center"/>
          </w:tcPr>
          <w:p w14:paraId="20D4A1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项目实施所产生的社会效益、经济效益、生态效益、可持续影响等。可根据项目实际情况有选择地设置和细化。</w:t>
            </w:r>
          </w:p>
        </w:tc>
        <w:tc>
          <w:tcPr>
            <w:tcW w:w="785" w:type="dxa"/>
            <w:shd w:val="clear" w:color="auto" w:fill="FFFFFF"/>
            <w:noWrap w:val="0"/>
            <w:vAlign w:val="center"/>
          </w:tcPr>
          <w:p w14:paraId="7B9C2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69" w:type="dxa"/>
            <w:shd w:val="clear" w:color="auto" w:fill="FFFFFF"/>
            <w:noWrap w:val="0"/>
            <w:vAlign w:val="center"/>
          </w:tcPr>
          <w:p w14:paraId="69F175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r>
      <w:tr w14:paraId="3E64A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78" w:hRule="atLeast"/>
          <w:jc w:val="center"/>
        </w:trPr>
        <w:tc>
          <w:tcPr>
            <w:tcW w:w="861" w:type="dxa"/>
            <w:vMerge w:val="continue"/>
            <w:shd w:val="clear" w:color="auto" w:fill="FFFFFF"/>
            <w:noWrap w:val="0"/>
            <w:vAlign w:val="center"/>
          </w:tcPr>
          <w:p w14:paraId="7AE77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continue"/>
            <w:shd w:val="clear" w:color="auto" w:fill="FFFFFF"/>
            <w:noWrap w:val="0"/>
            <w:vAlign w:val="center"/>
          </w:tcPr>
          <w:p w14:paraId="19314D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40" w:type="dxa"/>
            <w:shd w:val="clear" w:color="auto" w:fill="FFFFFF"/>
            <w:noWrap w:val="0"/>
            <w:vAlign w:val="center"/>
          </w:tcPr>
          <w:p w14:paraId="488B3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公共资源交易服务水平</w:t>
            </w:r>
          </w:p>
        </w:tc>
        <w:tc>
          <w:tcPr>
            <w:tcW w:w="2114" w:type="dxa"/>
            <w:shd w:val="clear" w:color="auto" w:fill="FFFFFF"/>
            <w:noWrap w:val="0"/>
            <w:vAlign w:val="center"/>
          </w:tcPr>
          <w:p w14:paraId="075959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项目实施所产生的效益。</w:t>
            </w:r>
          </w:p>
        </w:tc>
        <w:tc>
          <w:tcPr>
            <w:tcW w:w="7628" w:type="dxa"/>
            <w:shd w:val="clear" w:color="auto" w:fill="FFFFFF"/>
            <w:noWrap w:val="0"/>
            <w:vAlign w:val="center"/>
          </w:tcPr>
          <w:p w14:paraId="11D326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项目实施所产生的社会效益、经济效益、生态效益、可持续影响等。可根据项目实际情况有选择地设置和细化。</w:t>
            </w:r>
          </w:p>
        </w:tc>
        <w:tc>
          <w:tcPr>
            <w:tcW w:w="785" w:type="dxa"/>
            <w:shd w:val="clear" w:color="auto" w:fill="FFFFFF"/>
            <w:noWrap w:val="0"/>
            <w:vAlign w:val="center"/>
          </w:tcPr>
          <w:p w14:paraId="27D07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69" w:type="dxa"/>
            <w:shd w:val="clear" w:color="auto" w:fill="FFFFFF"/>
            <w:noWrap w:val="0"/>
            <w:vAlign w:val="center"/>
          </w:tcPr>
          <w:p w14:paraId="3BD9C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r>
      <w:tr w14:paraId="6675E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51" w:hRule="atLeast"/>
          <w:jc w:val="center"/>
        </w:trPr>
        <w:tc>
          <w:tcPr>
            <w:tcW w:w="861" w:type="dxa"/>
            <w:vMerge w:val="continue"/>
            <w:shd w:val="clear" w:color="auto" w:fill="FFFFFF"/>
            <w:noWrap w:val="0"/>
            <w:vAlign w:val="center"/>
          </w:tcPr>
          <w:p w14:paraId="5D9B35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continue"/>
            <w:shd w:val="clear" w:color="auto" w:fill="FFFFFF"/>
            <w:noWrap w:val="0"/>
            <w:vAlign w:val="center"/>
          </w:tcPr>
          <w:p w14:paraId="7DBCA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40" w:type="dxa"/>
            <w:shd w:val="clear" w:color="auto" w:fill="FFFFFF"/>
            <w:noWrap w:val="0"/>
            <w:vAlign w:val="center"/>
          </w:tcPr>
          <w:p w14:paraId="596F77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工单处办满意率</w:t>
            </w:r>
          </w:p>
        </w:tc>
        <w:tc>
          <w:tcPr>
            <w:tcW w:w="2114" w:type="dxa"/>
            <w:shd w:val="clear" w:color="auto" w:fill="FFFFFF"/>
            <w:noWrap w:val="0"/>
            <w:vAlign w:val="center"/>
          </w:tcPr>
          <w:p w14:paraId="5BFFEF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项目实施所产生的效益。</w:t>
            </w:r>
          </w:p>
        </w:tc>
        <w:tc>
          <w:tcPr>
            <w:tcW w:w="7628" w:type="dxa"/>
            <w:shd w:val="clear" w:color="auto" w:fill="FFFFFF"/>
            <w:noWrap w:val="0"/>
            <w:vAlign w:val="center"/>
          </w:tcPr>
          <w:p w14:paraId="6E8963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项目实施所产生的社会效益、经济效益、生态效益、可持续影响等。可根据项目实际情况有选择地设置和细化。</w:t>
            </w:r>
          </w:p>
        </w:tc>
        <w:tc>
          <w:tcPr>
            <w:tcW w:w="785" w:type="dxa"/>
            <w:shd w:val="clear" w:color="auto" w:fill="FFFFFF"/>
            <w:noWrap w:val="0"/>
            <w:vAlign w:val="center"/>
          </w:tcPr>
          <w:p w14:paraId="6C242F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69" w:type="dxa"/>
            <w:shd w:val="clear" w:color="auto" w:fill="FFFFFF"/>
            <w:noWrap w:val="0"/>
            <w:vAlign w:val="center"/>
          </w:tcPr>
          <w:p w14:paraId="7B80E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r>
      <w:tr w14:paraId="51037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19" w:hRule="atLeast"/>
          <w:jc w:val="center"/>
        </w:trPr>
        <w:tc>
          <w:tcPr>
            <w:tcW w:w="861" w:type="dxa"/>
            <w:vMerge w:val="continue"/>
            <w:shd w:val="clear" w:color="auto" w:fill="FFFFFF"/>
            <w:noWrap w:val="0"/>
            <w:vAlign w:val="center"/>
          </w:tcPr>
          <w:p w14:paraId="5C2642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restart"/>
            <w:shd w:val="clear" w:color="auto" w:fill="FFFFFF"/>
            <w:noWrap w:val="0"/>
            <w:vAlign w:val="center"/>
          </w:tcPr>
          <w:p w14:paraId="20C6DC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w:t>
            </w:r>
          </w:p>
        </w:tc>
        <w:tc>
          <w:tcPr>
            <w:tcW w:w="1040" w:type="dxa"/>
            <w:shd w:val="clear" w:color="auto" w:fill="FFFFFF"/>
            <w:noWrap w:val="0"/>
            <w:vAlign w:val="center"/>
          </w:tcPr>
          <w:p w14:paraId="765D97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办事人员满意度</w:t>
            </w:r>
          </w:p>
        </w:tc>
        <w:tc>
          <w:tcPr>
            <w:tcW w:w="2114" w:type="dxa"/>
            <w:shd w:val="clear" w:color="auto" w:fill="FFFFFF"/>
            <w:noWrap w:val="0"/>
            <w:vAlign w:val="center"/>
          </w:tcPr>
          <w:p w14:paraId="58CB8D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社会公众或服务对象对项目实施效果的满意程度。</w:t>
            </w:r>
          </w:p>
        </w:tc>
        <w:tc>
          <w:tcPr>
            <w:tcW w:w="7628" w:type="dxa"/>
            <w:shd w:val="clear" w:color="auto" w:fill="FFFFFF"/>
            <w:noWrap w:val="0"/>
            <w:vAlign w:val="center"/>
          </w:tcPr>
          <w:p w14:paraId="51E9F8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社会公众或服务对象是指因该项目实施而受到影响的部门（单位）、群体或个人。一般采取社会调查的方式。</w:t>
            </w:r>
          </w:p>
        </w:tc>
        <w:tc>
          <w:tcPr>
            <w:tcW w:w="785" w:type="dxa"/>
            <w:shd w:val="clear" w:color="auto" w:fill="FFFFFF"/>
            <w:noWrap w:val="0"/>
            <w:vAlign w:val="center"/>
          </w:tcPr>
          <w:p w14:paraId="4A4859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69" w:type="dxa"/>
            <w:shd w:val="clear" w:color="auto" w:fill="FFFFFF"/>
            <w:noWrap w:val="0"/>
            <w:vAlign w:val="center"/>
          </w:tcPr>
          <w:p w14:paraId="54BEC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r>
      <w:tr w14:paraId="325CAA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54" w:hRule="atLeast"/>
          <w:jc w:val="center"/>
        </w:trPr>
        <w:tc>
          <w:tcPr>
            <w:tcW w:w="861" w:type="dxa"/>
            <w:vMerge w:val="continue"/>
            <w:shd w:val="clear" w:color="auto" w:fill="FFFFFF"/>
            <w:noWrap w:val="0"/>
            <w:vAlign w:val="center"/>
          </w:tcPr>
          <w:p w14:paraId="45856F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27" w:type="dxa"/>
            <w:vMerge w:val="continue"/>
            <w:shd w:val="clear" w:color="auto" w:fill="FFFFFF"/>
            <w:noWrap w:val="0"/>
            <w:vAlign w:val="center"/>
          </w:tcPr>
          <w:p w14:paraId="251782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40" w:type="dxa"/>
            <w:shd w:val="clear" w:color="auto" w:fill="FFFFFF"/>
            <w:noWrap w:val="0"/>
            <w:vAlign w:val="center"/>
          </w:tcPr>
          <w:p w14:paraId="79F8E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工作人员满意度</w:t>
            </w:r>
          </w:p>
        </w:tc>
        <w:tc>
          <w:tcPr>
            <w:tcW w:w="2114" w:type="dxa"/>
            <w:shd w:val="clear" w:color="000000" w:fill="FFFFFF"/>
            <w:noWrap w:val="0"/>
            <w:vAlign w:val="center"/>
          </w:tcPr>
          <w:p w14:paraId="216E6F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社会公众或服务对象对项目实施效果的满意程度。</w:t>
            </w:r>
          </w:p>
        </w:tc>
        <w:tc>
          <w:tcPr>
            <w:tcW w:w="7628" w:type="dxa"/>
            <w:shd w:val="clear" w:color="000000" w:fill="FFFFFF"/>
            <w:noWrap w:val="0"/>
            <w:vAlign w:val="center"/>
          </w:tcPr>
          <w:p w14:paraId="2E0166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社会公众或服务对象是指因该项目实施而受到影响的部门（单位）、群体或个人。一般采取社会调查的方式。</w:t>
            </w:r>
          </w:p>
        </w:tc>
        <w:tc>
          <w:tcPr>
            <w:tcW w:w="785" w:type="dxa"/>
            <w:shd w:val="clear" w:color="000000" w:fill="FFFFFF"/>
            <w:noWrap w:val="0"/>
            <w:vAlign w:val="center"/>
          </w:tcPr>
          <w:p w14:paraId="6BFE88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69" w:type="dxa"/>
            <w:shd w:val="clear" w:color="000000" w:fill="FFFFFF"/>
            <w:noWrap w:val="0"/>
            <w:vAlign w:val="center"/>
          </w:tcPr>
          <w:p w14:paraId="7E48A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r>
      <w:tr w14:paraId="1B49A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4" w:hRule="atLeast"/>
          <w:jc w:val="center"/>
        </w:trPr>
        <w:tc>
          <w:tcPr>
            <w:tcW w:w="4742" w:type="dxa"/>
            <w:gridSpan w:val="4"/>
            <w:shd w:val="clear" w:color="auto" w:fill="FFFFFF"/>
            <w:noWrap w:val="0"/>
            <w:vAlign w:val="center"/>
          </w:tcPr>
          <w:p w14:paraId="17713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7628" w:type="dxa"/>
            <w:shd w:val="clear" w:color="000000" w:fill="FFFFFF"/>
            <w:noWrap w:val="0"/>
            <w:vAlign w:val="center"/>
          </w:tcPr>
          <w:p w14:paraId="5DB6F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5" w:type="dxa"/>
            <w:shd w:val="clear" w:color="000000" w:fill="FFFFFF"/>
            <w:noWrap w:val="0"/>
            <w:vAlign w:val="center"/>
          </w:tcPr>
          <w:p w14:paraId="1786E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769" w:type="dxa"/>
            <w:shd w:val="clear" w:color="000000" w:fill="FFFFFF"/>
            <w:noWrap w:val="0"/>
            <w:vAlign w:val="center"/>
          </w:tcPr>
          <w:p w14:paraId="3BD1C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99.41</w:t>
            </w:r>
          </w:p>
        </w:tc>
      </w:tr>
    </w:tbl>
    <w:p w14:paraId="41E5EF7F">
      <w:pPr>
        <w:bidi w:val="0"/>
        <w:jc w:val="left"/>
        <w:rPr>
          <w:rFonts w:hint="eastAsia"/>
          <w:lang w:val="en-US" w:eastAsia="zh-CN"/>
        </w:rPr>
      </w:pPr>
    </w:p>
    <w:sectPr>
      <w:pgSz w:w="16838" w:h="11906" w:orient="landscape"/>
      <w:pgMar w:top="1531" w:right="1928" w:bottom="1531" w:left="1701"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85D43B6-7A40-4695-8B80-C4D7DAAF1611}"/>
  </w:font>
  <w:font w:name="黑体">
    <w:panose1 w:val="02010609060101010101"/>
    <w:charset w:val="86"/>
    <w:family w:val="auto"/>
    <w:pitch w:val="default"/>
    <w:sig w:usb0="800002BF" w:usb1="38CF7CFA" w:usb2="00000016" w:usb3="00000000" w:csb0="00040001" w:csb1="00000000"/>
    <w:embedRegular r:id="rId2" w:fontKey="{8552C388-6707-49A4-9E37-418F966CAC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CCC915F1-2342-41B0-AC69-757EF7258E6E}"/>
  </w:font>
  <w:font w:name="MS Sans Serif">
    <w:altName w:val="Arial"/>
    <w:panose1 w:val="00000000000000000000"/>
    <w:charset w:val="00"/>
    <w:family w:val="swiss"/>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embedRegular r:id="rId4" w:fontKey="{23149D53-0B19-4DC6-979A-F08C242A606C}"/>
  </w:font>
  <w:font w:name="楷体_GB2312">
    <w:panose1 w:val="02010609030101010101"/>
    <w:charset w:val="86"/>
    <w:family w:val="auto"/>
    <w:pitch w:val="default"/>
    <w:sig w:usb0="00000001" w:usb1="080E0000" w:usb2="00000000" w:usb3="00000000" w:csb0="00040000" w:csb1="00000000"/>
    <w:embedRegular r:id="rId5" w:fontKey="{2378F203-CBC4-411D-9708-F8BCB0C71B87}"/>
  </w:font>
  <w:font w:name="仿宋">
    <w:panose1 w:val="02010609060101010101"/>
    <w:charset w:val="86"/>
    <w:family w:val="auto"/>
    <w:pitch w:val="default"/>
    <w:sig w:usb0="800002BF" w:usb1="38CF7CFA" w:usb2="00000016" w:usb3="00000000" w:csb0="00040001" w:csb1="00000000"/>
    <w:embedRegular r:id="rId6" w:fontKey="{BFC159A5-1470-4125-9FEE-3F7790D3E134}"/>
  </w:font>
  <w:font w:name="仿宋GB2312">
    <w:altName w:val="仿宋"/>
    <w:panose1 w:val="00000000000000000000"/>
    <w:charset w:val="00"/>
    <w:family w:val="auto"/>
    <w:pitch w:val="default"/>
    <w:sig w:usb0="00000000" w:usb1="00000000" w:usb2="00000000" w:usb3="00000000" w:csb0="00000000" w:csb1="00000000"/>
    <w:embedRegular r:id="rId7" w:fontKey="{E7EB4CF5-EEF0-4ECB-B421-5C7DB819CC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82C5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B7BF9F">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B7BF9F">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0ZDM1MWZkNDJjMjBhMzFkZGY3NTNlOTkyNmNjMTIifQ=="/>
  </w:docVars>
  <w:rsids>
    <w:rsidRoot w:val="00000000"/>
    <w:rsid w:val="00225378"/>
    <w:rsid w:val="026C306B"/>
    <w:rsid w:val="02A76009"/>
    <w:rsid w:val="04350214"/>
    <w:rsid w:val="050D6676"/>
    <w:rsid w:val="058524EE"/>
    <w:rsid w:val="068E19BA"/>
    <w:rsid w:val="06FD4082"/>
    <w:rsid w:val="0AD61B81"/>
    <w:rsid w:val="0B1F52D6"/>
    <w:rsid w:val="0C177D5B"/>
    <w:rsid w:val="0C3365FC"/>
    <w:rsid w:val="0CE42333"/>
    <w:rsid w:val="113B44EC"/>
    <w:rsid w:val="11B53CEA"/>
    <w:rsid w:val="122B5680"/>
    <w:rsid w:val="12580659"/>
    <w:rsid w:val="12CA5B28"/>
    <w:rsid w:val="132310AD"/>
    <w:rsid w:val="16257519"/>
    <w:rsid w:val="16AA639C"/>
    <w:rsid w:val="18720B15"/>
    <w:rsid w:val="18864F5E"/>
    <w:rsid w:val="1BAF1D5E"/>
    <w:rsid w:val="1C9020E0"/>
    <w:rsid w:val="1CD203FA"/>
    <w:rsid w:val="1CD8447D"/>
    <w:rsid w:val="1D4D7A81"/>
    <w:rsid w:val="1DD51824"/>
    <w:rsid w:val="1F0B55D3"/>
    <w:rsid w:val="204B5C09"/>
    <w:rsid w:val="20E72438"/>
    <w:rsid w:val="213A656E"/>
    <w:rsid w:val="22364F87"/>
    <w:rsid w:val="22AF50D4"/>
    <w:rsid w:val="233B416C"/>
    <w:rsid w:val="233B7CEF"/>
    <w:rsid w:val="254A580C"/>
    <w:rsid w:val="25647557"/>
    <w:rsid w:val="25FE5D20"/>
    <w:rsid w:val="276E04CD"/>
    <w:rsid w:val="2A0449B8"/>
    <w:rsid w:val="2A693A20"/>
    <w:rsid w:val="2AC33130"/>
    <w:rsid w:val="2AEC2593"/>
    <w:rsid w:val="2B9B40AD"/>
    <w:rsid w:val="2E19750B"/>
    <w:rsid w:val="2E2F401A"/>
    <w:rsid w:val="2EA63CDD"/>
    <w:rsid w:val="2EEA15D4"/>
    <w:rsid w:val="2FDB716E"/>
    <w:rsid w:val="308C4B39"/>
    <w:rsid w:val="309335A5"/>
    <w:rsid w:val="312F7772"/>
    <w:rsid w:val="316D49B4"/>
    <w:rsid w:val="31BE499F"/>
    <w:rsid w:val="32171FB4"/>
    <w:rsid w:val="3358347F"/>
    <w:rsid w:val="337B4EF0"/>
    <w:rsid w:val="339A10EE"/>
    <w:rsid w:val="33B42BA9"/>
    <w:rsid w:val="33BA611E"/>
    <w:rsid w:val="343706EB"/>
    <w:rsid w:val="34394463"/>
    <w:rsid w:val="346040E6"/>
    <w:rsid w:val="34AF2977"/>
    <w:rsid w:val="354B6B44"/>
    <w:rsid w:val="357065AB"/>
    <w:rsid w:val="3580405D"/>
    <w:rsid w:val="36910084"/>
    <w:rsid w:val="376D0FF4"/>
    <w:rsid w:val="37D4129E"/>
    <w:rsid w:val="381B5852"/>
    <w:rsid w:val="385C6979"/>
    <w:rsid w:val="394343D4"/>
    <w:rsid w:val="39472CE8"/>
    <w:rsid w:val="3AD9074E"/>
    <w:rsid w:val="3BBA2067"/>
    <w:rsid w:val="3C3C75BC"/>
    <w:rsid w:val="3E1746ED"/>
    <w:rsid w:val="3E502AD5"/>
    <w:rsid w:val="3F1B30E3"/>
    <w:rsid w:val="42953E40"/>
    <w:rsid w:val="42C461EC"/>
    <w:rsid w:val="45695515"/>
    <w:rsid w:val="45EC0627"/>
    <w:rsid w:val="45F11042"/>
    <w:rsid w:val="46DD6986"/>
    <w:rsid w:val="4858577B"/>
    <w:rsid w:val="48F30C2D"/>
    <w:rsid w:val="493C6A78"/>
    <w:rsid w:val="4A111CB3"/>
    <w:rsid w:val="4A1277D9"/>
    <w:rsid w:val="4AAE05A1"/>
    <w:rsid w:val="4AC24D5B"/>
    <w:rsid w:val="4CCE1944"/>
    <w:rsid w:val="4CF338F1"/>
    <w:rsid w:val="4D0F7FFF"/>
    <w:rsid w:val="4E656129"/>
    <w:rsid w:val="4F7F146C"/>
    <w:rsid w:val="4FDE2B35"/>
    <w:rsid w:val="51167BAE"/>
    <w:rsid w:val="512E314A"/>
    <w:rsid w:val="526D7CA2"/>
    <w:rsid w:val="52770B21"/>
    <w:rsid w:val="53F71282"/>
    <w:rsid w:val="54332825"/>
    <w:rsid w:val="553C5E9D"/>
    <w:rsid w:val="55524F2D"/>
    <w:rsid w:val="55AD72C6"/>
    <w:rsid w:val="55BD1A84"/>
    <w:rsid w:val="56AF6ADB"/>
    <w:rsid w:val="574E4E3F"/>
    <w:rsid w:val="5940345B"/>
    <w:rsid w:val="595B0854"/>
    <w:rsid w:val="5A8042EB"/>
    <w:rsid w:val="5B751975"/>
    <w:rsid w:val="5FC5492B"/>
    <w:rsid w:val="606E3D0C"/>
    <w:rsid w:val="60F81FF1"/>
    <w:rsid w:val="642A59F3"/>
    <w:rsid w:val="649317EA"/>
    <w:rsid w:val="65444892"/>
    <w:rsid w:val="67F927A9"/>
    <w:rsid w:val="688E7948"/>
    <w:rsid w:val="68A51AEC"/>
    <w:rsid w:val="690F6F65"/>
    <w:rsid w:val="6A951B5A"/>
    <w:rsid w:val="6AA23894"/>
    <w:rsid w:val="6B6C68F1"/>
    <w:rsid w:val="6D605FE2"/>
    <w:rsid w:val="6E057091"/>
    <w:rsid w:val="6E4E7F5D"/>
    <w:rsid w:val="71285068"/>
    <w:rsid w:val="71CA79EE"/>
    <w:rsid w:val="73920EBF"/>
    <w:rsid w:val="76285B0A"/>
    <w:rsid w:val="77FA7033"/>
    <w:rsid w:val="7C18217D"/>
    <w:rsid w:val="7ECA3C03"/>
    <w:rsid w:val="7ECA59B1"/>
    <w:rsid w:val="7F84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autoRedefine/>
    <w:qFormat/>
    <w:uiPriority w:val="0"/>
    <w:pPr>
      <w:keepNext/>
      <w:keepLines/>
      <w:spacing w:before="260" w:after="260" w:line="416" w:lineRule="auto"/>
      <w:jc w:val="center"/>
      <w:outlineLvl w:val="1"/>
    </w:pPr>
    <w:rPr>
      <w:rFonts w:ascii="Arial" w:hAnsi="Arial"/>
      <w:b/>
      <w:bCs/>
      <w:sz w:val="24"/>
      <w:szCs w:val="32"/>
    </w:rPr>
  </w:style>
  <w:style w:type="paragraph" w:styleId="2">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index 6"/>
    <w:basedOn w:val="1"/>
    <w:next w:val="1"/>
    <w:autoRedefine/>
    <w:qFormat/>
    <w:uiPriority w:val="0"/>
    <w:pPr>
      <w:widowControl w:val="0"/>
      <w:ind w:firstLine="840"/>
      <w:jc w:val="both"/>
    </w:pPr>
    <w:rPr>
      <w:rFonts w:ascii="Calibri" w:hAnsi="Calibri" w:eastAsia="宋体" w:cs="Arial"/>
      <w:kern w:val="2"/>
      <w:sz w:val="21"/>
      <w:szCs w:val="24"/>
      <w:lang w:val="en-US" w:eastAsia="zh-CN" w:bidi="ar-SA"/>
    </w:rPr>
  </w:style>
  <w:style w:type="paragraph" w:styleId="7">
    <w:name w:val="Body Text"/>
    <w:basedOn w:val="1"/>
    <w:next w:val="1"/>
    <w:autoRedefine/>
    <w:qFormat/>
    <w:uiPriority w:val="0"/>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39"/>
    <w:rPr>
      <w:rFonts w:ascii="Times New Roman" w:hAnsi="Times New Roman" w:cs="Times New Roman"/>
      <w:szCs w:val="24"/>
    </w:rPr>
  </w:style>
  <w:style w:type="paragraph" w:styleId="11">
    <w:name w:val="toc 2"/>
    <w:basedOn w:val="1"/>
    <w:next w:val="1"/>
    <w:autoRedefine/>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4">
    <w:name w:val="Body Text First Indent"/>
    <w:basedOn w:val="7"/>
    <w:next w:val="6"/>
    <w:autoRedefine/>
    <w:qFormat/>
    <w:uiPriority w:val="0"/>
    <w:pPr>
      <w:spacing w:after="0"/>
      <w:ind w:firstLine="20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19940</Words>
  <Characters>21385</Characters>
  <Lines>0</Lines>
  <Paragraphs>0</Paragraphs>
  <TotalTime>61</TotalTime>
  <ScaleCrop>false</ScaleCrop>
  <LinksUpToDate>false</LinksUpToDate>
  <CharactersWithSpaces>21439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李琳</cp:lastModifiedBy>
  <cp:lastPrinted>2024-03-04T11:32:00Z</cp:lastPrinted>
  <dcterms:modified xsi:type="dcterms:W3CDTF">2024-08-28T10:46:06Z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567D0E0FBDDB4FB9BADF263255DD519F_13</vt:lpwstr>
  </property>
</Properties>
</file>