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38" w:type="dxa"/>
        <w:jc w:val="center"/>
        <w:tblLayout w:type="fixed"/>
        <w:tblLook w:val="04A0" w:firstRow="1" w:lastRow="0" w:firstColumn="1" w:lastColumn="0" w:noHBand="0" w:noVBand="1"/>
      </w:tblPr>
      <w:tblGrid>
        <w:gridCol w:w="604"/>
        <w:gridCol w:w="1008"/>
        <w:gridCol w:w="1143"/>
        <w:gridCol w:w="751"/>
        <w:gridCol w:w="1166"/>
        <w:gridCol w:w="245"/>
        <w:gridCol w:w="922"/>
        <w:gridCol w:w="875"/>
        <w:gridCol w:w="291"/>
        <w:gridCol w:w="292"/>
        <w:gridCol w:w="437"/>
        <w:gridCol w:w="295"/>
        <w:gridCol w:w="580"/>
        <w:gridCol w:w="729"/>
      </w:tblGrid>
      <w:tr w:rsidR="00AC138C" w:rsidTr="00666C0E">
        <w:trPr>
          <w:trHeight w:hRule="exact" w:val="580"/>
          <w:jc w:val="center"/>
        </w:trPr>
        <w:tc>
          <w:tcPr>
            <w:tcW w:w="9338" w:type="dxa"/>
            <w:gridSpan w:val="14"/>
            <w:tcBorders>
              <w:top w:val="nil"/>
              <w:left w:val="nil"/>
              <w:bottom w:val="nil"/>
              <w:right w:val="nil"/>
            </w:tcBorders>
            <w:vAlign w:val="center"/>
          </w:tcPr>
          <w:p w:rsidR="00AC138C" w:rsidRDefault="00B47BA6">
            <w:pPr>
              <w:widowControl/>
              <w:spacing w:line="320" w:lineRule="exact"/>
              <w:jc w:val="left"/>
              <w:rPr>
                <w:rFonts w:ascii="宋体" w:eastAsia="宋体" w:hAnsi="宋体" w:cs="宋体"/>
                <w:b/>
                <w:bCs/>
                <w:kern w:val="0"/>
                <w:sz w:val="32"/>
                <w:szCs w:val="32"/>
              </w:rPr>
            </w:pPr>
            <w:r>
              <w:rPr>
                <w:rFonts w:ascii="黑体" w:eastAsia="黑体" w:hAnsi="黑体" w:cs="黑体" w:hint="eastAsia"/>
                <w:kern w:val="0"/>
                <w:sz w:val="24"/>
              </w:rPr>
              <w:t>附件</w:t>
            </w:r>
            <w:r>
              <w:rPr>
                <w:rFonts w:ascii="黑体" w:eastAsia="黑体" w:hAnsi="黑体" w:cs="黑体" w:hint="eastAsia"/>
                <w:kern w:val="0"/>
                <w:sz w:val="24"/>
              </w:rPr>
              <w:t>4</w:t>
            </w:r>
            <w:r>
              <w:rPr>
                <w:rFonts w:ascii="黑体" w:eastAsia="黑体" w:hAnsi="黑体" w:cs="黑体" w:hint="eastAsia"/>
                <w:kern w:val="0"/>
                <w:sz w:val="24"/>
              </w:rPr>
              <w:t>：</w:t>
            </w:r>
          </w:p>
        </w:tc>
      </w:tr>
      <w:tr w:rsidR="00AC138C" w:rsidTr="00666C0E">
        <w:trPr>
          <w:trHeight w:hRule="exact" w:val="580"/>
          <w:jc w:val="center"/>
        </w:trPr>
        <w:tc>
          <w:tcPr>
            <w:tcW w:w="9338" w:type="dxa"/>
            <w:gridSpan w:val="14"/>
            <w:tcBorders>
              <w:top w:val="nil"/>
              <w:left w:val="nil"/>
              <w:bottom w:val="nil"/>
              <w:right w:val="nil"/>
            </w:tcBorders>
            <w:vAlign w:val="center"/>
          </w:tcPr>
          <w:p w:rsidR="00AC138C" w:rsidRDefault="00B47BA6">
            <w:pPr>
              <w:widowControl/>
              <w:spacing w:line="320" w:lineRule="exact"/>
              <w:jc w:val="center"/>
              <w:rPr>
                <w:rFonts w:ascii="宋体" w:eastAsia="宋体" w:hAnsi="宋体" w:cs="宋体"/>
                <w:b/>
                <w:bCs/>
                <w:kern w:val="0"/>
                <w:sz w:val="32"/>
                <w:szCs w:val="32"/>
              </w:rPr>
            </w:pPr>
            <w:r>
              <w:rPr>
                <w:rFonts w:ascii="宋体" w:eastAsia="宋体" w:hAnsi="宋体" w:cs="宋体" w:hint="eastAsia"/>
                <w:b/>
                <w:bCs/>
                <w:kern w:val="0"/>
                <w:sz w:val="32"/>
                <w:szCs w:val="32"/>
              </w:rPr>
              <w:t>项目支出绩效自评表</w:t>
            </w:r>
          </w:p>
        </w:tc>
      </w:tr>
      <w:tr w:rsidR="00AC138C" w:rsidTr="00666C0E">
        <w:trPr>
          <w:trHeight w:val="257"/>
          <w:jc w:val="center"/>
        </w:trPr>
        <w:tc>
          <w:tcPr>
            <w:tcW w:w="9338" w:type="dxa"/>
            <w:gridSpan w:val="14"/>
            <w:tcBorders>
              <w:top w:val="nil"/>
              <w:left w:val="nil"/>
              <w:bottom w:val="nil"/>
              <w:right w:val="nil"/>
            </w:tcBorders>
          </w:tcPr>
          <w:p w:rsidR="00AC138C" w:rsidRDefault="00B47BA6">
            <w:pPr>
              <w:widowControl/>
              <w:jc w:val="center"/>
              <w:rPr>
                <w:rFonts w:ascii="宋体" w:eastAsia="宋体" w:hAnsi="宋体" w:cs="宋体"/>
                <w:kern w:val="0"/>
                <w:sz w:val="22"/>
                <w:szCs w:val="22"/>
              </w:rPr>
            </w:pPr>
            <w:r>
              <w:rPr>
                <w:rFonts w:ascii="宋体" w:eastAsia="宋体" w:hAnsi="宋体" w:cs="宋体" w:hint="eastAsia"/>
                <w:kern w:val="0"/>
                <w:sz w:val="22"/>
                <w:szCs w:val="22"/>
              </w:rPr>
              <w:t>（</w:t>
            </w:r>
            <w:r>
              <w:rPr>
                <w:rFonts w:ascii="宋体" w:eastAsia="宋体" w:hAnsi="宋体" w:cs="宋体" w:hint="eastAsia"/>
                <w:kern w:val="0"/>
                <w:sz w:val="22"/>
                <w:szCs w:val="22"/>
              </w:rPr>
              <w:t>2023</w:t>
            </w:r>
            <w:r>
              <w:rPr>
                <w:rFonts w:ascii="宋体" w:eastAsia="宋体" w:hAnsi="宋体" w:cs="宋体" w:hint="eastAsia"/>
                <w:kern w:val="0"/>
                <w:sz w:val="22"/>
                <w:szCs w:val="22"/>
              </w:rPr>
              <w:t>年度）</w:t>
            </w:r>
          </w:p>
        </w:tc>
      </w:tr>
      <w:tr w:rsidR="00AC138C" w:rsidTr="00666C0E">
        <w:trPr>
          <w:trHeight w:hRule="exact" w:val="383"/>
          <w:jc w:val="center"/>
        </w:trPr>
        <w:tc>
          <w:tcPr>
            <w:tcW w:w="1612" w:type="dxa"/>
            <w:gridSpan w:val="2"/>
            <w:tcBorders>
              <w:top w:val="single" w:sz="4" w:space="0" w:color="auto"/>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7726" w:type="dxa"/>
            <w:gridSpan w:val="1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新疆区域空气质量预警预报系统云平台运行维护</w:t>
            </w:r>
          </w:p>
        </w:tc>
      </w:tr>
      <w:tr w:rsidR="00AC138C" w:rsidTr="00666C0E">
        <w:trPr>
          <w:trHeight w:hRule="exact" w:val="619"/>
          <w:jc w:val="center"/>
        </w:trPr>
        <w:tc>
          <w:tcPr>
            <w:tcW w:w="1612" w:type="dxa"/>
            <w:gridSpan w:val="2"/>
            <w:tcBorders>
              <w:top w:val="single" w:sz="4" w:space="0" w:color="auto"/>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4227" w:type="dxa"/>
            <w:gridSpan w:val="5"/>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新疆维吾尔自治区生态环境厅</w:t>
            </w:r>
          </w:p>
        </w:tc>
        <w:tc>
          <w:tcPr>
            <w:tcW w:w="1166"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333" w:type="dxa"/>
            <w:gridSpan w:val="5"/>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kern w:val="0"/>
                <w:sz w:val="18"/>
                <w:szCs w:val="18"/>
              </w:rPr>
              <w:t>新疆维吾尔自治区生态环境监测总站</w:t>
            </w:r>
          </w:p>
        </w:tc>
      </w:tr>
      <w:tr w:rsidR="00AC138C">
        <w:trPr>
          <w:trHeight w:hRule="exact" w:val="383"/>
          <w:jc w:val="center"/>
        </w:trPr>
        <w:tc>
          <w:tcPr>
            <w:tcW w:w="1612" w:type="dxa"/>
            <w:gridSpan w:val="2"/>
            <w:vMerge w:val="restart"/>
            <w:tcBorders>
              <w:top w:val="single" w:sz="4" w:space="0" w:color="auto"/>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r>
            <w:r>
              <w:rPr>
                <w:rFonts w:ascii="宋体" w:eastAsia="宋体" w:hAnsi="宋体" w:cs="宋体" w:hint="eastAsia"/>
                <w:kern w:val="0"/>
                <w:sz w:val="18"/>
                <w:szCs w:val="18"/>
              </w:rPr>
              <w:t>（万元）</w:t>
            </w:r>
          </w:p>
        </w:tc>
        <w:tc>
          <w:tcPr>
            <w:tcW w:w="1894"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66"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1167"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1166"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729"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875"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729"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AC138C">
        <w:trPr>
          <w:trHeight w:hRule="exact" w:val="383"/>
          <w:jc w:val="center"/>
        </w:trPr>
        <w:tc>
          <w:tcPr>
            <w:tcW w:w="1612" w:type="dxa"/>
            <w:gridSpan w:val="2"/>
            <w:vMerge/>
            <w:tcBorders>
              <w:top w:val="single" w:sz="4" w:space="0" w:color="auto"/>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1166"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210</w:t>
            </w:r>
            <w:r>
              <w:rPr>
                <w:rFonts w:eastAsia="宋体"/>
                <w:kern w:val="0"/>
                <w:sz w:val="18"/>
                <w:szCs w:val="18"/>
              </w:rPr>
              <w:t>万元</w:t>
            </w:r>
          </w:p>
        </w:tc>
        <w:tc>
          <w:tcPr>
            <w:tcW w:w="1167"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210</w:t>
            </w:r>
            <w:r>
              <w:rPr>
                <w:rFonts w:eastAsia="宋体"/>
                <w:kern w:val="0"/>
                <w:sz w:val="18"/>
                <w:szCs w:val="18"/>
              </w:rPr>
              <w:t>万元</w:t>
            </w:r>
          </w:p>
        </w:tc>
        <w:tc>
          <w:tcPr>
            <w:tcW w:w="1166"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208</w:t>
            </w:r>
            <w:r>
              <w:rPr>
                <w:rFonts w:eastAsia="宋体"/>
                <w:kern w:val="0"/>
                <w:sz w:val="18"/>
                <w:szCs w:val="18"/>
              </w:rPr>
              <w:t>万元</w:t>
            </w:r>
          </w:p>
        </w:tc>
        <w:tc>
          <w:tcPr>
            <w:tcW w:w="729"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875"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99.05</w:t>
            </w:r>
            <w:r>
              <w:rPr>
                <w:rFonts w:eastAsia="宋体"/>
                <w:kern w:val="0"/>
                <w:sz w:val="18"/>
                <w:szCs w:val="18"/>
              </w:rPr>
              <w:t>%</w:t>
            </w:r>
          </w:p>
        </w:tc>
        <w:tc>
          <w:tcPr>
            <w:tcW w:w="729"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9.9</w:t>
            </w:r>
            <w:r w:rsidR="00666C0E">
              <w:rPr>
                <w:rFonts w:eastAsia="宋体"/>
                <w:kern w:val="0"/>
                <w:sz w:val="18"/>
                <w:szCs w:val="18"/>
              </w:rPr>
              <w:t>1</w:t>
            </w:r>
          </w:p>
        </w:tc>
      </w:tr>
      <w:tr w:rsidR="00AC138C">
        <w:trPr>
          <w:trHeight w:hRule="exact" w:val="383"/>
          <w:jc w:val="center"/>
        </w:trPr>
        <w:tc>
          <w:tcPr>
            <w:tcW w:w="1612" w:type="dxa"/>
            <w:gridSpan w:val="2"/>
            <w:vMerge/>
            <w:tcBorders>
              <w:top w:val="single" w:sz="4" w:space="0" w:color="auto"/>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1166"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210</w:t>
            </w:r>
            <w:r>
              <w:rPr>
                <w:rFonts w:eastAsia="宋体"/>
                <w:kern w:val="0"/>
                <w:sz w:val="18"/>
                <w:szCs w:val="18"/>
              </w:rPr>
              <w:t>万元</w:t>
            </w:r>
          </w:p>
        </w:tc>
        <w:tc>
          <w:tcPr>
            <w:tcW w:w="1167"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210</w:t>
            </w:r>
            <w:r>
              <w:rPr>
                <w:rFonts w:eastAsia="宋体"/>
                <w:kern w:val="0"/>
                <w:sz w:val="18"/>
                <w:szCs w:val="18"/>
              </w:rPr>
              <w:t>万元</w:t>
            </w:r>
          </w:p>
        </w:tc>
        <w:tc>
          <w:tcPr>
            <w:tcW w:w="1166"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208</w:t>
            </w:r>
            <w:r>
              <w:rPr>
                <w:rFonts w:eastAsia="宋体"/>
                <w:kern w:val="0"/>
                <w:sz w:val="18"/>
                <w:szCs w:val="18"/>
              </w:rPr>
              <w:t>万元</w:t>
            </w:r>
          </w:p>
        </w:tc>
        <w:tc>
          <w:tcPr>
            <w:tcW w:w="729"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c>
          <w:tcPr>
            <w:tcW w:w="875"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c>
          <w:tcPr>
            <w:tcW w:w="729"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r>
      <w:tr w:rsidR="00AC138C">
        <w:trPr>
          <w:trHeight w:hRule="exact" w:val="383"/>
          <w:jc w:val="center"/>
        </w:trPr>
        <w:tc>
          <w:tcPr>
            <w:tcW w:w="1612" w:type="dxa"/>
            <w:gridSpan w:val="2"/>
            <w:vMerge/>
            <w:tcBorders>
              <w:top w:val="single" w:sz="4" w:space="0" w:color="auto"/>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w:t>
            </w:r>
            <w:r>
              <w:rPr>
                <w:rFonts w:ascii="宋体" w:eastAsia="宋体" w:hAnsi="宋体" w:cs="宋体" w:hint="eastAsia"/>
                <w:kern w:val="0"/>
                <w:sz w:val="18"/>
                <w:szCs w:val="18"/>
              </w:rPr>
              <w:t>上年结转资金</w:t>
            </w:r>
          </w:p>
        </w:tc>
        <w:tc>
          <w:tcPr>
            <w:tcW w:w="1166"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0</w:t>
            </w:r>
          </w:p>
        </w:tc>
        <w:tc>
          <w:tcPr>
            <w:tcW w:w="1167"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0</w:t>
            </w:r>
          </w:p>
        </w:tc>
        <w:tc>
          <w:tcPr>
            <w:tcW w:w="1166"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0</w:t>
            </w:r>
          </w:p>
        </w:tc>
        <w:tc>
          <w:tcPr>
            <w:tcW w:w="729"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c>
          <w:tcPr>
            <w:tcW w:w="875"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c>
          <w:tcPr>
            <w:tcW w:w="729"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r>
      <w:tr w:rsidR="00AC138C">
        <w:trPr>
          <w:trHeight w:hRule="exact" w:val="383"/>
          <w:jc w:val="center"/>
        </w:trPr>
        <w:tc>
          <w:tcPr>
            <w:tcW w:w="1612" w:type="dxa"/>
            <w:gridSpan w:val="2"/>
            <w:vMerge/>
            <w:tcBorders>
              <w:top w:val="single" w:sz="4" w:space="0" w:color="auto"/>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894"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 xml:space="preserve">  </w:t>
            </w:r>
            <w:r>
              <w:rPr>
                <w:rFonts w:ascii="宋体" w:eastAsia="宋体" w:hAnsi="宋体" w:cs="宋体" w:hint="eastAsia"/>
                <w:kern w:val="0"/>
                <w:sz w:val="18"/>
                <w:szCs w:val="18"/>
              </w:rPr>
              <w:t>其他资金</w:t>
            </w:r>
          </w:p>
        </w:tc>
        <w:tc>
          <w:tcPr>
            <w:tcW w:w="1166"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0</w:t>
            </w:r>
          </w:p>
        </w:tc>
        <w:tc>
          <w:tcPr>
            <w:tcW w:w="1167"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0</w:t>
            </w:r>
          </w:p>
        </w:tc>
        <w:tc>
          <w:tcPr>
            <w:tcW w:w="1166"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0</w:t>
            </w:r>
          </w:p>
        </w:tc>
        <w:tc>
          <w:tcPr>
            <w:tcW w:w="729"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c>
          <w:tcPr>
            <w:tcW w:w="875"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c>
          <w:tcPr>
            <w:tcW w:w="729"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w:t>
            </w:r>
          </w:p>
        </w:tc>
      </w:tr>
      <w:tr w:rsidR="00AC138C" w:rsidTr="00666C0E">
        <w:trPr>
          <w:trHeight w:hRule="exact" w:val="383"/>
          <w:jc w:val="center"/>
        </w:trPr>
        <w:tc>
          <w:tcPr>
            <w:tcW w:w="604" w:type="dxa"/>
            <w:vMerge w:val="restart"/>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5235" w:type="dxa"/>
            <w:gridSpan w:val="6"/>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3499" w:type="dxa"/>
            <w:gridSpan w:val="7"/>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AC138C" w:rsidTr="00666C0E">
        <w:trPr>
          <w:trHeight w:hRule="exact" w:val="2130"/>
          <w:jc w:val="center"/>
        </w:trPr>
        <w:tc>
          <w:tcPr>
            <w:tcW w:w="604"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5235" w:type="dxa"/>
            <w:gridSpan w:val="6"/>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eastAsia="宋体"/>
                <w:kern w:val="0"/>
                <w:sz w:val="18"/>
                <w:szCs w:val="18"/>
              </w:rPr>
            </w:pPr>
            <w:r>
              <w:rPr>
                <w:rFonts w:eastAsia="宋体"/>
                <w:kern w:val="0"/>
                <w:sz w:val="18"/>
                <w:szCs w:val="18"/>
              </w:rPr>
              <w:t>通过租赁联通公司云平台部署新疆区域环境空气质量预警预报系统，保障向国家和公众按时发布空气质量预报大于</w:t>
            </w:r>
            <w:r>
              <w:rPr>
                <w:rFonts w:eastAsia="宋体"/>
                <w:kern w:val="0"/>
                <w:sz w:val="18"/>
                <w:szCs w:val="18"/>
              </w:rPr>
              <w:t>360</w:t>
            </w:r>
            <w:r>
              <w:rPr>
                <w:rFonts w:eastAsia="宋体"/>
                <w:kern w:val="0"/>
                <w:sz w:val="18"/>
                <w:szCs w:val="18"/>
              </w:rPr>
              <w:t>天，为深入打好污染防治攻坚战提供科学支撑。委托软件开发服务公司对各类数据软件运行维护，保障系统正常运行和年度各项环境监测数据按要求及时上报中国环境监测总站及自治区生态环境厅。</w:t>
            </w:r>
          </w:p>
        </w:tc>
        <w:tc>
          <w:tcPr>
            <w:tcW w:w="3499" w:type="dxa"/>
            <w:gridSpan w:val="7"/>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已通过租赁联通公司云平台部署新疆区域环境空气质量预警预报系统，保障向国家和公众按时发布空气质量预报</w:t>
            </w:r>
            <w:r>
              <w:rPr>
                <w:rFonts w:eastAsia="宋体"/>
                <w:kern w:val="0"/>
                <w:sz w:val="18"/>
                <w:szCs w:val="18"/>
              </w:rPr>
              <w:t>365</w:t>
            </w:r>
            <w:r>
              <w:rPr>
                <w:rFonts w:eastAsia="宋体"/>
                <w:kern w:val="0"/>
                <w:sz w:val="18"/>
                <w:szCs w:val="18"/>
              </w:rPr>
              <w:t>天，为深入打好污染防治攻坚战提供科学支撑。已委托软件开发服务公司对各类数据软件运行维护，保障了系统正常运行和年度各项环境监测数据按要求及时上报中国环境监测总站及自治区生态环境厅。</w:t>
            </w:r>
          </w:p>
        </w:tc>
      </w:tr>
      <w:tr w:rsidR="00AC138C" w:rsidTr="00666C0E">
        <w:trPr>
          <w:trHeight w:hRule="exact" w:val="681"/>
          <w:jc w:val="center"/>
        </w:trPr>
        <w:tc>
          <w:tcPr>
            <w:tcW w:w="604" w:type="dxa"/>
            <w:vMerge w:val="restart"/>
            <w:tcBorders>
              <w:top w:val="nil"/>
              <w:left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r>
            <w:r>
              <w:rPr>
                <w:rFonts w:ascii="宋体" w:eastAsia="宋体" w:hAnsi="宋体" w:cs="宋体" w:hint="eastAsia"/>
                <w:kern w:val="0"/>
                <w:sz w:val="18"/>
                <w:szCs w:val="18"/>
              </w:rPr>
              <w:t>效</w:t>
            </w:r>
            <w:r>
              <w:rPr>
                <w:rFonts w:ascii="宋体" w:eastAsia="宋体" w:hAnsi="宋体" w:cs="宋体" w:hint="eastAsia"/>
                <w:kern w:val="0"/>
                <w:sz w:val="18"/>
                <w:szCs w:val="18"/>
              </w:rPr>
              <w:br/>
            </w:r>
            <w:r>
              <w:rPr>
                <w:rFonts w:ascii="宋体" w:eastAsia="宋体" w:hAnsi="宋体" w:cs="宋体" w:hint="eastAsia"/>
                <w:kern w:val="0"/>
                <w:sz w:val="18"/>
                <w:szCs w:val="18"/>
              </w:rPr>
              <w:t>指</w:t>
            </w:r>
            <w:r>
              <w:rPr>
                <w:rFonts w:ascii="宋体" w:eastAsia="宋体" w:hAnsi="宋体" w:cs="宋体" w:hint="eastAsia"/>
                <w:kern w:val="0"/>
                <w:sz w:val="18"/>
                <w:szCs w:val="18"/>
              </w:rPr>
              <w:br/>
            </w:r>
            <w:r>
              <w:rPr>
                <w:rFonts w:ascii="宋体" w:eastAsia="宋体" w:hAnsi="宋体" w:cs="宋体" w:hint="eastAsia"/>
                <w:kern w:val="0"/>
                <w:sz w:val="18"/>
                <w:szCs w:val="18"/>
              </w:rPr>
              <w:t>标</w:t>
            </w:r>
          </w:p>
        </w:tc>
        <w:tc>
          <w:tcPr>
            <w:tcW w:w="1008"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1143"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年度</w:t>
            </w:r>
          </w:p>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实际</w:t>
            </w:r>
          </w:p>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309"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AC138C" w:rsidTr="00666C0E">
        <w:trPr>
          <w:trHeight w:hRule="exact" w:val="383"/>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val="restart"/>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1143" w:type="dxa"/>
            <w:vMerge w:val="restart"/>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发布空气质量预报天数</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≥360</w:t>
            </w:r>
            <w:r>
              <w:rPr>
                <w:rFonts w:eastAsia="宋体"/>
                <w:kern w:val="0"/>
                <w:sz w:val="18"/>
                <w:szCs w:val="18"/>
              </w:rPr>
              <w:t>天</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365</w:t>
            </w:r>
            <w:r>
              <w:rPr>
                <w:rFonts w:eastAsia="宋体"/>
                <w:kern w:val="0"/>
                <w:sz w:val="18"/>
                <w:szCs w:val="18"/>
              </w:rPr>
              <w:t>天</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383"/>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数据平台正常运行天数</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≥360</w:t>
            </w:r>
            <w:r>
              <w:rPr>
                <w:rFonts w:eastAsia="宋体"/>
                <w:kern w:val="0"/>
                <w:sz w:val="18"/>
                <w:szCs w:val="18"/>
              </w:rPr>
              <w:t>天</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365</w:t>
            </w:r>
            <w:r>
              <w:rPr>
                <w:rFonts w:eastAsia="宋体"/>
                <w:kern w:val="0"/>
                <w:sz w:val="18"/>
                <w:szCs w:val="18"/>
              </w:rPr>
              <w:t>天</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383"/>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color w:val="000000"/>
                <w:kern w:val="0"/>
                <w:sz w:val="18"/>
                <w:szCs w:val="18"/>
              </w:rPr>
              <w:t>软件系统运行维护数量</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≥3</w:t>
            </w:r>
            <w:r>
              <w:rPr>
                <w:rFonts w:eastAsia="宋体"/>
                <w:kern w:val="0"/>
                <w:sz w:val="18"/>
                <w:szCs w:val="18"/>
              </w:rPr>
              <w:t>套</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4</w:t>
            </w:r>
            <w:r>
              <w:rPr>
                <w:rFonts w:eastAsia="宋体"/>
                <w:kern w:val="0"/>
                <w:sz w:val="18"/>
                <w:szCs w:val="18"/>
              </w:rPr>
              <w:t>套</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383"/>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数据平台运行故障率</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≤5%</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5%</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7</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383"/>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vMerge w:val="restart"/>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rPr>
                <w:rFonts w:ascii="宋体" w:eastAsia="宋体" w:hAnsi="宋体" w:cs="宋体"/>
                <w:color w:val="000000"/>
                <w:kern w:val="0"/>
                <w:sz w:val="18"/>
                <w:szCs w:val="18"/>
              </w:rPr>
            </w:pPr>
            <w:r>
              <w:rPr>
                <w:rFonts w:ascii="宋体" w:eastAsia="宋体" w:hAnsi="宋体" w:cs="宋体" w:hint="eastAsia"/>
                <w:color w:val="000000"/>
                <w:kern w:val="0"/>
                <w:sz w:val="18"/>
                <w:szCs w:val="18"/>
              </w:rPr>
              <w:t>系统故障修复处理时间</w:t>
            </w:r>
          </w:p>
        </w:tc>
        <w:tc>
          <w:tcPr>
            <w:tcW w:w="922" w:type="dxa"/>
            <w:tcBorders>
              <w:top w:val="nil"/>
              <w:left w:val="nil"/>
              <w:bottom w:val="single" w:sz="4" w:space="0" w:color="auto"/>
              <w:right w:val="single" w:sz="4" w:space="0" w:color="auto"/>
            </w:tcBorders>
            <w:vAlign w:val="center"/>
          </w:tcPr>
          <w:p w:rsidR="00AC138C" w:rsidRDefault="00B47BA6">
            <w:pPr>
              <w:jc w:val="center"/>
              <w:rPr>
                <w:rFonts w:eastAsia="宋体"/>
                <w:color w:val="000000"/>
                <w:kern w:val="0"/>
                <w:sz w:val="18"/>
                <w:szCs w:val="18"/>
              </w:rPr>
            </w:pPr>
            <w:r>
              <w:rPr>
                <w:rFonts w:eastAsia="宋体"/>
                <w:color w:val="000000"/>
                <w:kern w:val="0"/>
                <w:sz w:val="18"/>
                <w:szCs w:val="18"/>
              </w:rPr>
              <w:t>≤4</w:t>
            </w:r>
            <w:r>
              <w:rPr>
                <w:rFonts w:eastAsia="宋体"/>
                <w:color w:val="000000"/>
                <w:kern w:val="0"/>
                <w:sz w:val="18"/>
                <w:szCs w:val="18"/>
              </w:rPr>
              <w:t>天</w:t>
            </w:r>
          </w:p>
        </w:tc>
        <w:tc>
          <w:tcPr>
            <w:tcW w:w="875" w:type="dxa"/>
            <w:tcBorders>
              <w:top w:val="nil"/>
              <w:left w:val="nil"/>
              <w:bottom w:val="single" w:sz="4" w:space="0" w:color="auto"/>
              <w:right w:val="single" w:sz="4" w:space="0" w:color="auto"/>
            </w:tcBorders>
            <w:vAlign w:val="center"/>
          </w:tcPr>
          <w:p w:rsidR="00AC138C" w:rsidRDefault="00B47BA6">
            <w:pPr>
              <w:ind w:firstLineChars="100" w:firstLine="180"/>
              <w:jc w:val="center"/>
              <w:rPr>
                <w:rFonts w:eastAsia="宋体"/>
                <w:color w:val="000000"/>
                <w:kern w:val="0"/>
                <w:sz w:val="18"/>
                <w:szCs w:val="18"/>
              </w:rPr>
            </w:pPr>
            <w:r>
              <w:rPr>
                <w:rFonts w:eastAsia="宋体"/>
                <w:color w:val="000000"/>
                <w:kern w:val="0"/>
                <w:sz w:val="18"/>
                <w:szCs w:val="18"/>
              </w:rPr>
              <w:t>4</w:t>
            </w:r>
            <w:r>
              <w:rPr>
                <w:rFonts w:eastAsia="宋体"/>
                <w:color w:val="000000"/>
                <w:kern w:val="0"/>
                <w:sz w:val="18"/>
                <w:szCs w:val="18"/>
              </w:rPr>
              <w:t>天</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6</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6</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383"/>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rPr>
                <w:rFonts w:ascii="宋体" w:eastAsia="宋体" w:hAnsi="宋体" w:cs="宋体"/>
                <w:color w:val="000000"/>
                <w:kern w:val="0"/>
                <w:sz w:val="18"/>
                <w:szCs w:val="18"/>
              </w:rPr>
            </w:pPr>
            <w:r>
              <w:rPr>
                <w:rFonts w:ascii="宋体" w:eastAsia="宋体" w:hAnsi="宋体" w:cs="宋体" w:hint="eastAsia"/>
                <w:color w:val="000000"/>
                <w:kern w:val="0"/>
                <w:sz w:val="18"/>
                <w:szCs w:val="18"/>
              </w:rPr>
              <w:t>系统运行维护响应时间</w:t>
            </w:r>
          </w:p>
        </w:tc>
        <w:tc>
          <w:tcPr>
            <w:tcW w:w="922" w:type="dxa"/>
            <w:tcBorders>
              <w:top w:val="nil"/>
              <w:left w:val="nil"/>
              <w:bottom w:val="single" w:sz="4" w:space="0" w:color="auto"/>
              <w:right w:val="single" w:sz="4" w:space="0" w:color="auto"/>
            </w:tcBorders>
            <w:vAlign w:val="center"/>
          </w:tcPr>
          <w:p w:rsidR="00AC138C" w:rsidRDefault="00B47BA6">
            <w:pPr>
              <w:jc w:val="center"/>
              <w:rPr>
                <w:rFonts w:eastAsia="宋体"/>
                <w:color w:val="000000"/>
                <w:kern w:val="0"/>
                <w:sz w:val="18"/>
                <w:szCs w:val="18"/>
              </w:rPr>
            </w:pPr>
            <w:r>
              <w:rPr>
                <w:rFonts w:eastAsia="宋体"/>
                <w:color w:val="000000"/>
                <w:kern w:val="0"/>
                <w:sz w:val="18"/>
                <w:szCs w:val="18"/>
              </w:rPr>
              <w:t>≤4</w:t>
            </w:r>
            <w:r>
              <w:rPr>
                <w:rFonts w:eastAsia="宋体"/>
                <w:color w:val="000000"/>
                <w:kern w:val="0"/>
                <w:sz w:val="18"/>
                <w:szCs w:val="18"/>
              </w:rPr>
              <w:t>小时</w:t>
            </w:r>
          </w:p>
        </w:tc>
        <w:tc>
          <w:tcPr>
            <w:tcW w:w="875" w:type="dxa"/>
            <w:tcBorders>
              <w:top w:val="nil"/>
              <w:left w:val="nil"/>
              <w:bottom w:val="single" w:sz="4" w:space="0" w:color="auto"/>
              <w:right w:val="single" w:sz="4" w:space="0" w:color="auto"/>
            </w:tcBorders>
            <w:vAlign w:val="center"/>
          </w:tcPr>
          <w:p w:rsidR="00AC138C" w:rsidRDefault="00B47BA6">
            <w:pPr>
              <w:jc w:val="center"/>
              <w:rPr>
                <w:rFonts w:eastAsia="宋体"/>
                <w:color w:val="000000"/>
                <w:kern w:val="0"/>
                <w:sz w:val="18"/>
                <w:szCs w:val="18"/>
              </w:rPr>
            </w:pPr>
            <w:r>
              <w:rPr>
                <w:rFonts w:eastAsia="宋体"/>
                <w:color w:val="000000"/>
                <w:kern w:val="0"/>
                <w:sz w:val="18"/>
                <w:szCs w:val="18"/>
              </w:rPr>
              <w:t>4</w:t>
            </w:r>
            <w:r>
              <w:rPr>
                <w:rFonts w:eastAsia="宋体"/>
                <w:color w:val="000000"/>
                <w:kern w:val="0"/>
                <w:sz w:val="18"/>
                <w:szCs w:val="18"/>
              </w:rPr>
              <w:t>小时</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6</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6</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772"/>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vMerge w:val="restart"/>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空气质量预警预报系统云租赁</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≤160</w:t>
            </w:r>
            <w:r>
              <w:rPr>
                <w:rFonts w:eastAsia="宋体"/>
                <w:kern w:val="0"/>
                <w:sz w:val="18"/>
                <w:szCs w:val="18"/>
              </w:rPr>
              <w:t>万元</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w:t>
            </w:r>
            <w:r>
              <w:rPr>
                <w:rFonts w:eastAsia="宋体"/>
                <w:kern w:val="0"/>
                <w:sz w:val="18"/>
                <w:szCs w:val="18"/>
              </w:rPr>
              <w:t>58</w:t>
            </w:r>
            <w:r>
              <w:rPr>
                <w:rFonts w:eastAsia="宋体"/>
                <w:kern w:val="0"/>
                <w:sz w:val="18"/>
                <w:szCs w:val="18"/>
              </w:rPr>
              <w:t>万元</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hint="eastAsia"/>
                <w:kern w:val="0"/>
                <w:sz w:val="18"/>
                <w:szCs w:val="18"/>
              </w:rPr>
              <w:t>10</w:t>
            </w:r>
          </w:p>
        </w:tc>
        <w:tc>
          <w:tcPr>
            <w:tcW w:w="1309" w:type="dxa"/>
            <w:gridSpan w:val="2"/>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hint="eastAsia"/>
                <w:kern w:val="0"/>
                <w:sz w:val="18"/>
                <w:szCs w:val="18"/>
              </w:rPr>
              <w:t>政府采购结余</w:t>
            </w:r>
            <w:r>
              <w:rPr>
                <w:rFonts w:eastAsia="宋体" w:hint="eastAsia"/>
                <w:kern w:val="0"/>
                <w:sz w:val="18"/>
                <w:szCs w:val="18"/>
              </w:rPr>
              <w:t>2</w:t>
            </w:r>
            <w:r>
              <w:rPr>
                <w:rFonts w:eastAsia="宋体" w:hint="eastAsia"/>
                <w:kern w:val="0"/>
                <w:sz w:val="18"/>
                <w:szCs w:val="18"/>
              </w:rPr>
              <w:t>万元，财政已收回</w:t>
            </w:r>
          </w:p>
        </w:tc>
      </w:tr>
      <w:tr w:rsidR="00AC138C" w:rsidTr="00666C0E">
        <w:trPr>
          <w:trHeight w:hRule="exact" w:val="518"/>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color w:val="000000"/>
                <w:kern w:val="0"/>
                <w:sz w:val="18"/>
                <w:szCs w:val="18"/>
              </w:rPr>
              <w:t>软件系统运行维护费</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≤50</w:t>
            </w:r>
            <w:r>
              <w:rPr>
                <w:rFonts w:eastAsia="宋体"/>
                <w:kern w:val="0"/>
                <w:sz w:val="18"/>
                <w:szCs w:val="18"/>
              </w:rPr>
              <w:t>万元</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50</w:t>
            </w:r>
            <w:r>
              <w:rPr>
                <w:rFonts w:eastAsia="宋体"/>
                <w:kern w:val="0"/>
                <w:sz w:val="18"/>
                <w:szCs w:val="18"/>
              </w:rPr>
              <w:t>万元</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606"/>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val="restart"/>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1143" w:type="dxa"/>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社会效益</w:t>
            </w:r>
          </w:p>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区域空气质量预报能力</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持续提升</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持续提升</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602"/>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vMerge/>
            <w:tcBorders>
              <w:top w:val="nil"/>
              <w:left w:val="single" w:sz="4" w:space="0" w:color="auto"/>
              <w:bottom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143" w:type="dxa"/>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生态效益</w:t>
            </w:r>
          </w:p>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hint="eastAsia"/>
                <w:color w:val="000000"/>
                <w:kern w:val="0"/>
                <w:sz w:val="18"/>
                <w:szCs w:val="18"/>
              </w:rPr>
              <w:t>重点区域大气污染防治支撑力度</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持续提升</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持续提升</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602"/>
          <w:jc w:val="center"/>
        </w:trPr>
        <w:tc>
          <w:tcPr>
            <w:tcW w:w="604" w:type="dxa"/>
            <w:vMerge/>
            <w:tcBorders>
              <w:left w:val="single" w:sz="4" w:space="0" w:color="auto"/>
              <w:right w:val="single" w:sz="4" w:space="0" w:color="auto"/>
            </w:tcBorders>
            <w:vAlign w:val="center"/>
          </w:tcPr>
          <w:p w:rsidR="00AC138C" w:rsidRDefault="00AC138C">
            <w:pPr>
              <w:widowControl/>
              <w:spacing w:line="240" w:lineRule="exact"/>
              <w:jc w:val="center"/>
              <w:rPr>
                <w:rFonts w:ascii="宋体" w:eastAsia="宋体" w:hAnsi="宋体" w:cs="宋体"/>
                <w:kern w:val="0"/>
                <w:sz w:val="18"/>
                <w:szCs w:val="18"/>
              </w:rPr>
            </w:pPr>
          </w:p>
        </w:tc>
        <w:tc>
          <w:tcPr>
            <w:tcW w:w="1008" w:type="dxa"/>
            <w:tcBorders>
              <w:top w:val="nil"/>
              <w:left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满意度</w:t>
            </w:r>
          </w:p>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1143" w:type="dxa"/>
            <w:tcBorders>
              <w:top w:val="nil"/>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2162" w:type="dxa"/>
            <w:gridSpan w:val="3"/>
            <w:tcBorders>
              <w:top w:val="single" w:sz="4" w:space="0" w:color="auto"/>
              <w:left w:val="nil"/>
              <w:bottom w:val="single" w:sz="4" w:space="0" w:color="auto"/>
              <w:right w:val="single" w:sz="4" w:space="0" w:color="auto"/>
            </w:tcBorders>
            <w:vAlign w:val="center"/>
          </w:tcPr>
          <w:p w:rsidR="00AC138C" w:rsidRDefault="00B47BA6">
            <w:pPr>
              <w:widowControl/>
              <w:spacing w:line="240" w:lineRule="exact"/>
              <w:jc w:val="left"/>
              <w:rPr>
                <w:rFonts w:ascii="宋体" w:eastAsia="宋体" w:hAnsi="宋体" w:cs="宋体"/>
                <w:color w:val="000000"/>
                <w:kern w:val="0"/>
                <w:sz w:val="18"/>
                <w:szCs w:val="18"/>
              </w:rPr>
            </w:pPr>
            <w:r>
              <w:rPr>
                <w:rFonts w:ascii="宋体" w:eastAsia="宋体" w:hAnsi="宋体" w:cs="宋体"/>
                <w:color w:val="000000"/>
                <w:kern w:val="0"/>
                <w:sz w:val="18"/>
                <w:szCs w:val="18"/>
              </w:rPr>
              <w:t>使用人员满意度</w:t>
            </w:r>
          </w:p>
        </w:tc>
        <w:tc>
          <w:tcPr>
            <w:tcW w:w="922"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≥90%</w:t>
            </w:r>
          </w:p>
        </w:tc>
        <w:tc>
          <w:tcPr>
            <w:tcW w:w="875" w:type="dxa"/>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90%</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kern w:val="0"/>
                <w:sz w:val="18"/>
                <w:szCs w:val="18"/>
              </w:rPr>
            </w:pPr>
            <w:r>
              <w:rPr>
                <w:rFonts w:eastAsia="宋体"/>
                <w:kern w:val="0"/>
                <w:sz w:val="18"/>
                <w:szCs w:val="18"/>
              </w:rPr>
              <w:t>10</w:t>
            </w:r>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r w:rsidR="00AC138C" w:rsidTr="00666C0E">
        <w:trPr>
          <w:trHeight w:hRule="exact" w:val="383"/>
          <w:jc w:val="center"/>
        </w:trPr>
        <w:tc>
          <w:tcPr>
            <w:tcW w:w="6714" w:type="dxa"/>
            <w:gridSpan w:val="8"/>
            <w:tcBorders>
              <w:top w:val="single" w:sz="4" w:space="0" w:color="auto"/>
              <w:left w:val="single" w:sz="4" w:space="0" w:color="auto"/>
              <w:bottom w:val="single" w:sz="4" w:space="0" w:color="auto"/>
              <w:right w:val="single" w:sz="4" w:space="0" w:color="auto"/>
            </w:tcBorders>
            <w:vAlign w:val="center"/>
          </w:tcPr>
          <w:p w:rsidR="00AC138C" w:rsidRDefault="00B47BA6">
            <w:pPr>
              <w:widowControl/>
              <w:spacing w:line="240" w:lineRule="exact"/>
              <w:jc w:val="center"/>
              <w:rPr>
                <w:rFonts w:eastAsia="宋体"/>
                <w:color w:val="000000"/>
                <w:kern w:val="0"/>
                <w:sz w:val="18"/>
                <w:szCs w:val="18"/>
              </w:rPr>
            </w:pPr>
            <w:r>
              <w:rPr>
                <w:rFonts w:eastAsia="宋体"/>
                <w:color w:val="000000"/>
                <w:kern w:val="0"/>
                <w:sz w:val="18"/>
                <w:szCs w:val="18"/>
              </w:rPr>
              <w:t>总分</w:t>
            </w:r>
          </w:p>
        </w:tc>
        <w:tc>
          <w:tcPr>
            <w:tcW w:w="583"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color w:val="000000"/>
                <w:kern w:val="0"/>
                <w:sz w:val="18"/>
                <w:szCs w:val="18"/>
              </w:rPr>
            </w:pPr>
            <w:r>
              <w:rPr>
                <w:rFonts w:eastAsia="宋体"/>
                <w:color w:val="000000"/>
                <w:kern w:val="0"/>
                <w:sz w:val="18"/>
                <w:szCs w:val="18"/>
              </w:rPr>
              <w:t>100</w:t>
            </w:r>
          </w:p>
        </w:tc>
        <w:tc>
          <w:tcPr>
            <w:tcW w:w="732" w:type="dxa"/>
            <w:gridSpan w:val="2"/>
            <w:tcBorders>
              <w:top w:val="nil"/>
              <w:left w:val="nil"/>
              <w:bottom w:val="single" w:sz="4" w:space="0" w:color="auto"/>
              <w:right w:val="single" w:sz="4" w:space="0" w:color="auto"/>
            </w:tcBorders>
            <w:vAlign w:val="center"/>
          </w:tcPr>
          <w:p w:rsidR="00AC138C" w:rsidRDefault="00B47BA6">
            <w:pPr>
              <w:widowControl/>
              <w:spacing w:line="240" w:lineRule="exact"/>
              <w:jc w:val="center"/>
              <w:rPr>
                <w:rFonts w:eastAsia="宋体"/>
                <w:color w:val="000000"/>
                <w:kern w:val="0"/>
                <w:sz w:val="18"/>
                <w:szCs w:val="18"/>
              </w:rPr>
            </w:pPr>
            <w:r>
              <w:rPr>
                <w:rFonts w:eastAsia="宋体"/>
                <w:color w:val="000000"/>
                <w:kern w:val="0"/>
                <w:sz w:val="18"/>
                <w:szCs w:val="18"/>
              </w:rPr>
              <w:t>99.</w:t>
            </w:r>
            <w:r>
              <w:rPr>
                <w:rFonts w:eastAsia="宋体" w:hint="eastAsia"/>
                <w:color w:val="000000"/>
                <w:kern w:val="0"/>
                <w:sz w:val="18"/>
                <w:szCs w:val="18"/>
              </w:rPr>
              <w:t>9</w:t>
            </w:r>
            <w:r w:rsidR="00666C0E">
              <w:rPr>
                <w:rFonts w:eastAsia="宋体"/>
                <w:color w:val="000000"/>
                <w:kern w:val="0"/>
                <w:sz w:val="18"/>
                <w:szCs w:val="18"/>
              </w:rPr>
              <w:t>1</w:t>
            </w:r>
            <w:bookmarkStart w:id="0" w:name="_GoBack"/>
            <w:bookmarkEnd w:id="0"/>
          </w:p>
        </w:tc>
        <w:tc>
          <w:tcPr>
            <w:tcW w:w="1309" w:type="dxa"/>
            <w:gridSpan w:val="2"/>
            <w:tcBorders>
              <w:top w:val="single" w:sz="4" w:space="0" w:color="auto"/>
              <w:left w:val="nil"/>
              <w:bottom w:val="single" w:sz="4" w:space="0" w:color="auto"/>
              <w:right w:val="single" w:sz="4" w:space="0" w:color="auto"/>
            </w:tcBorders>
            <w:vAlign w:val="center"/>
          </w:tcPr>
          <w:p w:rsidR="00AC138C" w:rsidRDefault="00AC138C">
            <w:pPr>
              <w:widowControl/>
              <w:spacing w:line="240" w:lineRule="exact"/>
              <w:jc w:val="center"/>
              <w:rPr>
                <w:rFonts w:eastAsia="宋体"/>
                <w:kern w:val="0"/>
                <w:sz w:val="18"/>
                <w:szCs w:val="18"/>
              </w:rPr>
            </w:pPr>
          </w:p>
        </w:tc>
      </w:tr>
    </w:tbl>
    <w:p w:rsidR="00AC138C" w:rsidRDefault="00AC138C"/>
    <w:sectPr w:rsidR="00AC13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BA6" w:rsidRDefault="00B47BA6" w:rsidP="00666C0E">
      <w:r>
        <w:separator/>
      </w:r>
    </w:p>
  </w:endnote>
  <w:endnote w:type="continuationSeparator" w:id="0">
    <w:p w:rsidR="00B47BA6" w:rsidRDefault="00B47BA6" w:rsidP="0066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BA6" w:rsidRDefault="00B47BA6" w:rsidP="00666C0E">
      <w:r>
        <w:separator/>
      </w:r>
    </w:p>
  </w:footnote>
  <w:footnote w:type="continuationSeparator" w:id="0">
    <w:p w:rsidR="00B47BA6" w:rsidRDefault="00B47BA6" w:rsidP="00666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E4OGVhYjU4MjRmMzYwODE4NDhmNmQ5NjQwZGFjMzAifQ=="/>
  </w:docVars>
  <w:rsids>
    <w:rsidRoot w:val="005144AE"/>
    <w:rsid w:val="FFC71833"/>
    <w:rsid w:val="00054869"/>
    <w:rsid w:val="000D4F96"/>
    <w:rsid w:val="001209D6"/>
    <w:rsid w:val="005144AE"/>
    <w:rsid w:val="00620F23"/>
    <w:rsid w:val="00666C0E"/>
    <w:rsid w:val="0089251B"/>
    <w:rsid w:val="00A97912"/>
    <w:rsid w:val="00AC138C"/>
    <w:rsid w:val="00B47BA6"/>
    <w:rsid w:val="00B61E5F"/>
    <w:rsid w:val="00D771F1"/>
    <w:rsid w:val="00DA2078"/>
    <w:rsid w:val="099D3722"/>
    <w:rsid w:val="40F9630B"/>
    <w:rsid w:val="55415E92"/>
    <w:rsid w:val="617F7A8A"/>
    <w:rsid w:val="6D451B5D"/>
    <w:rsid w:val="76C12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80CFEC"/>
  <w15:docId w15:val="{84A1D62F-98E2-4DB9-A23B-0CC5EC6AA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imes New Roman" w:eastAsia="仿宋_GB2312" w:hAnsi="Times New Roman" w:cs="Times New Roman"/>
      <w:kern w:val="2"/>
      <w:sz w:val="30"/>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footer"/>
    <w:basedOn w:val="a"/>
    <w:link w:val="a5"/>
    <w:uiPriority w:val="99"/>
    <w:unhideWhenUsed/>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uiPriority w:val="99"/>
    <w:qFormat/>
    <w:rPr>
      <w:rFonts w:ascii="Times New Roman" w:eastAsia="仿宋_GB2312" w:hAnsi="Times New Roman" w:cs="Times New Roman"/>
      <w:kern w:val="2"/>
      <w:sz w:val="18"/>
      <w:szCs w:val="18"/>
    </w:rPr>
  </w:style>
  <w:style w:type="character" w:customStyle="1" w:styleId="a5">
    <w:name w:val="页脚 字符"/>
    <w:basedOn w:val="a1"/>
    <w:link w:val="a4"/>
    <w:uiPriority w:val="99"/>
    <w:qFormat/>
    <w:rPr>
      <w:rFonts w:ascii="Times New Roman" w:eastAsia="仿宋_GB2312"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155</Words>
  <Characters>890</Characters>
  <Application>Microsoft Office Word</Application>
  <DocSecurity>0</DocSecurity>
  <Lines>7</Lines>
  <Paragraphs>2</Paragraphs>
  <ScaleCrop>false</ScaleCrop>
  <Company>Hewlett-Packard Company</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7</cp:revision>
  <dcterms:created xsi:type="dcterms:W3CDTF">2022-01-24T11:10:00Z</dcterms:created>
  <dcterms:modified xsi:type="dcterms:W3CDTF">2024-11-07T10:11:00Z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F2D50DD01E3B47DDAA622E1EFBE1FBAC</vt:lpwstr>
  </property>
</Properties>
</file>