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AD950">
      <w:pPr>
        <w:spacing w:line="540" w:lineRule="exact"/>
        <w:jc w:val="center"/>
        <w:rPr>
          <w:rFonts w:eastAsia="方正小标宋_GBK"/>
          <w:kern w:val="0"/>
          <w:sz w:val="48"/>
        </w:rPr>
      </w:pPr>
      <w:r>
        <w:rPr>
          <w:rFonts w:hint="eastAsia" w:eastAsia="方正小标宋_GBK"/>
          <w:kern w:val="0"/>
          <w:sz w:val="48"/>
        </w:rPr>
        <w:t>生态环境厅环境监察专员办环境监察专项项目支出绩效评价</w:t>
      </w:r>
    </w:p>
    <w:p w14:paraId="40F1297B">
      <w:pPr>
        <w:spacing w:line="540" w:lineRule="exact"/>
        <w:jc w:val="center"/>
        <w:rPr>
          <w:rFonts w:eastAsia="方正小标宋_GBK"/>
          <w:kern w:val="0"/>
          <w:sz w:val="48"/>
        </w:rPr>
      </w:pPr>
      <w:r>
        <w:rPr>
          <w:rFonts w:hint="eastAsia" w:eastAsia="方正小标宋_GBK"/>
          <w:kern w:val="0"/>
          <w:sz w:val="48"/>
        </w:rPr>
        <w:t>报告</w:t>
      </w:r>
    </w:p>
    <w:p w14:paraId="7C41AAFE">
      <w:pPr>
        <w:spacing w:line="540" w:lineRule="exact"/>
        <w:jc w:val="center"/>
        <w:rPr>
          <w:rFonts w:eastAsia="华文中宋"/>
          <w:b/>
          <w:kern w:val="0"/>
          <w:sz w:val="52"/>
        </w:rPr>
      </w:pPr>
    </w:p>
    <w:p w14:paraId="303C1DE2">
      <w:pPr>
        <w:spacing w:line="540" w:lineRule="exact"/>
        <w:jc w:val="center"/>
        <w:rPr>
          <w:rFonts w:eastAsia="仿宋_GB2312"/>
          <w:kern w:val="0"/>
          <w:sz w:val="36"/>
        </w:rPr>
      </w:pPr>
      <w:r>
        <w:rPr>
          <w:rFonts w:hint="eastAsia" w:eastAsia="仿宋_GB2312"/>
          <w:kern w:val="0"/>
          <w:sz w:val="36"/>
        </w:rPr>
        <w:t>（</w:t>
      </w:r>
      <w:r>
        <w:rPr>
          <w:rFonts w:hint="eastAsia" w:ascii="Times New Roman" w:hAnsi="Times New Roman" w:eastAsia="仿宋_GB2312"/>
          <w:kern w:val="0"/>
          <w:sz w:val="36"/>
        </w:rPr>
        <w:t>2023</w:t>
      </w:r>
      <w:r>
        <w:rPr>
          <w:rFonts w:hint="eastAsia" w:eastAsia="仿宋_GB2312"/>
          <w:kern w:val="0"/>
          <w:sz w:val="36"/>
        </w:rPr>
        <w:t>年度）</w:t>
      </w:r>
    </w:p>
    <w:p w14:paraId="1E10D1B4">
      <w:pPr>
        <w:spacing w:line="540" w:lineRule="exact"/>
        <w:jc w:val="center"/>
        <w:rPr>
          <w:rFonts w:eastAsia="仿宋_GB2312"/>
          <w:kern w:val="0"/>
          <w:sz w:val="30"/>
        </w:rPr>
      </w:pPr>
      <w:bookmarkStart w:id="9" w:name="_GoBack"/>
      <w:bookmarkEnd w:id="9"/>
    </w:p>
    <w:p w14:paraId="53090B42">
      <w:pPr>
        <w:spacing w:line="540" w:lineRule="exact"/>
        <w:jc w:val="center"/>
        <w:rPr>
          <w:rFonts w:eastAsia="仿宋_GB2312"/>
          <w:kern w:val="0"/>
          <w:sz w:val="30"/>
        </w:rPr>
      </w:pPr>
    </w:p>
    <w:p w14:paraId="265BE8BC">
      <w:pPr>
        <w:pStyle w:val="2"/>
        <w:jc w:val="both"/>
      </w:pPr>
    </w:p>
    <w:p w14:paraId="5409B7ED"/>
    <w:p w14:paraId="61AFC93E">
      <w:pPr>
        <w:spacing w:line="540" w:lineRule="exact"/>
        <w:jc w:val="center"/>
        <w:rPr>
          <w:rFonts w:eastAsia="仿宋_GB2312"/>
          <w:kern w:val="0"/>
          <w:sz w:val="30"/>
        </w:rPr>
      </w:pPr>
    </w:p>
    <w:p w14:paraId="5F8D6D65">
      <w:pPr>
        <w:spacing w:line="540" w:lineRule="exact"/>
        <w:rPr>
          <w:rFonts w:eastAsia="仿宋_GB2312"/>
          <w:kern w:val="0"/>
          <w:sz w:val="30"/>
        </w:rPr>
      </w:pPr>
    </w:p>
    <w:p w14:paraId="5E6BAA06">
      <w:pPr>
        <w:spacing w:line="700" w:lineRule="exact"/>
        <w:ind w:left="3159" w:leftChars="647" w:hanging="1800" w:hangingChars="500"/>
        <w:rPr>
          <w:rFonts w:eastAsia="仿宋_GB2312"/>
          <w:kern w:val="0"/>
          <w:sz w:val="36"/>
        </w:rPr>
      </w:pPr>
      <w:r>
        <w:rPr>
          <w:rFonts w:hint="eastAsia" w:eastAsia="仿宋_GB2312"/>
          <w:kern w:val="0"/>
          <w:sz w:val="36"/>
        </w:rPr>
        <w:t>项目名称：生态环境厅环境监察专员办环境监察专项</w:t>
      </w:r>
    </w:p>
    <w:p w14:paraId="51560253">
      <w:pPr>
        <w:spacing w:line="700" w:lineRule="exact"/>
        <w:ind w:left="4620" w:leftChars="657" w:hanging="3240" w:hangingChars="900"/>
        <w:jc w:val="left"/>
        <w:rPr>
          <w:rFonts w:eastAsia="仿宋_GB2312"/>
          <w:kern w:val="0"/>
          <w:sz w:val="36"/>
        </w:rPr>
      </w:pPr>
      <w:r>
        <w:rPr>
          <w:rFonts w:hint="eastAsia" w:eastAsia="仿宋_GB2312"/>
          <w:kern w:val="0"/>
          <w:sz w:val="36"/>
        </w:rPr>
        <w:t>实施单位（公章）：新疆维吾尔自治区生态环境厅第四生态环境监察专员办公室</w:t>
      </w:r>
    </w:p>
    <w:p w14:paraId="3E58DC21">
      <w:pPr>
        <w:spacing w:line="700" w:lineRule="exact"/>
        <w:ind w:left="4630" w:leftChars="683" w:hanging="3196" w:hangingChars="888"/>
        <w:jc w:val="left"/>
        <w:rPr>
          <w:rFonts w:eastAsia="仿宋_GB2312"/>
          <w:kern w:val="0"/>
          <w:sz w:val="36"/>
        </w:rPr>
      </w:pPr>
      <w:r>
        <w:rPr>
          <w:rFonts w:hint="eastAsia" w:eastAsia="仿宋_GB2312"/>
          <w:kern w:val="0"/>
          <w:sz w:val="36"/>
        </w:rPr>
        <w:t>主管部门（公章）：新疆维吾尔自治区生态环境厅</w:t>
      </w:r>
    </w:p>
    <w:p w14:paraId="1CCDD503">
      <w:pPr>
        <w:spacing w:line="700" w:lineRule="exact"/>
        <w:ind w:firstLine="1440" w:firstLineChars="400"/>
        <w:jc w:val="left"/>
        <w:rPr>
          <w:rFonts w:hint="eastAsia" w:eastAsia="仿宋_GB2312"/>
          <w:kern w:val="0"/>
          <w:sz w:val="36"/>
        </w:rPr>
      </w:pPr>
      <w:r>
        <w:rPr>
          <w:rFonts w:hint="eastAsia" w:eastAsia="仿宋_GB2312"/>
          <w:kern w:val="0"/>
          <w:sz w:val="36"/>
        </w:rPr>
        <w:t>项目负责人（签章）：李东罡</w:t>
      </w:r>
    </w:p>
    <w:p w14:paraId="7077EC56">
      <w:pPr>
        <w:spacing w:line="700" w:lineRule="exact"/>
        <w:ind w:firstLine="1440" w:firstLineChars="400"/>
        <w:jc w:val="left"/>
        <w:rPr>
          <w:rFonts w:eastAsia="仿宋_GB2312"/>
          <w:kern w:val="0"/>
          <w:sz w:val="36"/>
        </w:rPr>
      </w:pPr>
      <w:r>
        <w:rPr>
          <w:rFonts w:hint="eastAsia" w:eastAsia="仿宋_GB2312"/>
          <w:kern w:val="0"/>
          <w:sz w:val="36"/>
        </w:rPr>
        <w:t>填报时间：</w:t>
      </w:r>
      <w:r>
        <w:rPr>
          <w:rFonts w:hint="eastAsia" w:ascii="Times New Roman" w:hAnsi="Times New Roman" w:eastAsia="仿宋_GB2312"/>
          <w:kern w:val="0"/>
          <w:sz w:val="36"/>
        </w:rPr>
        <w:t>2024</w:t>
      </w:r>
      <w:r>
        <w:rPr>
          <w:rFonts w:hint="eastAsia" w:eastAsia="仿宋_GB2312"/>
          <w:kern w:val="0"/>
          <w:sz w:val="36"/>
        </w:rPr>
        <w:t>年</w:t>
      </w:r>
      <w:r>
        <w:rPr>
          <w:rFonts w:hint="eastAsia" w:ascii="Times New Roman" w:hAnsi="Times New Roman" w:eastAsia="仿宋_GB2312"/>
          <w:kern w:val="0"/>
          <w:sz w:val="36"/>
        </w:rPr>
        <w:t>2</w:t>
      </w:r>
      <w:r>
        <w:rPr>
          <w:rFonts w:hint="eastAsia" w:eastAsia="仿宋_GB2312"/>
          <w:kern w:val="0"/>
          <w:sz w:val="36"/>
        </w:rPr>
        <w:t>月</w:t>
      </w:r>
      <w:r>
        <w:rPr>
          <w:rFonts w:hint="eastAsia" w:ascii="Times New Roman" w:hAnsi="Times New Roman" w:eastAsia="仿宋_GB2312"/>
          <w:kern w:val="0"/>
          <w:sz w:val="36"/>
        </w:rPr>
        <w:t>29</w:t>
      </w:r>
      <w:r>
        <w:rPr>
          <w:rFonts w:hint="eastAsia" w:eastAsia="仿宋_GB2312"/>
          <w:kern w:val="0"/>
          <w:sz w:val="36"/>
        </w:rPr>
        <w:t>日</w:t>
      </w:r>
    </w:p>
    <w:p w14:paraId="2AC15EDA">
      <w:pPr>
        <w:spacing w:line="560" w:lineRule="exact"/>
        <w:ind w:firstLine="640" w:firstLineChars="200"/>
        <w:rPr>
          <w:rFonts w:eastAsia="黑体"/>
          <w:sz w:val="32"/>
        </w:rPr>
        <w:sectPr>
          <w:footerReference r:id="rId3" w:type="default"/>
          <w:pgSz w:w="11906" w:h="16838"/>
          <w:pgMar w:top="1440" w:right="1558" w:bottom="1440" w:left="1800" w:header="851" w:footer="992" w:gutter="0"/>
          <w:pgBorders>
            <w:top w:val="none" w:sz="0" w:space="0"/>
            <w:left w:val="none" w:sz="0" w:space="0"/>
            <w:bottom w:val="none" w:sz="0" w:space="0"/>
            <w:right w:val="none" w:sz="0" w:space="0"/>
          </w:pgBorders>
          <w:lnNumType w:countBy="0" w:distance="360"/>
          <w:cols w:space="720" w:num="1"/>
          <w:docGrid w:type="lines" w:linePitch="312" w:charSpace="0"/>
        </w:sectPr>
      </w:pPr>
    </w:p>
    <w:p w14:paraId="38FB9FAD">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eastAsia="黑体"/>
          <w:sz w:val="32"/>
        </w:rPr>
      </w:pPr>
      <w:r>
        <w:rPr>
          <w:rFonts w:hint="eastAsia" w:eastAsia="黑体"/>
          <w:sz w:val="32"/>
        </w:rPr>
        <w:t>一、基本情况</w:t>
      </w:r>
    </w:p>
    <w:p w14:paraId="30B0E061">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eastAsia="楷体_GB2312"/>
          <w:b/>
          <w:sz w:val="32"/>
        </w:rPr>
      </w:pPr>
      <w:r>
        <w:rPr>
          <w:rFonts w:hint="eastAsia" w:eastAsia="楷体_GB2312"/>
          <w:b/>
          <w:sz w:val="32"/>
        </w:rPr>
        <w:t>（一）项目概况</w:t>
      </w:r>
    </w:p>
    <w:p w14:paraId="34E1AD20">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1、项目背景</w:t>
      </w:r>
    </w:p>
    <w:p w14:paraId="716E3E95">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kern w:val="0"/>
          <w:sz w:val="32"/>
          <w:szCs w:val="32"/>
        </w:rPr>
      </w:pPr>
      <w:r>
        <w:rPr>
          <w:rFonts w:hint="eastAsia" w:ascii="仿宋_GB2312" w:hAnsi="仿宋_GB2312" w:eastAsia="仿宋_GB2312" w:cs="仿宋_GB2312"/>
          <w:b w:val="0"/>
          <w:bCs/>
          <w:kern w:val="0"/>
          <w:sz w:val="32"/>
          <w:szCs w:val="32"/>
        </w:rPr>
        <w:t>根据《自治区党委办公厅自治区人民政府办公厅印发&lt;自治区生态环境机构监测监察执法垂直管理制度改革实施方案&gt;的通知》（新党厅字〔2019〕60号），建立生态环境保护监察专员制度，在新疆维吾尔自治区生态环境厅设生态环境保护监察专员。跨区域设立生态环境保护监察专员办公室，驻地（州、市）开展生态环境保护监察和督察工作，人员和工作经费由自治区本级承担。</w:t>
      </w:r>
    </w:p>
    <w:p w14:paraId="23AC83B4">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Style w:val="11"/>
          <w:rFonts w:hint="eastAsia" w:ascii="仿宋_GB2312" w:hAnsi="仿宋_GB2312" w:eastAsia="仿宋_GB2312" w:cs="仿宋_GB2312"/>
          <w:b w:val="0"/>
          <w:bCs/>
          <w:spacing w:val="-4"/>
          <w:sz w:val="32"/>
          <w:szCs w:val="32"/>
        </w:rPr>
      </w:pPr>
      <w:r>
        <w:rPr>
          <w:rFonts w:hint="eastAsia" w:ascii="仿宋_GB2312" w:hAnsi="仿宋_GB2312" w:eastAsia="仿宋_GB2312" w:cs="仿宋_GB2312"/>
          <w:b w:val="0"/>
          <w:bCs/>
          <w:sz w:val="32"/>
          <w:szCs w:val="32"/>
        </w:rPr>
        <w:t>2019年</w:t>
      </w:r>
      <w:r>
        <w:rPr>
          <w:rFonts w:hint="eastAsia" w:ascii="仿宋_GB2312" w:hAnsi="仿宋_GB2312" w:eastAsia="仿宋_GB2312" w:cs="仿宋_GB2312"/>
          <w:b w:val="0"/>
          <w:bCs/>
          <w:kern w:val="0"/>
          <w:sz w:val="32"/>
          <w:szCs w:val="32"/>
        </w:rPr>
        <w:t>新疆维吾尔</w:t>
      </w:r>
      <w:r>
        <w:rPr>
          <w:rFonts w:hint="eastAsia" w:ascii="仿宋_GB2312" w:hAnsi="仿宋_GB2312" w:eastAsia="仿宋_GB2312" w:cs="仿宋_GB2312"/>
          <w:b w:val="0"/>
          <w:bCs/>
          <w:sz w:val="32"/>
          <w:szCs w:val="32"/>
        </w:rPr>
        <w:t>自治区生态环境厅在全疆设立六个监察专员办公室。新疆维吾尔自治区生态环境厅第四生态环境监察专员办公室根据《关于自治区生态环境厅6个生态环境监察专员办公室编制和具体职责的批复》（新党编办</w:t>
      </w:r>
      <w:r>
        <w:rPr>
          <w:rFonts w:hint="eastAsia" w:ascii="仿宋_GB2312" w:hAnsi="仿宋_GB2312" w:eastAsia="仿宋_GB2312" w:cs="仿宋_GB2312"/>
          <w:b w:val="0"/>
          <w:bCs/>
          <w:kern w:val="0"/>
          <w:sz w:val="32"/>
          <w:szCs w:val="32"/>
        </w:rPr>
        <w:t>〔</w:t>
      </w:r>
      <w:r>
        <w:rPr>
          <w:rFonts w:hint="eastAsia" w:ascii="仿宋_GB2312" w:hAnsi="仿宋_GB2312" w:eastAsia="仿宋_GB2312" w:cs="仿宋_GB2312"/>
          <w:b w:val="0"/>
          <w:bCs/>
          <w:sz w:val="32"/>
          <w:szCs w:val="32"/>
        </w:rPr>
        <w:t>2019</w:t>
      </w:r>
      <w:r>
        <w:rPr>
          <w:rFonts w:hint="eastAsia" w:ascii="仿宋_GB2312" w:hAnsi="仿宋_GB2312" w:eastAsia="仿宋_GB2312" w:cs="仿宋_GB2312"/>
          <w:b w:val="0"/>
          <w:bCs/>
          <w:kern w:val="0"/>
          <w:sz w:val="32"/>
          <w:szCs w:val="32"/>
        </w:rPr>
        <w:t>〕</w:t>
      </w:r>
      <w:r>
        <w:rPr>
          <w:rFonts w:hint="eastAsia" w:ascii="仿宋_GB2312" w:hAnsi="仿宋_GB2312" w:eastAsia="仿宋_GB2312" w:cs="仿宋_GB2312"/>
          <w:b w:val="0"/>
          <w:bCs/>
          <w:sz w:val="32"/>
          <w:szCs w:val="32"/>
        </w:rPr>
        <w:t>59号）要求，我办负责对哈密市、吐鲁番市党委、政府及相关部门履行生态环境保护责任情况，生态环境保护法律法规、标准、政策、规划执行情况，生态环境保护一岗双责落实情况，以及生态环境质量落实情况进行监督检查；承担生态环境损害责任追究相关协调配合工作；配合自治区生态环境保护督察组开展定期督查，并对督察整改落实情况进行督导等。</w:t>
      </w:r>
    </w:p>
    <w:p w14:paraId="67DC70AB">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lang w:val="en-US" w:eastAsia="zh-CN"/>
        </w:rPr>
        <w:t>2、</w:t>
      </w:r>
      <w:r>
        <w:rPr>
          <w:rFonts w:hint="eastAsia" w:ascii="仿宋_GB2312" w:hAnsi="仿宋_GB2312" w:eastAsia="仿宋_GB2312" w:cs="仿宋_GB2312"/>
          <w:b w:val="0"/>
          <w:bCs/>
          <w:sz w:val="32"/>
          <w:szCs w:val="32"/>
        </w:rPr>
        <w:t>项目主要内容</w:t>
      </w:r>
    </w:p>
    <w:p w14:paraId="231331D6">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主要内容：根据生态环境监察专员办公室职责，开展哈密市、吐鲁番市生态环境保护监察工作，聚焦第二轮中央生态环境督察“回头看”，认真完成第二轮中央生态环境督察和自治区生态环境保护督察整改任务；积极配合自治区级生态环境保护督察和督导工作，着力做好涉及哈密市、吐鲁番市生态环境保护督察任务，不断促进辖区生态环境质量持续改善。持续开展生态环境保护监察、督察工作，督促当地生态环境保护工作持续开展，不断构建新型生态环境保护监察体系。</w:t>
      </w:r>
    </w:p>
    <w:p w14:paraId="6D33692D">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项目实施情况：截止到2023年12月31日，本年度项目已经完成实际设立的目标。我单位对哈密市、吐鲁番市生态环境保护监察工作，聚焦第二轮中央生态环境督察“回头看”，配合整改督导二组对哈密市、吐鲁番市进行4次督导，查阅整改材料1300余份，核查点位79个，形成督导工作日报、专报6期，反馈问题73个；配合自治区级生态环境保护督察和督导工作，做好涉及哈密市、吐鲁番市生态环境保护督察任务，形成两地督察报告及典型案例上报自治区生态环境保护督察工作领导小组办公室，有力延续生态环境保护高压态势。覆盖生态环境监察区域2个，形成督察监察专项报告4个、环保督察整改情况报告4个，监察频率4次，报告质量通过率和区域覆盖率督导100%。持续开展生态环境保护监察、督察工作，督促当地生态环境保护工作持续开展，不断构建新型生态环境保护监察体系。</w:t>
      </w:r>
    </w:p>
    <w:p w14:paraId="7F653F60">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2"/>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3、资金投入和使用情况</w:t>
      </w:r>
    </w:p>
    <w:p w14:paraId="61A97427">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（1）资金投入情况</w:t>
      </w:r>
    </w:p>
    <w:p w14:paraId="219E7805">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该项目年初预算数90.00万元，全年预算数90.00万元，实际总投入90.00万元，该项目资金已全部落实到位，资金来源为财政拨款。</w:t>
      </w:r>
    </w:p>
    <w:p w14:paraId="0F4F00D9">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（2）资金使用情况</w:t>
      </w:r>
    </w:p>
    <w:p w14:paraId="46207038">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该项目年初预算数90.00万元，全年预算数90.00万元,，全年执行数90.00万元，预算执行率为100%，主要用于：支付项目实施进程中的各项费用。</w:t>
      </w:r>
    </w:p>
    <w:p w14:paraId="45601990">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rPr>
      </w:pPr>
      <w:r>
        <w:rPr>
          <w:rFonts w:hint="eastAsia" w:eastAsia="楷体_GB2312"/>
          <w:b/>
          <w:sz w:val="32"/>
        </w:rPr>
        <w:t>（二）项目绩效目标</w:t>
      </w:r>
    </w:p>
    <w:p w14:paraId="6F1655C3">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sz w:val="32"/>
          <w:lang w:val="en-US" w:eastAsia="zh-CN"/>
        </w:rPr>
      </w:pPr>
      <w:r>
        <w:rPr>
          <w:rFonts w:hint="eastAsia" w:ascii="仿宋_GB2312" w:hAnsi="仿宋_GB2312" w:eastAsia="仿宋_GB2312" w:cs="仿宋_GB2312"/>
          <w:b w:val="0"/>
          <w:bCs/>
          <w:sz w:val="32"/>
          <w:lang w:val="en-US" w:eastAsia="zh-CN"/>
        </w:rPr>
        <w:t>1、总体目标</w:t>
      </w:r>
    </w:p>
    <w:p w14:paraId="41896A6B">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sz w:val="32"/>
        </w:rPr>
      </w:pPr>
      <w:r>
        <w:rPr>
          <w:rFonts w:hint="eastAsia" w:ascii="仿宋_GB2312" w:hAnsi="仿宋_GB2312" w:eastAsia="仿宋_GB2312" w:cs="仿宋_GB2312"/>
          <w:b w:val="0"/>
          <w:bCs/>
          <w:sz w:val="32"/>
        </w:rPr>
        <w:t>根据生态环境监察专员办公室职责，2023年新疆维吾尔自治区生态环境厅第四生态环境监察专员办公室开展哈密市、吐鲁番市生态环境保护监察工作，聚焦第二轮中央生态环境督察“回头看”，督促哈密市、吐鲁番市认真完成第二轮中央生态环境督察任务；积极配合自治区级生态环境保护督察和督导工作，着力做好涉及哈密市、吐鲁番市生态环境保护督察任务，不断促进辖区生态环境质量持续改善。覆盖生态环境监察区域2个，形成督察监察专项报告4个、环保督察整改情况报告4个，监察频率4次，报告质量通过率和区域覆盖率督导100%。持续开展生态环境保护监察、督察工作，督促当地生态环境保护工作持续开展，不断构建新型生态环境保护监察体系。</w:t>
      </w:r>
    </w:p>
    <w:p w14:paraId="31C2ACE1">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2"/>
        <w:rPr>
          <w:rFonts w:hint="eastAsia" w:ascii="仿宋_GB2312" w:hAnsi="仿宋_GB2312" w:eastAsia="仿宋_GB2312" w:cs="仿宋_GB2312"/>
          <w:b w:val="0"/>
          <w:bCs/>
          <w:sz w:val="32"/>
          <w:lang w:val="en-US" w:eastAsia="zh-CN"/>
        </w:rPr>
      </w:pPr>
      <w:r>
        <w:rPr>
          <w:rFonts w:hint="eastAsia" w:ascii="仿宋_GB2312" w:hAnsi="仿宋_GB2312" w:eastAsia="仿宋_GB2312" w:cs="仿宋_GB2312"/>
          <w:b w:val="0"/>
          <w:bCs/>
          <w:sz w:val="32"/>
          <w:lang w:val="en-US" w:eastAsia="zh-CN"/>
        </w:rPr>
        <w:t>2、阶段性目标</w:t>
      </w:r>
    </w:p>
    <w:p w14:paraId="546023B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eastAsia="黑体"/>
        </w:rPr>
      </w:pPr>
      <w:r>
        <w:rPr>
          <w:rFonts w:hint="eastAsia" w:ascii="仿宋_GB2312" w:hAnsi="仿宋_GB2312" w:eastAsia="仿宋_GB2312" w:cs="仿宋_GB2312"/>
          <w:b w:val="0"/>
          <w:bCs/>
          <w:sz w:val="32"/>
        </w:rPr>
        <w:t>每季度对哈密市、吐鲁番市进行一轮次生态环境保护督导监察；聚焦第二轮中央生态环境督察“回头看”，配合整改督导二组对哈密市、吐鲁番第二轮中央生态环境督察整改情况开展督导；配合自治区级生态环境保护督察和督导工作，充分发挥派驻监察作用，提升哈密市、吐鲁番市生态环境治理效能。</w:t>
      </w:r>
    </w:p>
    <w:p w14:paraId="20878F34">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hint="eastAsia" w:eastAsia="黑体"/>
          <w:sz w:val="32"/>
        </w:rPr>
      </w:pPr>
      <w:r>
        <w:rPr>
          <w:rFonts w:hint="eastAsia" w:eastAsia="黑体"/>
          <w:sz w:val="32"/>
        </w:rPr>
        <w:t>二、绩效评价工作开展情况</w:t>
      </w:r>
    </w:p>
    <w:p w14:paraId="6ACEAE1A">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（一）绩效评价目的、对象和范围</w:t>
      </w:r>
    </w:p>
    <w:p w14:paraId="11AC5FCF">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1、绩效评价的目的</w:t>
      </w:r>
    </w:p>
    <w:p w14:paraId="2F0109A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59A26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（1）项目在实施前向项目负责人提供财政支出绩效方面的资金管理信息，促进项目支出严格按照资金管理规定进行。</w:t>
      </w:r>
    </w:p>
    <w:p w14:paraId="5873F47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（2）项目绩效管理财政支出运行提供及时、有效的信息。</w:t>
      </w:r>
    </w:p>
    <w:p w14:paraId="2AEF66C5">
      <w:pPr>
        <w:pStyle w:val="12"/>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合来看，通过开展有效的财政支出绩效评价管理，总结经验和教训，促进项目成果转化和应用，也为下一年预算编制提供充分有效的依据，以达到改进预算管理、控制节约成本，优化资源配置、提高预算资金使用效益的目的。</w:t>
      </w:r>
    </w:p>
    <w:p w14:paraId="0C2961A8">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2、绩效评价的对象</w:t>
      </w:r>
    </w:p>
    <w:p w14:paraId="6CB753B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生态环境厅环境监察专员办环境监察专项项目所包含的全部项目内容。</w:t>
      </w:r>
    </w:p>
    <w:p w14:paraId="6081412B">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3、绩效评价的范围</w:t>
      </w:r>
    </w:p>
    <w:p w14:paraId="594A688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生态环境厅环境监察专员办环境监察专项项目进行评价，评价核心为专项资金的支出完成情况和效果。</w:t>
      </w:r>
    </w:p>
    <w:p w14:paraId="3837327E">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rPr>
      </w:pPr>
      <w:r>
        <w:rPr>
          <w:rFonts w:hint="eastAsia" w:eastAsia="楷体_GB2312"/>
          <w:b/>
          <w:sz w:val="32"/>
        </w:rPr>
        <w:t>（二）绩效评价原则、评价指标体系（详情见</w:t>
      </w:r>
      <w:r>
        <w:rPr>
          <w:rFonts w:hint="eastAsia" w:eastAsia="楷体_GB2312"/>
          <w:b/>
          <w:sz w:val="32"/>
          <w:lang w:val="en-US" w:eastAsia="zh-CN"/>
        </w:rPr>
        <w:t>附表</w:t>
      </w:r>
      <w:r>
        <w:rPr>
          <w:rFonts w:hint="eastAsia" w:eastAsia="楷体_GB2312"/>
          <w:b/>
          <w:sz w:val="32"/>
        </w:rPr>
        <w:t>）、评价方法、评价标准。</w:t>
      </w:r>
    </w:p>
    <w:p w14:paraId="1605C609">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1、绩效评价原则</w:t>
      </w:r>
    </w:p>
    <w:p w14:paraId="65C349CC">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本次项目绩效评价遵循以下基本原则：</w:t>
      </w:r>
    </w:p>
    <w:p w14:paraId="603FED7E">
      <w:pPr>
        <w:pStyle w:val="2"/>
        <w:keepNext w:val="0"/>
        <w:keepLines w:val="0"/>
        <w:pageBreakBefore w:val="0"/>
        <w:widowControl/>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（1）科学公正。绩效评价应当运用科学合理的方法，按照规范的程序，对项目绩效进行客观、公正的反映。</w:t>
      </w:r>
    </w:p>
    <w:p w14:paraId="3D814D8C">
      <w:pPr>
        <w:pStyle w:val="2"/>
        <w:keepNext w:val="0"/>
        <w:keepLines w:val="0"/>
        <w:pageBreakBefore w:val="0"/>
        <w:widowControl/>
        <w:kinsoku/>
        <w:wordWrap/>
        <w:overflowPunct/>
        <w:topLinePunct w:val="0"/>
        <w:autoSpaceDE/>
        <w:autoSpaceDN/>
        <w:bidi w:val="0"/>
        <w:adjustRightInd/>
        <w:snapToGrid/>
        <w:spacing w:before="0" w:after="0" w:line="560" w:lineRule="exact"/>
        <w:ind w:left="0" w:leftChars="0" w:firstLine="640" w:firstLineChars="200"/>
        <w:jc w:val="both"/>
        <w:textAlignment w:val="auto"/>
        <w:outlineLvl w:val="9"/>
        <w:rPr>
          <w:rFonts w:hint="eastAsia" w:ascii="仿宋_GB2312" w:hAnsi="仿宋_GB2312" w:eastAsia="仿宋_GB2312" w:cs="仿宋_GB2312"/>
          <w:b w:val="0"/>
          <w:sz w:val="32"/>
          <w:szCs w:val="32"/>
        </w:rPr>
      </w:pPr>
      <w:r>
        <w:rPr>
          <w:rFonts w:hint="eastAsia" w:ascii="仿宋_GB2312" w:hAnsi="仿宋_GB2312" w:eastAsia="仿宋_GB2312" w:cs="仿宋_GB2312"/>
          <w:b w:val="0"/>
          <w:sz w:val="32"/>
          <w:szCs w:val="32"/>
        </w:rPr>
        <w:t>（2）公开透明。绩效评价结果应依法依规公开，并自觉接受社会监督。</w:t>
      </w:r>
    </w:p>
    <w:p w14:paraId="479E6245">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2、评价指标体系</w:t>
      </w:r>
    </w:p>
    <w:p w14:paraId="550AAB12">
      <w:pPr>
        <w:keepNext w:val="0"/>
        <w:keepLines w:val="0"/>
        <w:pageBreakBefore w:val="0"/>
        <w:widowControl/>
        <w:kinsoku/>
        <w:wordWrap/>
        <w:overflowPunct/>
        <w:topLinePunct w:val="0"/>
        <w:autoSpaceDE/>
        <w:autoSpaceDN/>
        <w:bidi w:val="0"/>
        <w:adjustRightInd/>
        <w:snapToGrid/>
        <w:spacing w:line="560" w:lineRule="exact"/>
        <w:ind w:left="0" w:leftChars="0"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绩效评价框架是开展绩效评价的核心。绩效评价框架包括评价准则、关键评价问题、评价指标、数据来源、数据收集方法等。指标体系建立过程如下：</w:t>
      </w:r>
    </w:p>
    <w:p w14:paraId="78182AAE">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kern w:val="28"/>
          <w:sz w:val="32"/>
          <w:szCs w:val="32"/>
        </w:rPr>
        <w:t>（1）</w:t>
      </w:r>
      <w:r>
        <w:rPr>
          <w:rFonts w:hint="eastAsia" w:ascii="仿宋_GB2312" w:hAnsi="仿宋_GB2312" w:eastAsia="仿宋_GB2312" w:cs="仿宋_GB2312"/>
          <w:color w:val="000000"/>
          <w:spacing w:val="17"/>
          <w:sz w:val="32"/>
          <w:szCs w:val="32"/>
        </w:rPr>
        <w:t>确定评价指标</w:t>
      </w:r>
    </w:p>
    <w:p w14:paraId="7A24C635">
      <w:pPr>
        <w:keepNext w:val="0"/>
        <w:keepLines w:val="0"/>
        <w:pageBreakBefore w:val="0"/>
        <w:widowControl/>
        <w:kinsoku/>
        <w:wordWrap/>
        <w:overflowPunct/>
        <w:topLinePunct w:val="0"/>
        <w:autoSpaceDE/>
        <w:autoSpaceDN/>
        <w:bidi w:val="0"/>
        <w:adjustRightInd/>
        <w:snapToGrid/>
        <w:spacing w:line="560" w:lineRule="exact"/>
        <w:ind w:left="0" w:leftChars="0"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B1DCAF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kern w:val="28"/>
          <w:sz w:val="32"/>
          <w:szCs w:val="32"/>
        </w:rPr>
        <w:t>（2）</w:t>
      </w:r>
      <w:r>
        <w:rPr>
          <w:rFonts w:hint="eastAsia" w:ascii="仿宋_GB2312" w:hAnsi="仿宋_GB2312" w:eastAsia="仿宋_GB2312" w:cs="仿宋_GB2312"/>
          <w:color w:val="000000"/>
          <w:spacing w:val="17"/>
          <w:sz w:val="32"/>
          <w:szCs w:val="32"/>
        </w:rPr>
        <w:t>确定权重</w:t>
      </w:r>
    </w:p>
    <w:p w14:paraId="62BCC044">
      <w:pPr>
        <w:keepNext w:val="0"/>
        <w:keepLines w:val="0"/>
        <w:pageBreakBefore w:val="0"/>
        <w:widowControl/>
        <w:kinsoku/>
        <w:wordWrap/>
        <w:overflowPunct/>
        <w:topLinePunct w:val="0"/>
        <w:autoSpaceDE/>
        <w:autoSpaceDN/>
        <w:bidi w:val="0"/>
        <w:adjustRightInd/>
        <w:snapToGrid/>
        <w:spacing w:line="560" w:lineRule="exact"/>
        <w:ind w:left="0" w:leftChars="0"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确定各个指标相对于项目总体绩效的权重分值。在绩效评价指标体系中，项目决策权重为</w:t>
      </w:r>
      <w:r>
        <w:rPr>
          <w:rFonts w:hint="eastAsia" w:ascii="仿宋_GB2312" w:hAnsi="仿宋_GB2312" w:eastAsia="仿宋_GB2312" w:cs="仿宋_GB2312"/>
          <w:kern w:val="28"/>
          <w:sz w:val="32"/>
          <w:szCs w:val="32"/>
        </w:rPr>
        <w:t>20</w:t>
      </w:r>
      <w:r>
        <w:rPr>
          <w:rFonts w:hint="eastAsia" w:ascii="仿宋_GB2312" w:hAnsi="仿宋_GB2312" w:eastAsia="仿宋_GB2312" w:cs="仿宋_GB2312"/>
          <w:color w:val="000000"/>
          <w:spacing w:val="17"/>
          <w:sz w:val="32"/>
          <w:szCs w:val="32"/>
        </w:rPr>
        <w:t>分，项目过程权重为</w:t>
      </w:r>
      <w:r>
        <w:rPr>
          <w:rFonts w:hint="eastAsia" w:ascii="仿宋_GB2312" w:hAnsi="仿宋_GB2312" w:eastAsia="仿宋_GB2312" w:cs="仿宋_GB2312"/>
          <w:kern w:val="28"/>
          <w:sz w:val="32"/>
          <w:szCs w:val="32"/>
        </w:rPr>
        <w:t>20</w:t>
      </w:r>
      <w:r>
        <w:rPr>
          <w:rFonts w:hint="eastAsia" w:ascii="仿宋_GB2312" w:hAnsi="仿宋_GB2312" w:eastAsia="仿宋_GB2312" w:cs="仿宋_GB2312"/>
          <w:color w:val="000000"/>
          <w:spacing w:val="17"/>
          <w:sz w:val="32"/>
          <w:szCs w:val="32"/>
        </w:rPr>
        <w:t>分，项目产出权重为</w:t>
      </w:r>
      <w:r>
        <w:rPr>
          <w:rFonts w:hint="eastAsia" w:ascii="仿宋_GB2312" w:hAnsi="仿宋_GB2312" w:eastAsia="仿宋_GB2312" w:cs="仿宋_GB2312"/>
          <w:kern w:val="28"/>
          <w:sz w:val="32"/>
          <w:szCs w:val="32"/>
        </w:rPr>
        <w:t>40</w:t>
      </w:r>
      <w:r>
        <w:rPr>
          <w:rFonts w:hint="eastAsia" w:ascii="仿宋_GB2312" w:hAnsi="仿宋_GB2312" w:eastAsia="仿宋_GB2312" w:cs="仿宋_GB2312"/>
          <w:color w:val="000000"/>
          <w:spacing w:val="17"/>
          <w:sz w:val="32"/>
          <w:szCs w:val="32"/>
        </w:rPr>
        <w:t>分，项目效益权重为</w:t>
      </w:r>
      <w:r>
        <w:rPr>
          <w:rFonts w:hint="eastAsia" w:ascii="仿宋_GB2312" w:hAnsi="仿宋_GB2312" w:eastAsia="仿宋_GB2312" w:cs="仿宋_GB2312"/>
          <w:kern w:val="28"/>
          <w:sz w:val="32"/>
          <w:szCs w:val="32"/>
        </w:rPr>
        <w:t>20</w:t>
      </w:r>
      <w:r>
        <w:rPr>
          <w:rFonts w:hint="eastAsia" w:ascii="仿宋_GB2312" w:hAnsi="仿宋_GB2312" w:eastAsia="仿宋_GB2312" w:cs="仿宋_GB2312"/>
          <w:color w:val="000000"/>
          <w:spacing w:val="17"/>
          <w:sz w:val="32"/>
          <w:szCs w:val="32"/>
        </w:rPr>
        <w:t>分。</w:t>
      </w:r>
    </w:p>
    <w:p w14:paraId="1E7845B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kern w:val="28"/>
          <w:sz w:val="32"/>
          <w:szCs w:val="32"/>
        </w:rPr>
        <w:t>（3）</w:t>
      </w:r>
      <w:r>
        <w:rPr>
          <w:rFonts w:hint="eastAsia" w:ascii="仿宋_GB2312" w:hAnsi="仿宋_GB2312" w:eastAsia="仿宋_GB2312" w:cs="仿宋_GB2312"/>
          <w:color w:val="000000"/>
          <w:spacing w:val="17"/>
          <w:sz w:val="32"/>
          <w:szCs w:val="32"/>
        </w:rPr>
        <w:t>确定指标标准值</w:t>
      </w:r>
    </w:p>
    <w:p w14:paraId="6930F1F6">
      <w:pPr>
        <w:keepNext w:val="0"/>
        <w:keepLines w:val="0"/>
        <w:pageBreakBefore w:val="0"/>
        <w:widowControl/>
        <w:kinsoku/>
        <w:wordWrap/>
        <w:overflowPunct/>
        <w:topLinePunct w:val="0"/>
        <w:autoSpaceDE/>
        <w:autoSpaceDN/>
        <w:bidi w:val="0"/>
        <w:adjustRightInd/>
        <w:snapToGrid/>
        <w:spacing w:line="560" w:lineRule="exact"/>
        <w:ind w:left="0" w:leftChars="0"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3B25CF4E">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7D312B8">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具体评价指标体系详情见附件1</w:t>
      </w:r>
    </w:p>
    <w:p w14:paraId="4FAF8D15">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3、绩效评价方法</w:t>
      </w:r>
    </w:p>
    <w:p w14:paraId="01E2133B">
      <w:pPr>
        <w:keepNext w:val="0"/>
        <w:keepLines w:val="0"/>
        <w:pageBreakBefore w:val="0"/>
        <w:widowControl/>
        <w:kinsoku/>
        <w:wordWrap/>
        <w:overflowPunct/>
        <w:topLinePunct w:val="0"/>
        <w:autoSpaceDE/>
        <w:autoSpaceDN/>
        <w:bidi w:val="0"/>
        <w:adjustRightInd/>
        <w:snapToGrid/>
        <w:spacing w:line="560" w:lineRule="exact"/>
        <w:ind w:left="0" w:leftChars="0"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绩效评价从项目决策、项目过程、项目产出、项目效益四个维度进行评价。评价对象为项目目标实施情况，评价核心为资金的支出完成情况和项目的产出效益。</w:t>
      </w:r>
    </w:p>
    <w:p w14:paraId="10208DEB">
      <w:pPr>
        <w:keepNext w:val="0"/>
        <w:keepLines w:val="0"/>
        <w:pageBreakBefore w:val="0"/>
        <w:widowControl/>
        <w:kinsoku/>
        <w:wordWrap/>
        <w:overflowPunct/>
        <w:topLinePunct w:val="0"/>
        <w:autoSpaceDE/>
        <w:autoSpaceDN/>
        <w:bidi w:val="0"/>
        <w:adjustRightInd/>
        <w:snapToGrid/>
        <w:spacing w:line="560" w:lineRule="exact"/>
        <w:ind w:left="0" w:leftChars="0"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4E65F5F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kern w:val="28"/>
          <w:sz w:val="32"/>
          <w:szCs w:val="32"/>
        </w:rPr>
        <w:t>（1）</w:t>
      </w:r>
      <w:r>
        <w:rPr>
          <w:rFonts w:hint="eastAsia" w:ascii="仿宋_GB2312" w:hAnsi="仿宋_GB2312" w:eastAsia="仿宋_GB2312" w:cs="仿宋_GB2312"/>
          <w:color w:val="000000"/>
          <w:spacing w:val="17"/>
          <w:sz w:val="32"/>
          <w:szCs w:val="32"/>
        </w:rPr>
        <w:t>比较法</w:t>
      </w:r>
    </w:p>
    <w:p w14:paraId="2C43866E">
      <w:pPr>
        <w:keepNext w:val="0"/>
        <w:keepLines w:val="0"/>
        <w:pageBreakBefore w:val="0"/>
        <w:widowControl/>
        <w:kinsoku/>
        <w:wordWrap/>
        <w:overflowPunct/>
        <w:topLinePunct w:val="0"/>
        <w:autoSpaceDE/>
        <w:autoSpaceDN/>
        <w:bidi w:val="0"/>
        <w:adjustRightInd/>
        <w:snapToGrid/>
        <w:spacing w:line="560" w:lineRule="exact"/>
        <w:ind w:left="0" w:leftChars="0"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通过对绩效目标与实施效果、历史与当期情况，综合分析绩效目标实现程度。对</w:t>
      </w:r>
      <w:r>
        <w:rPr>
          <w:rFonts w:hint="eastAsia" w:ascii="仿宋_GB2312" w:hAnsi="仿宋_GB2312" w:eastAsia="仿宋_GB2312" w:cs="仿宋_GB2312"/>
          <w:sz w:val="32"/>
          <w:szCs w:val="32"/>
        </w:rPr>
        <w:t>项目</w:t>
      </w:r>
      <w:r>
        <w:rPr>
          <w:rFonts w:hint="eastAsia" w:ascii="仿宋_GB2312" w:hAnsi="仿宋_GB2312" w:eastAsia="仿宋_GB2312" w:cs="仿宋_GB2312"/>
          <w:color w:val="000000"/>
          <w:spacing w:val="17"/>
          <w:sz w:val="32"/>
          <w:szCs w:val="32"/>
        </w:rPr>
        <w:t>最终验收情况与年度绩效目标对比、预算资金执行情况等相关因素进行比较。</w:t>
      </w:r>
    </w:p>
    <w:p w14:paraId="1360F35C">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kern w:val="28"/>
          <w:sz w:val="32"/>
          <w:szCs w:val="32"/>
        </w:rPr>
        <w:t>（2）</w:t>
      </w:r>
      <w:r>
        <w:rPr>
          <w:rFonts w:hint="eastAsia" w:ascii="仿宋_GB2312" w:hAnsi="仿宋_GB2312" w:eastAsia="仿宋_GB2312" w:cs="仿宋_GB2312"/>
          <w:color w:val="000000"/>
          <w:spacing w:val="17"/>
          <w:sz w:val="32"/>
          <w:szCs w:val="32"/>
        </w:rPr>
        <w:t>因素分析法</w:t>
      </w:r>
    </w:p>
    <w:p w14:paraId="68A5E2D2">
      <w:pPr>
        <w:keepNext w:val="0"/>
        <w:keepLines w:val="0"/>
        <w:pageBreakBefore w:val="0"/>
        <w:widowControl/>
        <w:kinsoku/>
        <w:wordWrap/>
        <w:overflowPunct/>
        <w:topLinePunct w:val="0"/>
        <w:autoSpaceDE/>
        <w:autoSpaceDN/>
        <w:bidi w:val="0"/>
        <w:adjustRightInd/>
        <w:snapToGrid/>
        <w:spacing w:line="560" w:lineRule="exact"/>
        <w:ind w:left="0" w:leftChars="0" w:firstLine="708" w:firstLineChars="200"/>
        <w:textAlignment w:val="auto"/>
        <w:rPr>
          <w:rFonts w:hint="eastAsia" w:ascii="仿宋_GB2312" w:hAnsi="仿宋_GB2312" w:eastAsia="仿宋_GB2312" w:cs="仿宋_GB2312"/>
          <w:color w:val="000000"/>
          <w:spacing w:val="17"/>
          <w:sz w:val="32"/>
          <w:szCs w:val="32"/>
        </w:rPr>
      </w:pPr>
      <w:r>
        <w:rPr>
          <w:rFonts w:hint="eastAsia" w:ascii="仿宋_GB2312" w:hAnsi="仿宋_GB2312" w:eastAsia="仿宋_GB2312" w:cs="仿宋_GB2312"/>
          <w:color w:val="000000"/>
          <w:spacing w:val="17"/>
          <w:sz w:val="32"/>
          <w:szCs w:val="32"/>
        </w:rPr>
        <w:t>通过综合分析影响绩效目标实现、实施效果的内外因素，评价绩效目标实现程度。通过对</w:t>
      </w:r>
      <w:r>
        <w:rPr>
          <w:rFonts w:hint="eastAsia" w:ascii="仿宋_GB2312" w:hAnsi="仿宋_GB2312" w:eastAsia="仿宋_GB2312" w:cs="仿宋_GB2312"/>
          <w:sz w:val="32"/>
          <w:szCs w:val="32"/>
        </w:rPr>
        <w:t>项目</w:t>
      </w:r>
      <w:r>
        <w:rPr>
          <w:rFonts w:hint="eastAsia" w:ascii="仿宋_GB2312" w:hAnsi="仿宋_GB2312" w:eastAsia="仿宋_GB2312" w:cs="仿宋_GB2312"/>
          <w:color w:val="000000"/>
          <w:spacing w:val="17"/>
          <w:sz w:val="32"/>
          <w:szCs w:val="32"/>
        </w:rPr>
        <w:t>的开展情况、项目产出数量、成本控制、资金拨付文件及自评报告等相关资料的收集和审核，综合分析各因素对绩效目标实现的影响。</w:t>
      </w:r>
    </w:p>
    <w:p w14:paraId="0F3E6BEC">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4、评价标准</w:t>
      </w:r>
    </w:p>
    <w:p w14:paraId="74ADE42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绩效评价标准通常包括计划标准、行业标准、历史标准等，用于对绩效指标完成情况进行比较、分析、评价。本次评价主要采用了计划标准、历史标准。</w:t>
      </w:r>
    </w:p>
    <w:p w14:paraId="281C72CA">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Cs/>
          <w:sz w:val="32"/>
          <w:szCs w:val="32"/>
        </w:rPr>
      </w:pPr>
      <w:bookmarkStart w:id="0" w:name="_Toc17882"/>
      <w:bookmarkStart w:id="1" w:name="_Toc31464"/>
      <w:r>
        <w:rPr>
          <w:rFonts w:hint="eastAsia" w:ascii="仿宋_GB2312" w:hAnsi="仿宋_GB2312" w:eastAsia="仿宋_GB2312" w:cs="仿宋_GB2312"/>
          <w:bCs/>
          <w:sz w:val="32"/>
          <w:szCs w:val="32"/>
        </w:rPr>
        <w:t>计划标准：指以预先制定的目标、计划、预算、定额等作为评价标准。</w:t>
      </w:r>
      <w:bookmarkEnd w:id="0"/>
      <w:bookmarkEnd w:id="1"/>
    </w:p>
    <w:p w14:paraId="77933A8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Cs/>
          <w:sz w:val="32"/>
          <w:szCs w:val="32"/>
        </w:rPr>
      </w:pPr>
      <w:bookmarkStart w:id="2" w:name="_Toc5633"/>
      <w:bookmarkStart w:id="3" w:name="_Toc2318"/>
      <w:r>
        <w:rPr>
          <w:rFonts w:hint="eastAsia" w:ascii="仿宋_GB2312" w:hAnsi="仿宋_GB2312" w:eastAsia="仿宋_GB2312" w:cs="仿宋_GB2312"/>
          <w:bCs/>
          <w:sz w:val="32"/>
          <w:szCs w:val="32"/>
        </w:rPr>
        <w:t>行业标准：指参照国家公布的行业指标数据制定的评价标准。</w:t>
      </w:r>
      <w:bookmarkEnd w:id="2"/>
      <w:bookmarkEnd w:id="3"/>
    </w:p>
    <w:p w14:paraId="330B02CE">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bookmarkStart w:id="4" w:name="_Toc430"/>
      <w:bookmarkStart w:id="5" w:name="_Toc16028"/>
      <w:r>
        <w:rPr>
          <w:rFonts w:hint="eastAsia" w:ascii="仿宋_GB2312" w:hAnsi="仿宋_GB2312" w:eastAsia="仿宋_GB2312" w:cs="仿宋_GB2312"/>
          <w:bCs/>
          <w:sz w:val="32"/>
          <w:szCs w:val="32"/>
        </w:rPr>
        <w:t>历史标准</w:t>
      </w:r>
      <w:r>
        <w:rPr>
          <w:rFonts w:hint="eastAsia" w:ascii="仿宋_GB2312" w:hAnsi="仿宋_GB2312" w:eastAsia="仿宋_GB2312" w:cs="仿宋_GB2312"/>
          <w:b/>
          <w:sz w:val="32"/>
          <w:szCs w:val="32"/>
        </w:rPr>
        <w:t>：</w:t>
      </w:r>
      <w:r>
        <w:rPr>
          <w:rFonts w:hint="eastAsia" w:ascii="仿宋_GB2312" w:hAnsi="仿宋_GB2312" w:eastAsia="仿宋_GB2312" w:cs="仿宋_GB2312"/>
          <w:sz w:val="32"/>
          <w:szCs w:val="32"/>
        </w:rPr>
        <w:t>指参照历史数据制定的评价标准，为体现绩效改进的原则，在可实现的条件下应当确定相对较高的评价标准。</w:t>
      </w:r>
      <w:bookmarkEnd w:id="4"/>
      <w:bookmarkEnd w:id="5"/>
    </w:p>
    <w:p w14:paraId="1301C1F2">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rPr>
      </w:pPr>
      <w:r>
        <w:rPr>
          <w:rFonts w:hint="eastAsia" w:eastAsia="楷体_GB2312"/>
          <w:b/>
          <w:sz w:val="32"/>
          <w:lang w:eastAsia="zh-CN"/>
        </w:rPr>
        <w:t>（</w:t>
      </w:r>
      <w:r>
        <w:rPr>
          <w:rFonts w:hint="eastAsia" w:eastAsia="楷体_GB2312"/>
          <w:b/>
          <w:sz w:val="32"/>
          <w:lang w:val="en-US" w:eastAsia="zh-CN"/>
        </w:rPr>
        <w:t>三</w:t>
      </w:r>
      <w:r>
        <w:rPr>
          <w:rFonts w:hint="eastAsia" w:eastAsia="楷体_GB2312"/>
          <w:b/>
          <w:sz w:val="32"/>
          <w:lang w:eastAsia="zh-CN"/>
        </w:rPr>
        <w:t>）</w:t>
      </w:r>
      <w:r>
        <w:rPr>
          <w:rFonts w:hint="eastAsia" w:eastAsia="楷体_GB2312"/>
          <w:b/>
          <w:sz w:val="32"/>
        </w:rPr>
        <w:t>绩效评价工作过程</w:t>
      </w:r>
    </w:p>
    <w:p w14:paraId="4C0548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rPr>
      </w:pPr>
      <w:r>
        <w:rPr>
          <w:rFonts w:hint="eastAsia" w:ascii="Times New Roman" w:hAnsi="Times New Roman" w:eastAsia="仿宋_GB2312"/>
          <w:kern w:val="28"/>
          <w:sz w:val="32"/>
        </w:rPr>
        <w:t>1.</w:t>
      </w:r>
      <w:r>
        <w:rPr>
          <w:rFonts w:hint="eastAsia" w:eastAsia="仿宋_GB2312"/>
          <w:sz w:val="32"/>
        </w:rPr>
        <w:t>前期准备。</w:t>
      </w:r>
      <w:r>
        <w:rPr>
          <w:rFonts w:hint="eastAsia" w:ascii="仿宋_GB2312" w:eastAsia="仿宋_GB2312"/>
          <w:sz w:val="32"/>
        </w:rPr>
        <w:t>明确项目绩效评价对象、评价工作目标及评价要求；了解项目</w:t>
      </w:r>
      <w:r>
        <w:rPr>
          <w:rFonts w:hint="eastAsia" w:eastAsia="仿宋_GB2312"/>
          <w:sz w:val="32"/>
        </w:rPr>
        <w:t>项目概况、评价思路、方法手段、组织实施、进度安排等，</w:t>
      </w:r>
      <w:r>
        <w:rPr>
          <w:rFonts w:hint="eastAsia" w:ascii="仿宋_GB2312" w:eastAsia="仿宋_GB2312"/>
          <w:sz w:val="32"/>
        </w:rPr>
        <w:t>收集相关资料，拟定评价工作方案，设计评价指标，并对评价方案不断修订和完善。</w:t>
      </w:r>
    </w:p>
    <w:p w14:paraId="559800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rPr>
      </w:pPr>
      <w:r>
        <w:rPr>
          <w:rFonts w:hint="eastAsia" w:ascii="Times New Roman" w:hAnsi="Times New Roman" w:eastAsia="仿宋_GB2312"/>
          <w:kern w:val="28"/>
          <w:sz w:val="32"/>
        </w:rPr>
        <w:t>2.</w:t>
      </w:r>
      <w:r>
        <w:rPr>
          <w:rFonts w:hint="eastAsia" w:eastAsia="仿宋_GB2312"/>
          <w:sz w:val="32"/>
        </w:rPr>
        <w:t>组织实施。</w:t>
      </w:r>
      <w:r>
        <w:rPr>
          <w:rFonts w:hint="eastAsia" w:ascii="仿宋_GB2312" w:eastAsia="仿宋_GB2312"/>
          <w:sz w:val="32"/>
        </w:rPr>
        <w:t>查阅、收集有关文件、规章制度、工作台帐等评价资料；审查项目资金的透明度，调查相关管理制度是否建立健全并落实到位；查看与项目相关的财务会计报表、账簿、会计凭证，了解各项收支情况、实际支出情况和财务管理状况。</w:t>
      </w:r>
    </w:p>
    <w:p w14:paraId="20FD04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sz w:val="32"/>
        </w:rPr>
      </w:pPr>
      <w:r>
        <w:rPr>
          <w:rFonts w:hint="eastAsia" w:ascii="Times New Roman" w:hAnsi="Times New Roman" w:eastAsia="仿宋_GB2312"/>
          <w:kern w:val="28"/>
          <w:sz w:val="32"/>
        </w:rPr>
        <w:t>3.</w:t>
      </w:r>
      <w:r>
        <w:rPr>
          <w:rFonts w:hint="eastAsia" w:eastAsia="仿宋_GB2312"/>
          <w:sz w:val="32"/>
        </w:rPr>
        <w:t>分析评价。根据收集梳理的资料围绕项目立项、资金落实、业务管理、财务管理、项目产出、项目效益等内容，对照已确定的绩效评价指标进行详细全面的分析评价，逐项打分并形成绩效评价最终结果。</w:t>
      </w:r>
    </w:p>
    <w:p w14:paraId="538198AA">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hint="eastAsia" w:eastAsia="黑体"/>
          <w:sz w:val="32"/>
        </w:rPr>
      </w:pPr>
      <w:r>
        <w:rPr>
          <w:rFonts w:hint="eastAsia" w:eastAsia="黑体"/>
          <w:sz w:val="32"/>
          <w:lang w:val="en-US" w:eastAsia="zh-CN"/>
        </w:rPr>
        <w:t>三、</w:t>
      </w:r>
      <w:r>
        <w:rPr>
          <w:rFonts w:hint="eastAsia" w:eastAsia="黑体"/>
          <w:sz w:val="32"/>
        </w:rPr>
        <w:t>综合评价情况及评价结论（附相关评分表）</w:t>
      </w:r>
    </w:p>
    <w:p w14:paraId="79D8FC89">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lang w:eastAsia="zh-CN"/>
        </w:rPr>
      </w:pPr>
      <w:r>
        <w:rPr>
          <w:rFonts w:hint="eastAsia" w:eastAsia="楷体_GB2312"/>
          <w:b/>
          <w:sz w:val="32"/>
          <w:lang w:eastAsia="zh-CN"/>
        </w:rPr>
        <w:t>（一）评价情况</w:t>
      </w:r>
    </w:p>
    <w:p w14:paraId="7B6E3264">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858A587">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lang w:eastAsia="zh-CN"/>
        </w:rPr>
      </w:pPr>
      <w:r>
        <w:rPr>
          <w:rFonts w:hint="eastAsia" w:eastAsia="楷体_GB2312"/>
          <w:b/>
          <w:sz w:val="32"/>
          <w:lang w:eastAsia="zh-CN"/>
        </w:rPr>
        <w:t>（二）评价结论</w:t>
      </w:r>
    </w:p>
    <w:p w14:paraId="6B20514E">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eastAsia" w:ascii="Times New Roman" w:hAnsi="Times New Roman" w:eastAsia="仿宋_GB2312"/>
          <w:b w:val="0"/>
        </w:rPr>
      </w:pPr>
      <w:r>
        <w:rPr>
          <w:rFonts w:hint="eastAsia" w:ascii="仿宋_GB2312" w:hAnsi="仿宋_GB2312" w:eastAsia="仿宋_GB2312" w:cs="仿宋_GB2312"/>
          <w:b w:val="0"/>
        </w:rPr>
        <w:t>运用绩效评价组制定的评价指标体系以及财政部《项目支出绩效评价管理办法》（财预〔2020〕10号）文件的评分标准，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14:paraId="40DD3EC8">
      <w:pPr>
        <w:pStyle w:val="5"/>
        <w:bidi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表1综合评分表</w:t>
      </w:r>
    </w:p>
    <w:tbl>
      <w:tblPr>
        <w:tblStyle w:val="9"/>
        <w:tblW w:w="4999" w:type="pct"/>
        <w:tblInd w:w="0" w:type="dxa"/>
        <w:tblLayout w:type="autofit"/>
        <w:tblCellMar>
          <w:top w:w="0" w:type="dxa"/>
          <w:left w:w="108" w:type="dxa"/>
          <w:bottom w:w="0" w:type="dxa"/>
          <w:right w:w="108" w:type="dxa"/>
        </w:tblCellMar>
      </w:tblPr>
      <w:tblGrid>
        <w:gridCol w:w="3260"/>
        <w:gridCol w:w="2751"/>
        <w:gridCol w:w="2751"/>
      </w:tblGrid>
      <w:tr w14:paraId="61C2B7C3">
        <w:tblPrEx>
          <w:tblCellMar>
            <w:top w:w="0" w:type="dxa"/>
            <w:left w:w="108" w:type="dxa"/>
            <w:bottom w:w="0" w:type="dxa"/>
            <w:right w:w="108" w:type="dxa"/>
          </w:tblCellMar>
        </w:tblPrEx>
        <w:trPr>
          <w:trHeight w:val="463" w:hRule="atLeast"/>
          <w:tblHeader/>
        </w:trPr>
        <w:tc>
          <w:tcPr>
            <w:tcW w:w="1860" w:type="pct"/>
            <w:tcBorders>
              <w:top w:val="single" w:color="auto" w:sz="4" w:space="0"/>
              <w:left w:val="single" w:color="auto" w:sz="4" w:space="0"/>
              <w:bottom w:val="single" w:color="auto" w:sz="4" w:space="0"/>
              <w:right w:val="single" w:color="auto" w:sz="4" w:space="0"/>
            </w:tcBorders>
            <w:shd w:val="clear" w:color="000000" w:fill="auto"/>
            <w:noWrap w:val="0"/>
            <w:vAlign w:val="center"/>
          </w:tcPr>
          <w:p w14:paraId="45AF5445">
            <w:pPr>
              <w:keepNext w:val="0"/>
              <w:keepLines w:val="0"/>
              <w:pageBreakBefore w:val="0"/>
              <w:widowControl/>
              <w:kinsoku/>
              <w:wordWrap/>
              <w:overflowPunct w:val="0"/>
              <w:topLinePunct w:val="0"/>
              <w:autoSpaceDE/>
              <w:autoSpaceDN/>
              <w:bidi w:val="0"/>
              <w:adjustRightInd/>
              <w:snapToGrid/>
              <w:jc w:val="center"/>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一级指标</w:t>
            </w:r>
          </w:p>
        </w:tc>
        <w:tc>
          <w:tcPr>
            <w:tcW w:w="1569" w:type="pct"/>
            <w:tcBorders>
              <w:top w:val="single" w:color="auto" w:sz="4" w:space="0"/>
              <w:left w:val="nil"/>
              <w:bottom w:val="single" w:color="auto" w:sz="4" w:space="0"/>
              <w:right w:val="single" w:color="auto" w:sz="4" w:space="0"/>
            </w:tcBorders>
            <w:shd w:val="clear" w:color="000000" w:fill="auto"/>
            <w:noWrap w:val="0"/>
            <w:vAlign w:val="center"/>
          </w:tcPr>
          <w:p w14:paraId="22816D3D">
            <w:pPr>
              <w:keepNext w:val="0"/>
              <w:keepLines w:val="0"/>
              <w:pageBreakBefore w:val="0"/>
              <w:widowControl/>
              <w:kinsoku/>
              <w:wordWrap/>
              <w:overflowPunct w:val="0"/>
              <w:topLinePunct w:val="0"/>
              <w:autoSpaceDE/>
              <w:autoSpaceDN/>
              <w:bidi w:val="0"/>
              <w:adjustRightInd/>
              <w:snapToGrid/>
              <w:jc w:val="center"/>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权重分</w:t>
            </w:r>
          </w:p>
        </w:tc>
        <w:tc>
          <w:tcPr>
            <w:tcW w:w="1569" w:type="pct"/>
            <w:tcBorders>
              <w:top w:val="single" w:color="auto" w:sz="4" w:space="0"/>
              <w:left w:val="nil"/>
              <w:bottom w:val="single" w:color="auto" w:sz="4" w:space="0"/>
              <w:right w:val="single" w:color="auto" w:sz="4" w:space="0"/>
            </w:tcBorders>
            <w:shd w:val="clear" w:color="000000" w:fill="auto"/>
            <w:noWrap w:val="0"/>
            <w:vAlign w:val="center"/>
          </w:tcPr>
          <w:p w14:paraId="2390F15C">
            <w:pPr>
              <w:keepNext w:val="0"/>
              <w:keepLines w:val="0"/>
              <w:pageBreakBefore w:val="0"/>
              <w:widowControl/>
              <w:kinsoku/>
              <w:wordWrap/>
              <w:overflowPunct w:val="0"/>
              <w:topLinePunct w:val="0"/>
              <w:autoSpaceDE/>
              <w:autoSpaceDN/>
              <w:bidi w:val="0"/>
              <w:adjustRightInd/>
              <w:snapToGrid/>
              <w:jc w:val="center"/>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得分</w:t>
            </w:r>
          </w:p>
        </w:tc>
      </w:tr>
      <w:tr w14:paraId="2F625CD4">
        <w:tblPrEx>
          <w:tblCellMar>
            <w:top w:w="0" w:type="dxa"/>
            <w:left w:w="108" w:type="dxa"/>
            <w:bottom w:w="0" w:type="dxa"/>
            <w:right w:w="108" w:type="dxa"/>
          </w:tblCellMar>
        </w:tblPrEx>
        <w:trPr>
          <w:trHeight w:val="472" w:hRule="atLeast"/>
        </w:trPr>
        <w:tc>
          <w:tcPr>
            <w:tcW w:w="1860" w:type="pct"/>
            <w:tcBorders>
              <w:top w:val="nil"/>
              <w:left w:val="single" w:color="auto" w:sz="4" w:space="0"/>
              <w:bottom w:val="single" w:color="auto" w:sz="4" w:space="0"/>
              <w:right w:val="single" w:color="auto" w:sz="4" w:space="0"/>
            </w:tcBorders>
            <w:shd w:val="clear" w:color="000000" w:fill="auto"/>
            <w:noWrap w:val="0"/>
            <w:vAlign w:val="center"/>
          </w:tcPr>
          <w:p w14:paraId="575DD0EE">
            <w:pPr>
              <w:keepNext w:val="0"/>
              <w:keepLines w:val="0"/>
              <w:pageBreakBefore w:val="0"/>
              <w:widowControl/>
              <w:kinsoku/>
              <w:wordWrap/>
              <w:overflowPunct w:val="0"/>
              <w:topLinePunct w:val="0"/>
              <w:autoSpaceDE/>
              <w:autoSpaceDN/>
              <w:bidi w:val="0"/>
              <w:adjustRightInd/>
              <w:snapToGrid/>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项目决策</w:t>
            </w:r>
          </w:p>
        </w:tc>
        <w:tc>
          <w:tcPr>
            <w:tcW w:w="1569" w:type="pct"/>
            <w:tcBorders>
              <w:top w:val="nil"/>
              <w:left w:val="nil"/>
              <w:bottom w:val="single" w:color="auto" w:sz="4" w:space="0"/>
              <w:right w:val="single" w:color="auto" w:sz="4" w:space="0"/>
            </w:tcBorders>
            <w:shd w:val="clear" w:color="000000" w:fill="auto"/>
            <w:noWrap w:val="0"/>
            <w:vAlign w:val="center"/>
          </w:tcPr>
          <w:p w14:paraId="15E5A286">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20</w:t>
            </w:r>
          </w:p>
        </w:tc>
        <w:tc>
          <w:tcPr>
            <w:tcW w:w="1569" w:type="pct"/>
            <w:tcBorders>
              <w:top w:val="nil"/>
              <w:left w:val="nil"/>
              <w:bottom w:val="single" w:color="auto" w:sz="4" w:space="0"/>
              <w:right w:val="single" w:color="auto" w:sz="4" w:space="0"/>
            </w:tcBorders>
            <w:shd w:val="clear" w:color="000000" w:fill="auto"/>
            <w:noWrap w:val="0"/>
            <w:vAlign w:val="center"/>
          </w:tcPr>
          <w:p w14:paraId="29D58DF6">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20</w:t>
            </w:r>
          </w:p>
        </w:tc>
      </w:tr>
      <w:tr w14:paraId="435D9193">
        <w:tblPrEx>
          <w:tblCellMar>
            <w:top w:w="0" w:type="dxa"/>
            <w:left w:w="108" w:type="dxa"/>
            <w:bottom w:w="0" w:type="dxa"/>
            <w:right w:w="108" w:type="dxa"/>
          </w:tblCellMar>
        </w:tblPrEx>
        <w:trPr>
          <w:trHeight w:val="340" w:hRule="atLeast"/>
        </w:trPr>
        <w:tc>
          <w:tcPr>
            <w:tcW w:w="1860" w:type="pct"/>
            <w:tcBorders>
              <w:top w:val="nil"/>
              <w:left w:val="single" w:color="auto" w:sz="4" w:space="0"/>
              <w:bottom w:val="single" w:color="auto" w:sz="4" w:space="0"/>
              <w:right w:val="single" w:color="auto" w:sz="4" w:space="0"/>
            </w:tcBorders>
            <w:shd w:val="clear" w:color="000000" w:fill="auto"/>
            <w:noWrap w:val="0"/>
            <w:vAlign w:val="center"/>
          </w:tcPr>
          <w:p w14:paraId="7BC03F02">
            <w:pPr>
              <w:keepNext w:val="0"/>
              <w:keepLines w:val="0"/>
              <w:pageBreakBefore w:val="0"/>
              <w:widowControl/>
              <w:kinsoku/>
              <w:wordWrap/>
              <w:overflowPunct w:val="0"/>
              <w:topLinePunct w:val="0"/>
              <w:autoSpaceDE/>
              <w:autoSpaceDN/>
              <w:bidi w:val="0"/>
              <w:adjustRightInd/>
              <w:snapToGrid/>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项目过程</w:t>
            </w:r>
          </w:p>
        </w:tc>
        <w:tc>
          <w:tcPr>
            <w:tcW w:w="1569" w:type="pct"/>
            <w:tcBorders>
              <w:top w:val="nil"/>
              <w:left w:val="nil"/>
              <w:bottom w:val="single" w:color="auto" w:sz="4" w:space="0"/>
              <w:right w:val="single" w:color="auto" w:sz="4" w:space="0"/>
            </w:tcBorders>
            <w:shd w:val="clear" w:color="000000" w:fill="auto"/>
            <w:noWrap w:val="0"/>
            <w:vAlign w:val="center"/>
          </w:tcPr>
          <w:p w14:paraId="7E39090E">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20</w:t>
            </w:r>
          </w:p>
        </w:tc>
        <w:tc>
          <w:tcPr>
            <w:tcW w:w="1569" w:type="pct"/>
            <w:tcBorders>
              <w:top w:val="nil"/>
              <w:left w:val="nil"/>
              <w:bottom w:val="single" w:color="auto" w:sz="4" w:space="0"/>
              <w:right w:val="single" w:color="auto" w:sz="4" w:space="0"/>
            </w:tcBorders>
            <w:shd w:val="clear" w:color="000000" w:fill="auto"/>
            <w:noWrap w:val="0"/>
            <w:vAlign w:val="center"/>
          </w:tcPr>
          <w:p w14:paraId="716F845B">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20</w:t>
            </w:r>
          </w:p>
        </w:tc>
      </w:tr>
      <w:tr w14:paraId="2E61A8D7">
        <w:tblPrEx>
          <w:tblCellMar>
            <w:top w:w="0" w:type="dxa"/>
            <w:left w:w="108" w:type="dxa"/>
            <w:bottom w:w="0" w:type="dxa"/>
            <w:right w:w="108" w:type="dxa"/>
          </w:tblCellMar>
        </w:tblPrEx>
        <w:trPr>
          <w:trHeight w:val="340" w:hRule="atLeast"/>
        </w:trPr>
        <w:tc>
          <w:tcPr>
            <w:tcW w:w="1860" w:type="pct"/>
            <w:tcBorders>
              <w:top w:val="nil"/>
              <w:left w:val="single" w:color="auto" w:sz="4" w:space="0"/>
              <w:bottom w:val="single" w:color="auto" w:sz="4" w:space="0"/>
              <w:right w:val="single" w:color="auto" w:sz="4" w:space="0"/>
            </w:tcBorders>
            <w:shd w:val="clear" w:color="000000" w:fill="auto"/>
            <w:noWrap w:val="0"/>
            <w:vAlign w:val="center"/>
          </w:tcPr>
          <w:p w14:paraId="50AB673C">
            <w:pPr>
              <w:keepNext w:val="0"/>
              <w:keepLines w:val="0"/>
              <w:pageBreakBefore w:val="0"/>
              <w:widowControl/>
              <w:kinsoku/>
              <w:wordWrap/>
              <w:overflowPunct w:val="0"/>
              <w:topLinePunct w:val="0"/>
              <w:autoSpaceDE/>
              <w:autoSpaceDN/>
              <w:bidi w:val="0"/>
              <w:adjustRightInd/>
              <w:snapToGrid/>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项目产出</w:t>
            </w:r>
          </w:p>
        </w:tc>
        <w:tc>
          <w:tcPr>
            <w:tcW w:w="1569" w:type="pct"/>
            <w:tcBorders>
              <w:top w:val="nil"/>
              <w:left w:val="nil"/>
              <w:bottom w:val="single" w:color="auto" w:sz="4" w:space="0"/>
              <w:right w:val="single" w:color="auto" w:sz="4" w:space="0"/>
            </w:tcBorders>
            <w:shd w:val="clear" w:color="000000" w:fill="auto"/>
            <w:noWrap w:val="0"/>
            <w:vAlign w:val="center"/>
          </w:tcPr>
          <w:p w14:paraId="7967EFEC">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40</w:t>
            </w:r>
          </w:p>
        </w:tc>
        <w:tc>
          <w:tcPr>
            <w:tcW w:w="1569" w:type="pct"/>
            <w:tcBorders>
              <w:top w:val="nil"/>
              <w:left w:val="nil"/>
              <w:bottom w:val="single" w:color="auto" w:sz="4" w:space="0"/>
              <w:right w:val="single" w:color="auto" w:sz="4" w:space="0"/>
            </w:tcBorders>
            <w:shd w:val="clear" w:color="000000" w:fill="auto"/>
            <w:noWrap w:val="0"/>
            <w:vAlign w:val="center"/>
          </w:tcPr>
          <w:p w14:paraId="300EF054">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40</w:t>
            </w:r>
          </w:p>
        </w:tc>
      </w:tr>
      <w:tr w14:paraId="7824552B">
        <w:tblPrEx>
          <w:tblCellMar>
            <w:top w:w="0" w:type="dxa"/>
            <w:left w:w="108" w:type="dxa"/>
            <w:bottom w:w="0" w:type="dxa"/>
            <w:right w:w="108" w:type="dxa"/>
          </w:tblCellMar>
        </w:tblPrEx>
        <w:trPr>
          <w:trHeight w:val="340" w:hRule="atLeast"/>
        </w:trPr>
        <w:tc>
          <w:tcPr>
            <w:tcW w:w="1860" w:type="pct"/>
            <w:tcBorders>
              <w:top w:val="nil"/>
              <w:left w:val="single" w:color="auto" w:sz="4" w:space="0"/>
              <w:bottom w:val="single" w:color="auto" w:sz="4" w:space="0"/>
              <w:right w:val="single" w:color="auto" w:sz="4" w:space="0"/>
            </w:tcBorders>
            <w:shd w:val="clear" w:color="000000" w:fill="auto"/>
            <w:noWrap w:val="0"/>
            <w:vAlign w:val="center"/>
          </w:tcPr>
          <w:p w14:paraId="7FEDB5BF">
            <w:pPr>
              <w:keepNext w:val="0"/>
              <w:keepLines w:val="0"/>
              <w:pageBreakBefore w:val="0"/>
              <w:widowControl/>
              <w:kinsoku/>
              <w:wordWrap/>
              <w:overflowPunct w:val="0"/>
              <w:topLinePunct w:val="0"/>
              <w:autoSpaceDE/>
              <w:autoSpaceDN/>
              <w:bidi w:val="0"/>
              <w:adjustRightInd/>
              <w:snapToGrid/>
              <w:jc w:val="center"/>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项目效益</w:t>
            </w:r>
          </w:p>
        </w:tc>
        <w:tc>
          <w:tcPr>
            <w:tcW w:w="1569" w:type="pct"/>
            <w:tcBorders>
              <w:top w:val="nil"/>
              <w:left w:val="nil"/>
              <w:bottom w:val="single" w:color="auto" w:sz="4" w:space="0"/>
              <w:right w:val="single" w:color="auto" w:sz="4" w:space="0"/>
            </w:tcBorders>
            <w:shd w:val="clear" w:color="000000" w:fill="auto"/>
            <w:noWrap w:val="0"/>
            <w:vAlign w:val="center"/>
          </w:tcPr>
          <w:p w14:paraId="5447F001">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20</w:t>
            </w:r>
          </w:p>
        </w:tc>
        <w:tc>
          <w:tcPr>
            <w:tcW w:w="1569" w:type="pct"/>
            <w:tcBorders>
              <w:top w:val="nil"/>
              <w:left w:val="nil"/>
              <w:bottom w:val="single" w:color="auto" w:sz="4" w:space="0"/>
              <w:right w:val="single" w:color="auto" w:sz="4" w:space="0"/>
            </w:tcBorders>
            <w:shd w:val="clear" w:color="000000" w:fill="auto"/>
            <w:noWrap w:val="0"/>
            <w:vAlign w:val="center"/>
          </w:tcPr>
          <w:p w14:paraId="3C2560A5">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20</w:t>
            </w:r>
          </w:p>
        </w:tc>
      </w:tr>
      <w:tr w14:paraId="4A89BAA3">
        <w:tblPrEx>
          <w:tblCellMar>
            <w:top w:w="0" w:type="dxa"/>
            <w:left w:w="108" w:type="dxa"/>
            <w:bottom w:w="0" w:type="dxa"/>
            <w:right w:w="108" w:type="dxa"/>
          </w:tblCellMar>
        </w:tblPrEx>
        <w:trPr>
          <w:trHeight w:val="340" w:hRule="atLeast"/>
        </w:trPr>
        <w:tc>
          <w:tcPr>
            <w:tcW w:w="1860" w:type="pct"/>
            <w:tcBorders>
              <w:top w:val="nil"/>
              <w:left w:val="single" w:color="auto" w:sz="4" w:space="0"/>
              <w:bottom w:val="single" w:color="auto" w:sz="4" w:space="0"/>
              <w:right w:val="single" w:color="auto" w:sz="4" w:space="0"/>
            </w:tcBorders>
            <w:shd w:val="clear" w:color="000000" w:fill="auto"/>
            <w:noWrap w:val="0"/>
            <w:vAlign w:val="center"/>
          </w:tcPr>
          <w:p w14:paraId="2A789793">
            <w:pPr>
              <w:keepNext w:val="0"/>
              <w:keepLines w:val="0"/>
              <w:pageBreakBefore w:val="0"/>
              <w:widowControl/>
              <w:kinsoku/>
              <w:wordWrap/>
              <w:overflowPunct w:val="0"/>
              <w:topLinePunct w:val="0"/>
              <w:autoSpaceDE/>
              <w:autoSpaceDN/>
              <w:bidi w:val="0"/>
              <w:adjustRightInd/>
              <w:snapToGrid/>
              <w:jc w:val="center"/>
              <w:textAlignment w:val="auto"/>
              <w:rPr>
                <w:rFonts w:hint="eastAsia" w:ascii="仿宋_GB2312" w:hAnsi="仿宋_GB2312" w:eastAsia="仿宋_GB2312" w:cs="仿宋_GB2312"/>
                <w:b/>
                <w:color w:val="000000"/>
                <w:sz w:val="24"/>
                <w:szCs w:val="24"/>
              </w:rPr>
            </w:pPr>
            <w:r>
              <w:rPr>
                <w:rFonts w:hint="eastAsia" w:ascii="仿宋_GB2312" w:hAnsi="仿宋_GB2312" w:eastAsia="仿宋_GB2312" w:cs="仿宋_GB2312"/>
                <w:b/>
                <w:color w:val="000000"/>
                <w:sz w:val="24"/>
                <w:szCs w:val="24"/>
              </w:rPr>
              <w:t>合计</w:t>
            </w:r>
          </w:p>
        </w:tc>
        <w:tc>
          <w:tcPr>
            <w:tcW w:w="1569" w:type="pct"/>
            <w:tcBorders>
              <w:top w:val="nil"/>
              <w:left w:val="nil"/>
              <w:bottom w:val="single" w:color="auto" w:sz="4" w:space="0"/>
              <w:right w:val="single" w:color="auto" w:sz="4" w:space="0"/>
            </w:tcBorders>
            <w:shd w:val="clear" w:color="000000" w:fill="auto"/>
            <w:noWrap w:val="0"/>
            <w:vAlign w:val="center"/>
          </w:tcPr>
          <w:p w14:paraId="4385E2C3">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100</w:t>
            </w:r>
          </w:p>
        </w:tc>
        <w:tc>
          <w:tcPr>
            <w:tcW w:w="1569" w:type="pct"/>
            <w:tcBorders>
              <w:top w:val="nil"/>
              <w:left w:val="nil"/>
              <w:bottom w:val="single" w:color="auto" w:sz="4" w:space="0"/>
              <w:right w:val="single" w:color="auto" w:sz="4" w:space="0"/>
            </w:tcBorders>
            <w:shd w:val="clear" w:color="000000" w:fill="auto"/>
            <w:noWrap w:val="0"/>
            <w:vAlign w:val="center"/>
          </w:tcPr>
          <w:p w14:paraId="6F2CE0BD">
            <w:pPr>
              <w:keepNext w:val="0"/>
              <w:keepLines w:val="0"/>
              <w:pageBreakBefore w:val="0"/>
              <w:widowControl/>
              <w:kinsoku/>
              <w:wordWrap/>
              <w:overflowPunct w:val="0"/>
              <w:topLinePunct w:val="0"/>
              <w:autoSpaceDE/>
              <w:autoSpaceDN/>
              <w:bidi w:val="0"/>
              <w:adjustRightInd/>
              <w:snapToGrid/>
              <w:spacing w:line="560" w:lineRule="exact"/>
              <w:jc w:val="center"/>
              <w:textAlignment w:val="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100</w:t>
            </w:r>
          </w:p>
        </w:tc>
      </w:tr>
    </w:tbl>
    <w:p w14:paraId="2D1307F5">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hint="eastAsia" w:eastAsia="黑体"/>
          <w:sz w:val="32"/>
          <w:lang w:val="en-US" w:eastAsia="zh-CN"/>
        </w:rPr>
      </w:pPr>
      <w:r>
        <w:rPr>
          <w:rFonts w:hint="eastAsia" w:eastAsia="黑体"/>
          <w:sz w:val="32"/>
          <w:lang w:val="en-US" w:eastAsia="zh-CN"/>
        </w:rPr>
        <w:t>四、绩效评价指标分析</w:t>
      </w:r>
    </w:p>
    <w:p w14:paraId="3CC5DD8F">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lang w:eastAsia="zh-CN"/>
        </w:rPr>
      </w:pPr>
      <w:r>
        <w:rPr>
          <w:rFonts w:hint="eastAsia" w:eastAsia="楷体_GB2312"/>
          <w:b/>
          <w:sz w:val="32"/>
          <w:lang w:eastAsia="zh-CN"/>
        </w:rPr>
        <w:t>（一）项目决策情况</w:t>
      </w:r>
    </w:p>
    <w:p w14:paraId="075D4F93">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项目决策类指标包括项目立项、绩效目标和资金投入三方面的内容，由6个三级指标构成，权重分值为20分，实际得分20分，得分率为100%。</w:t>
      </w:r>
    </w:p>
    <w:p w14:paraId="5B8E032D">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1.项目立项</w:t>
      </w:r>
    </w:p>
    <w:p w14:paraId="06A59E4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5C902DD6">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该项目立项符合国家相关法律法规及发展政策，符合行业规划要求，围绕本年度工作重点和工作计划制定经费预算，属于公共财政支持范围。职能文件等归档完整。</w:t>
      </w:r>
    </w:p>
    <w:p w14:paraId="02505B0F">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697CC242">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3A67361D">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2.绩效目标</w:t>
      </w:r>
    </w:p>
    <w:p w14:paraId="0B292C9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6AA82EBE">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ED0776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520046E3">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53BA5984">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3.资金投入</w:t>
      </w:r>
    </w:p>
    <w:p w14:paraId="64D2F3C4">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31189058">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5E4CFA09">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73118363">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551E71C0">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lang w:eastAsia="zh-CN"/>
        </w:rPr>
      </w:pPr>
      <w:r>
        <w:rPr>
          <w:rFonts w:hint="eastAsia" w:eastAsia="楷体_GB2312"/>
          <w:b/>
          <w:sz w:val="32"/>
          <w:lang w:eastAsia="zh-CN"/>
        </w:rPr>
        <w:t>（</w:t>
      </w:r>
      <w:r>
        <w:rPr>
          <w:rFonts w:hint="eastAsia" w:eastAsia="楷体_GB2312"/>
          <w:b/>
          <w:sz w:val="32"/>
          <w:lang w:val="en-US" w:eastAsia="zh-CN"/>
        </w:rPr>
        <w:t>二</w:t>
      </w:r>
      <w:r>
        <w:rPr>
          <w:rFonts w:hint="eastAsia" w:eastAsia="楷体_GB2312"/>
          <w:b/>
          <w:sz w:val="32"/>
          <w:lang w:eastAsia="zh-CN"/>
        </w:rPr>
        <w:t>）项目过程情况</w:t>
      </w:r>
    </w:p>
    <w:p w14:paraId="304E22AE">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14:paraId="52793CA7">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62460E5">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1.资金管理</w:t>
      </w:r>
    </w:p>
    <w:p w14:paraId="42C51836">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79C32CC7">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本项目总投资90.00万元，财政资金及时足额到位，到位率100%，预算资金按计划进度执行。</w:t>
      </w:r>
    </w:p>
    <w:p w14:paraId="6291A515">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4E05D80E">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预算编制较为详细，项目资金支出总体能够按照预算执行，预算资金支出90.00万元，预算执行率为100%。</w:t>
      </w:r>
    </w:p>
    <w:p w14:paraId="0A575A28">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01BA7B4A">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61CA474">
      <w:pPr>
        <w:keepNext w:val="0"/>
        <w:keepLines w:val="0"/>
        <w:pageBreakBefore w:val="0"/>
        <w:widowControl/>
        <w:kinsoku/>
        <w:wordWrap/>
        <w:overflowPunct/>
        <w:topLinePunct w:val="0"/>
        <w:autoSpaceDE/>
        <w:autoSpaceDN/>
        <w:bidi w:val="0"/>
        <w:adjustRightInd/>
        <w:snapToGrid/>
        <w:spacing w:line="560" w:lineRule="exact"/>
        <w:ind w:left="0" w:leftChars="0" w:firstLine="643" w:firstLineChars="200"/>
        <w:textAlignment w:val="auto"/>
        <w:outlineLvl w:val="2"/>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2.组织实施</w:t>
      </w:r>
    </w:p>
    <w:p w14:paraId="31EF2EF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444EC645">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8224F8E">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60F74BDD">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59B9DD72">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lang w:eastAsia="zh-CN"/>
        </w:rPr>
      </w:pPr>
      <w:r>
        <w:rPr>
          <w:rFonts w:hint="eastAsia" w:eastAsia="楷体_GB2312"/>
          <w:b/>
          <w:sz w:val="32"/>
          <w:lang w:eastAsia="zh-CN"/>
        </w:rPr>
        <w:t>（</w:t>
      </w:r>
      <w:r>
        <w:rPr>
          <w:rFonts w:hint="eastAsia" w:eastAsia="楷体_GB2312"/>
          <w:b/>
          <w:sz w:val="32"/>
          <w:lang w:val="en-US" w:eastAsia="zh-CN"/>
        </w:rPr>
        <w:t>三</w:t>
      </w:r>
      <w:r>
        <w:rPr>
          <w:rFonts w:hint="eastAsia" w:eastAsia="楷体_GB2312"/>
          <w:b/>
          <w:sz w:val="32"/>
          <w:lang w:eastAsia="zh-CN"/>
        </w:rPr>
        <w:t>）项目产出情况</w:t>
      </w:r>
    </w:p>
    <w:p w14:paraId="0A86679D">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项目产出类指标包括产出数量、产出质量、产出时效、产出成本三方面的内容，由9个三级指标构成，权重分为40分，实际得分40分，得分率为100%。具体产出指标完成情况如下：</w:t>
      </w:r>
    </w:p>
    <w:p w14:paraId="62BFE031">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14:paraId="5C274B76">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指标1：覆盖生态环境监察区域，指标值:2个，实际完成值：2个，指标完成率100%。</w:t>
      </w:r>
    </w:p>
    <w:p w14:paraId="2022B4E3">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指标2：督察(监察)频次，指标值：≥4次，实际完成值：4次，指标完成率100%。</w:t>
      </w:r>
    </w:p>
    <w:p w14:paraId="6B87FD96">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指标3：形成督察监察专项报告，指标值：≥4个，实际完成值：4个，指标完成率100%。</w:t>
      </w:r>
    </w:p>
    <w:p w14:paraId="378D2FFD">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指标4：形成环保督察整改情况报告，指标值：≥4个，实际完成值：4个，指标完成率100%。</w:t>
      </w:r>
    </w:p>
    <w:p w14:paraId="5B2FE9BA">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14:paraId="0638A6B7">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指标1：报告质量通过率，指标值：100%，实际完成值：100%，指标完成率100%。</w:t>
      </w:r>
    </w:p>
    <w:p w14:paraId="59CC7453">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指标2：区域覆盖率，指标值：100%，实际完成值：100%，指标完成率100%。</w:t>
      </w:r>
    </w:p>
    <w:p w14:paraId="3497F157">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14:paraId="1BDAF196">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指标1：年度督察任务按时完成率，指标值：100%，实际完成值：100%，指标完成率100%。</w:t>
      </w:r>
    </w:p>
    <w:p w14:paraId="1956F5A1">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14:paraId="483F8F0E">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指标1：单位正常运行及其他费用，指标值：≤35.94万元，实际完成值：35.94万元，指标完成率100%。</w:t>
      </w:r>
    </w:p>
    <w:p w14:paraId="5F17D647">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指标2：派驻监察期间费用，指标值：≤54.06万元，实际完成值：54.06万元，指标完成率100%。</w:t>
      </w:r>
    </w:p>
    <w:p w14:paraId="34C222B2">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lang w:eastAsia="zh-CN"/>
        </w:rPr>
      </w:pPr>
      <w:r>
        <w:rPr>
          <w:rFonts w:hint="eastAsia" w:eastAsia="楷体_GB2312"/>
          <w:b/>
          <w:sz w:val="32"/>
          <w:lang w:eastAsia="zh-CN"/>
        </w:rPr>
        <w:t>（</w:t>
      </w:r>
      <w:r>
        <w:rPr>
          <w:rFonts w:hint="eastAsia" w:eastAsia="楷体_GB2312"/>
          <w:b/>
          <w:sz w:val="32"/>
          <w:lang w:val="en-US" w:eastAsia="zh-CN"/>
        </w:rPr>
        <w:t>四</w:t>
      </w:r>
      <w:r>
        <w:rPr>
          <w:rFonts w:hint="eastAsia" w:eastAsia="楷体_GB2312"/>
          <w:b/>
          <w:sz w:val="32"/>
          <w:lang w:eastAsia="zh-CN"/>
        </w:rPr>
        <w:t>）项目效益情况</w:t>
      </w:r>
    </w:p>
    <w:p w14:paraId="1E9C963D">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14:paraId="65660C8E">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1.社会效益指标：</w:t>
      </w:r>
    </w:p>
    <w:p w14:paraId="387B7329">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指标1：构建新型生态环境保护监察体系，指标值：不断完善，实际完成值：不断完善，指标完成率100%。</w:t>
      </w:r>
    </w:p>
    <w:p w14:paraId="31203CF8">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2.满意度指标：</w:t>
      </w:r>
    </w:p>
    <w:p w14:paraId="70898FC4">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指标1：检查人员被投诉次数，指标值：≤5次，实际完成值：0次，指标完成率100%。</w:t>
      </w:r>
    </w:p>
    <w:p w14:paraId="656EFC09">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hint="eastAsia" w:eastAsia="黑体"/>
          <w:sz w:val="32"/>
          <w:lang w:val="en-US" w:eastAsia="zh-Hans"/>
        </w:rPr>
      </w:pPr>
      <w:r>
        <w:rPr>
          <w:rFonts w:hint="eastAsia" w:eastAsia="黑体"/>
          <w:sz w:val="32"/>
          <w:lang w:val="en-US" w:eastAsia="zh-Hans"/>
        </w:rPr>
        <w:t>五、预算执行进度与绩效指标总体完成率偏差</w:t>
      </w:r>
    </w:p>
    <w:p w14:paraId="2CECE406">
      <w:pPr>
        <w:pStyle w:val="12"/>
        <w:keepNext w:val="0"/>
        <w:keepLines w:val="0"/>
        <w:pageBreakBefore w:val="0"/>
        <w:widowControl/>
        <w:kinsoku/>
        <w:wordWrap/>
        <w:overflowPunct/>
        <w:topLinePunct w:val="0"/>
        <w:autoSpaceDE/>
        <w:autoSpaceDN/>
        <w:bidi w:val="0"/>
        <w:adjustRightInd/>
        <w:snapToGrid/>
        <w:spacing w:line="560" w:lineRule="exact"/>
        <w:ind w:firstLine="641"/>
        <w:textAlignment w:val="auto"/>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生态环境厅环</w:t>
      </w:r>
      <w:r>
        <w:rPr>
          <w:rFonts w:hint="eastAsia" w:ascii="仿宋_GB2312" w:hAnsi="仿宋_GB2312" w:eastAsia="仿宋_GB2312" w:cs="仿宋_GB2312"/>
          <w:sz w:val="32"/>
          <w:szCs w:val="32"/>
        </w:rPr>
        <w:t>境监察专员办环境监察专项项目年初预算</w:t>
      </w:r>
      <w:r>
        <w:rPr>
          <w:rFonts w:hint="eastAsia" w:ascii="仿宋_GB2312" w:hAnsi="仿宋_GB2312" w:eastAsia="仿宋_GB2312" w:cs="仿宋_GB2312"/>
          <w:kern w:val="28"/>
          <w:sz w:val="32"/>
          <w:szCs w:val="32"/>
        </w:rPr>
        <w:t>90.00</w:t>
      </w:r>
      <w:r>
        <w:rPr>
          <w:rFonts w:hint="eastAsia" w:ascii="仿宋_GB2312" w:hAnsi="仿宋_GB2312" w:eastAsia="仿宋_GB2312" w:cs="仿宋_GB2312"/>
          <w:kern w:val="2"/>
          <w:sz w:val="32"/>
          <w:szCs w:val="32"/>
          <w:lang w:val="en-US" w:eastAsia="zh-CN" w:bidi="ar-SA"/>
        </w:rPr>
        <w:t>万元</w:t>
      </w:r>
      <w:r>
        <w:rPr>
          <w:rFonts w:hint="eastAsia" w:ascii="仿宋_GB2312" w:hAnsi="仿宋_GB2312" w:eastAsia="仿宋_GB2312" w:cs="仿宋_GB2312"/>
          <w:sz w:val="32"/>
          <w:szCs w:val="32"/>
        </w:rPr>
        <w:t>，全年预算</w:t>
      </w:r>
      <w:r>
        <w:rPr>
          <w:rFonts w:hint="eastAsia" w:ascii="仿宋_GB2312" w:hAnsi="仿宋_GB2312" w:eastAsia="仿宋_GB2312" w:cs="仿宋_GB2312"/>
          <w:kern w:val="28"/>
          <w:sz w:val="32"/>
          <w:szCs w:val="32"/>
        </w:rPr>
        <w:t>90.00</w:t>
      </w:r>
      <w:r>
        <w:rPr>
          <w:rFonts w:hint="eastAsia" w:ascii="仿宋_GB2312" w:hAnsi="仿宋_GB2312" w:eastAsia="仿宋_GB2312" w:cs="仿宋_GB2312"/>
          <w:sz w:val="32"/>
          <w:szCs w:val="32"/>
        </w:rPr>
        <w:t>万元，实际支出</w:t>
      </w:r>
      <w:r>
        <w:rPr>
          <w:rFonts w:hint="eastAsia" w:ascii="仿宋_GB2312" w:hAnsi="仿宋_GB2312" w:eastAsia="仿宋_GB2312" w:cs="仿宋_GB2312"/>
          <w:kern w:val="28"/>
          <w:sz w:val="32"/>
          <w:szCs w:val="32"/>
        </w:rPr>
        <w:t>90.00</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kern w:val="28"/>
          <w:sz w:val="32"/>
          <w:szCs w:val="32"/>
        </w:rPr>
        <w:t>100%</w:t>
      </w:r>
      <w:r>
        <w:rPr>
          <w:rFonts w:hint="eastAsia" w:ascii="仿宋_GB2312" w:hAnsi="仿宋_GB2312" w:eastAsia="仿宋_GB2312" w:cs="仿宋_GB2312"/>
          <w:sz w:val="32"/>
          <w:szCs w:val="32"/>
        </w:rPr>
        <w:t>，项目绩效指标总体完成率为</w:t>
      </w:r>
      <w:r>
        <w:rPr>
          <w:rFonts w:hint="eastAsia" w:ascii="仿宋_GB2312" w:hAnsi="仿宋_GB2312" w:eastAsia="仿宋_GB2312" w:cs="仿宋_GB2312"/>
          <w:kern w:val="28"/>
          <w:sz w:val="32"/>
          <w:szCs w:val="32"/>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总体</w:t>
      </w:r>
      <w:r>
        <w:rPr>
          <w:rFonts w:hint="eastAsia" w:ascii="仿宋_GB2312" w:hAnsi="仿宋_GB2312" w:eastAsia="仿宋_GB2312" w:cs="仿宋_GB2312"/>
          <w:sz w:val="32"/>
          <w:szCs w:val="32"/>
        </w:rPr>
        <w:t>偏差率为</w:t>
      </w:r>
      <w:r>
        <w:rPr>
          <w:rFonts w:hint="eastAsia" w:ascii="仿宋_GB2312" w:hAnsi="仿宋_GB2312" w:eastAsia="仿宋_GB2312" w:cs="仿宋_GB2312"/>
          <w:kern w:val="28"/>
          <w:sz w:val="32"/>
          <w:szCs w:val="32"/>
        </w:rPr>
        <w:t>0%</w:t>
      </w:r>
      <w:r>
        <w:rPr>
          <w:rFonts w:hint="eastAsia" w:ascii="仿宋_GB2312" w:hAnsi="仿宋_GB2312" w:eastAsia="仿宋_GB2312" w:cs="仿宋_GB2312"/>
          <w:sz w:val="32"/>
          <w:szCs w:val="32"/>
        </w:rPr>
        <w:t>。</w:t>
      </w:r>
    </w:p>
    <w:p w14:paraId="389F8FD6">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hint="default" w:eastAsia="黑体"/>
          <w:sz w:val="32"/>
          <w:lang w:val="en-US" w:eastAsia="zh-CN"/>
        </w:rPr>
      </w:pPr>
      <w:r>
        <w:rPr>
          <w:rFonts w:hint="eastAsia" w:eastAsia="黑体"/>
          <w:sz w:val="32"/>
          <w:lang w:val="en-US" w:eastAsia="zh-Hans"/>
        </w:rPr>
        <w:t>六</w:t>
      </w:r>
      <w:r>
        <w:rPr>
          <w:rFonts w:hint="eastAsia" w:eastAsia="黑体"/>
          <w:sz w:val="32"/>
          <w:lang w:val="en-US" w:eastAsia="zh-CN"/>
        </w:rPr>
        <w:t>、主要经验及做法、存在的问题及原因分析</w:t>
      </w:r>
    </w:p>
    <w:p w14:paraId="0858A92C">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lang w:eastAsia="zh-CN"/>
        </w:rPr>
      </w:pPr>
      <w:r>
        <w:rPr>
          <w:rFonts w:hint="eastAsia" w:eastAsia="楷体_GB2312"/>
          <w:b/>
          <w:sz w:val="32"/>
          <w:lang w:eastAsia="zh-CN"/>
        </w:rPr>
        <w:t>（一）主要经验及做法</w:t>
      </w:r>
    </w:p>
    <w:p w14:paraId="48729A82">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14:paraId="19CF5B0F">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制定支出计划，根据序时进度有序支出。为确保资金达到月度支出比例，不在岁末年初突击花钱。我办每月制定月度支出计划，并报主要负责人审批，审批后严格按照计划进行，保证每月支出基本达到计划标准。</w:t>
      </w:r>
    </w:p>
    <w:p w14:paraId="490E1B17">
      <w:pPr>
        <w:keepNext w:val="0"/>
        <w:keepLines w:val="0"/>
        <w:pageBreakBefore w:val="0"/>
        <w:widowControl/>
        <w:kinsoku/>
        <w:wordWrap/>
        <w:overflowPunct/>
        <w:topLinePunct w:val="0"/>
        <w:autoSpaceDE/>
        <w:autoSpaceDN/>
        <w:bidi w:val="0"/>
        <w:adjustRightInd/>
        <w:snapToGrid/>
        <w:spacing w:line="560" w:lineRule="exact"/>
        <w:ind w:firstLine="643" w:firstLineChars="200"/>
        <w:textAlignment w:val="auto"/>
        <w:outlineLvl w:val="1"/>
        <w:rPr>
          <w:rFonts w:hint="eastAsia" w:eastAsia="楷体_GB2312"/>
          <w:b/>
          <w:sz w:val="32"/>
          <w:lang w:eastAsia="zh-CN"/>
        </w:rPr>
      </w:pPr>
      <w:r>
        <w:rPr>
          <w:rFonts w:hint="eastAsia" w:eastAsia="楷体_GB2312"/>
          <w:b/>
          <w:sz w:val="32"/>
          <w:lang w:eastAsia="zh-CN"/>
        </w:rPr>
        <w:t>（</w:t>
      </w:r>
      <w:r>
        <w:rPr>
          <w:rFonts w:hint="eastAsia" w:eastAsia="楷体_GB2312"/>
          <w:b/>
          <w:sz w:val="32"/>
          <w:lang w:val="en-US" w:eastAsia="zh-CN"/>
        </w:rPr>
        <w:t>二</w:t>
      </w:r>
      <w:r>
        <w:rPr>
          <w:rFonts w:hint="eastAsia" w:eastAsia="楷体_GB2312"/>
          <w:b/>
          <w:sz w:val="32"/>
          <w:lang w:eastAsia="zh-CN"/>
        </w:rPr>
        <w:t>）存在的问题及原因分析</w:t>
      </w:r>
    </w:p>
    <w:p w14:paraId="45F6A297">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1.相关绩效管理方面专业知识的系统性学习有待加强。各项指标的设置要进一步优化、科学、完善。在绩效自评过程中，由于部分人员缺乏相关绩效管理专业知识，自评价工作还存在局限性，影响评价质量。</w:t>
      </w:r>
    </w:p>
    <w:p w14:paraId="68C0C339">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2.因本单位人员有限，在项目实施之初，未明确项目组织机构，依据项目实施情况将工作内容分割成若干块，将各项工作内容落实到具体责任人，易存在工作遗漏等情况。</w:t>
      </w:r>
    </w:p>
    <w:p w14:paraId="287DC7C2">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hint="eastAsia" w:eastAsia="黑体"/>
          <w:sz w:val="32"/>
          <w:lang w:val="en-US" w:eastAsia="zh-CN"/>
        </w:rPr>
      </w:pPr>
      <w:r>
        <w:rPr>
          <w:rFonts w:hint="eastAsia" w:eastAsia="黑体"/>
          <w:sz w:val="32"/>
          <w:lang w:val="en-US" w:eastAsia="zh-Hans"/>
        </w:rPr>
        <w:t>七、</w:t>
      </w:r>
      <w:r>
        <w:rPr>
          <w:rFonts w:hint="eastAsia" w:eastAsia="黑体"/>
          <w:sz w:val="32"/>
          <w:lang w:val="en-US" w:eastAsia="zh-CN"/>
        </w:rPr>
        <w:t>有关建议</w:t>
      </w:r>
    </w:p>
    <w:p w14:paraId="40BFFD55">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1.加大绩效管理工作方面的培训力度。积极组织参与绩效管理工作培训，进一步夯实业务基础，资金拨付坚持按项目计划、项目进度分阶段申请预算，确保专项资金专款专用，有效地防止截留、挤占和挪用。</w:t>
      </w:r>
    </w:p>
    <w:p w14:paraId="249E3C0D">
      <w:pPr>
        <w:pStyle w:val="5"/>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2.完善对项目绩效相关人员定职、定责等相关制度措施，进一步提升我单位绩效管理工作业务水平，扎实做好绩效管理工作。</w:t>
      </w:r>
    </w:p>
    <w:p w14:paraId="5B2D73EC">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outlineLvl w:val="0"/>
        <w:rPr>
          <w:rFonts w:hint="eastAsia" w:eastAsia="黑体"/>
          <w:sz w:val="32"/>
          <w:lang w:val="en-US" w:eastAsia="zh-CN"/>
        </w:rPr>
      </w:pPr>
      <w:r>
        <w:rPr>
          <w:rFonts w:hint="eastAsia" w:eastAsia="黑体"/>
          <w:sz w:val="32"/>
          <w:lang w:val="en-US" w:eastAsia="zh-Hans"/>
        </w:rPr>
        <w:t>八、</w:t>
      </w:r>
      <w:r>
        <w:rPr>
          <w:rFonts w:hint="eastAsia" w:eastAsia="黑体"/>
          <w:sz w:val="32"/>
          <w:lang w:val="en-US" w:eastAsia="zh-CN"/>
        </w:rPr>
        <w:t>其他需要说</w:t>
      </w:r>
      <w:bookmarkStart w:id="6" w:name="page8"/>
      <w:bookmarkEnd w:id="6"/>
      <w:r>
        <w:rPr>
          <w:rFonts w:hint="eastAsia" w:eastAsia="黑体"/>
          <w:sz w:val="32"/>
          <w:lang w:val="en-US" w:eastAsia="zh-CN"/>
        </w:rPr>
        <w:t>明的问题</w:t>
      </w:r>
    </w:p>
    <w:p w14:paraId="02DA5505">
      <w:pPr>
        <w:pStyle w:val="8"/>
        <w:spacing w:after="0" w:line="560" w:lineRule="exact"/>
        <w:ind w:left="0" w:leftChars="0" w:firstLine="0" w:firstLineChars="0"/>
        <w:rPr>
          <w:rFonts w:ascii="仿宋_GB2312" w:hAnsi="仿宋_GB2312" w:eastAsia="仿宋_GB2312"/>
          <w:sz w:val="32"/>
        </w:rPr>
      </w:pPr>
      <w:r>
        <w:rPr>
          <w:rFonts w:hint="eastAsia" w:ascii="仿宋_GB2312" w:hAnsi="仿宋_GB2312" w:eastAsia="仿宋_GB2312"/>
          <w:sz w:val="32"/>
        </w:rPr>
        <w:t>无。</w:t>
      </w:r>
    </w:p>
    <w:p w14:paraId="5251A5B0">
      <w:pPr>
        <w:jc w:val="center"/>
        <w:textAlignment w:val="center"/>
        <w:rPr>
          <w:rFonts w:eastAsia="方正小标宋简体"/>
          <w:b/>
          <w:kern w:val="0"/>
          <w:sz w:val="32"/>
        </w:rPr>
        <w:sectPr>
          <w:pgSz w:w="11906" w:h="16838"/>
          <w:pgMar w:top="1440" w:right="1558" w:bottom="1440" w:left="1800" w:header="851" w:footer="992" w:gutter="0"/>
          <w:pgBorders>
            <w:top w:val="none" w:sz="0" w:space="0"/>
            <w:left w:val="none" w:sz="0" w:space="0"/>
            <w:bottom w:val="none" w:sz="0" w:space="0"/>
            <w:right w:val="none" w:sz="0" w:space="0"/>
          </w:pgBorders>
          <w:lnNumType w:countBy="0" w:distance="360"/>
          <w:cols w:space="720" w:num="1"/>
          <w:docGrid w:type="lines" w:linePitch="312" w:charSpace="0"/>
        </w:sectPr>
      </w:pPr>
    </w:p>
    <w:tbl>
      <w:tblPr>
        <w:tblStyle w:val="9"/>
        <w:tblW w:w="0" w:type="auto"/>
        <w:tblInd w:w="0" w:type="dxa"/>
        <w:tblLayout w:type="fixed"/>
        <w:tblCellMar>
          <w:top w:w="0" w:type="dxa"/>
          <w:left w:w="0" w:type="dxa"/>
          <w:bottom w:w="0" w:type="dxa"/>
          <w:right w:w="0" w:type="dxa"/>
        </w:tblCellMar>
      </w:tblPr>
      <w:tblGrid>
        <w:gridCol w:w="524"/>
        <w:gridCol w:w="352"/>
        <w:gridCol w:w="469"/>
        <w:gridCol w:w="1484"/>
        <w:gridCol w:w="403"/>
        <w:gridCol w:w="633"/>
        <w:gridCol w:w="556"/>
        <w:gridCol w:w="438"/>
        <w:gridCol w:w="522"/>
        <w:gridCol w:w="753"/>
        <w:gridCol w:w="708"/>
        <w:gridCol w:w="579"/>
        <w:gridCol w:w="666"/>
        <w:gridCol w:w="480"/>
      </w:tblGrid>
      <w:tr w14:paraId="78291A9E">
        <w:tblPrEx>
          <w:tblCellMar>
            <w:top w:w="0" w:type="dxa"/>
            <w:left w:w="0" w:type="dxa"/>
            <w:bottom w:w="0" w:type="dxa"/>
            <w:right w:w="0" w:type="dxa"/>
          </w:tblCellMar>
        </w:tblPrEx>
        <w:trPr>
          <w:trHeight w:val="252" w:hRule="atLeast"/>
        </w:trPr>
        <w:tc>
          <w:tcPr>
            <w:tcW w:w="8567" w:type="dxa"/>
            <w:gridSpan w:val="14"/>
            <w:tcBorders>
              <w:top w:val="nil"/>
              <w:left w:val="nil"/>
              <w:bottom w:val="nil"/>
              <w:right w:val="nil"/>
            </w:tcBorders>
            <w:noWrap w:val="0"/>
            <w:tcMar>
              <w:top w:w="12" w:type="dxa"/>
              <w:left w:w="12" w:type="dxa"/>
              <w:right w:w="12" w:type="dxa"/>
            </w:tcMar>
            <w:vAlign w:val="center"/>
          </w:tcPr>
          <w:p w14:paraId="7DFC6268">
            <w:pPr>
              <w:spacing w:line="360" w:lineRule="exact"/>
              <w:jc w:val="center"/>
              <w:textAlignment w:val="center"/>
              <w:rPr>
                <w:rFonts w:hint="eastAsia" w:ascii="宋体" w:hAnsi="宋体" w:cs="宋体"/>
                <w:b/>
                <w:color w:val="000000"/>
                <w:sz w:val="24"/>
              </w:rPr>
            </w:pPr>
            <w:r>
              <w:rPr>
                <w:rFonts w:hint="eastAsia" w:ascii="宋体" w:hAnsi="宋体" w:cs="宋体"/>
                <w:b/>
                <w:color w:val="000000"/>
                <w:kern w:val="0"/>
                <w:sz w:val="24"/>
                <w:lang w:bidi="ar"/>
              </w:rPr>
              <w:t>项目支出绩效自评表</w:t>
            </w:r>
          </w:p>
        </w:tc>
      </w:tr>
      <w:tr w14:paraId="5E7B99A1">
        <w:tblPrEx>
          <w:tblCellMar>
            <w:top w:w="0" w:type="dxa"/>
            <w:left w:w="0" w:type="dxa"/>
            <w:bottom w:w="0" w:type="dxa"/>
            <w:right w:w="0" w:type="dxa"/>
          </w:tblCellMar>
        </w:tblPrEx>
        <w:trPr>
          <w:trHeight w:val="90" w:hRule="atLeast"/>
        </w:trPr>
        <w:tc>
          <w:tcPr>
            <w:tcW w:w="8567" w:type="dxa"/>
            <w:gridSpan w:val="14"/>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1B01466">
            <w:pPr>
              <w:spacing w:line="240" w:lineRule="exact"/>
              <w:jc w:val="center"/>
              <w:textAlignment w:val="center"/>
              <w:rPr>
                <w:rFonts w:hint="eastAsia" w:ascii="宋体" w:hAnsi="宋体" w:cs="宋体"/>
                <w:color w:val="000000"/>
                <w:sz w:val="20"/>
                <w:szCs w:val="20"/>
              </w:rPr>
            </w:pPr>
            <w:r>
              <w:rPr>
                <w:rFonts w:hint="eastAsia" w:ascii="宋体" w:hAnsi="宋体" w:cs="宋体"/>
                <w:color w:val="000000"/>
                <w:kern w:val="0"/>
                <w:sz w:val="20"/>
                <w:szCs w:val="20"/>
                <w:lang w:bidi="ar"/>
              </w:rPr>
              <w:t>(2023年度)</w:t>
            </w:r>
          </w:p>
        </w:tc>
      </w:tr>
      <w:tr w14:paraId="72D8B30D">
        <w:tblPrEx>
          <w:tblCellMar>
            <w:top w:w="0" w:type="dxa"/>
            <w:left w:w="0" w:type="dxa"/>
            <w:bottom w:w="0" w:type="dxa"/>
            <w:right w:w="0" w:type="dxa"/>
          </w:tblCellMar>
        </w:tblPrEx>
        <w:trPr>
          <w:trHeight w:val="90" w:hRule="atLeast"/>
        </w:trPr>
        <w:tc>
          <w:tcPr>
            <w:tcW w:w="87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1778947">
            <w:pPr>
              <w:spacing w:line="24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项目名称</w:t>
            </w:r>
          </w:p>
        </w:tc>
        <w:tc>
          <w:tcPr>
            <w:tcW w:w="7691" w:type="dxa"/>
            <w:gridSpan w:val="1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8F04396">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生态环境厅环境监察专员办环境监察专项</w:t>
            </w:r>
          </w:p>
        </w:tc>
      </w:tr>
      <w:tr w14:paraId="7384188E">
        <w:tblPrEx>
          <w:tblCellMar>
            <w:top w:w="0" w:type="dxa"/>
            <w:left w:w="0" w:type="dxa"/>
            <w:bottom w:w="0" w:type="dxa"/>
            <w:right w:w="0" w:type="dxa"/>
          </w:tblCellMar>
        </w:tblPrEx>
        <w:trPr>
          <w:trHeight w:val="90" w:hRule="atLeast"/>
        </w:trPr>
        <w:tc>
          <w:tcPr>
            <w:tcW w:w="876"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CDD6A46">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主管部门</w:t>
            </w:r>
          </w:p>
        </w:tc>
        <w:tc>
          <w:tcPr>
            <w:tcW w:w="3545"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C122F04">
            <w:pPr>
              <w:spacing w:line="200" w:lineRule="exact"/>
              <w:jc w:val="center"/>
              <w:rPr>
                <w:rFonts w:hint="eastAsia" w:ascii="宋体" w:hAnsi="宋体" w:cs="宋体"/>
                <w:color w:val="000000"/>
                <w:sz w:val="15"/>
                <w:szCs w:val="15"/>
              </w:rPr>
            </w:pPr>
            <w:r>
              <w:rPr>
                <w:rFonts w:hint="eastAsia" w:ascii="宋体" w:hAnsi="宋体" w:cs="宋体"/>
                <w:kern w:val="0"/>
                <w:sz w:val="15"/>
                <w:szCs w:val="15"/>
              </w:rPr>
              <w:t>新疆维吾尔自治区生态环境厅</w:t>
            </w:r>
          </w:p>
        </w:tc>
        <w:tc>
          <w:tcPr>
            <w:tcW w:w="9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3A76F78">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实施单位</w:t>
            </w:r>
          </w:p>
        </w:tc>
        <w:tc>
          <w:tcPr>
            <w:tcW w:w="3186" w:type="dxa"/>
            <w:gridSpan w:val="5"/>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7DA5BE">
            <w:pPr>
              <w:spacing w:line="200" w:lineRule="exact"/>
              <w:jc w:val="center"/>
              <w:rPr>
                <w:rFonts w:hint="eastAsia" w:ascii="宋体" w:hAnsi="宋体" w:cs="宋体"/>
                <w:color w:val="000000"/>
                <w:sz w:val="15"/>
                <w:szCs w:val="15"/>
              </w:rPr>
            </w:pPr>
            <w:r>
              <w:rPr>
                <w:rFonts w:hint="eastAsia" w:ascii="宋体" w:hAnsi="宋体" w:cs="宋体"/>
                <w:kern w:val="0"/>
                <w:sz w:val="15"/>
                <w:szCs w:val="15"/>
              </w:rPr>
              <w:t>新疆维吾尔自治区生态环境厅第四生态环境监察专员办公室</w:t>
            </w:r>
          </w:p>
        </w:tc>
      </w:tr>
      <w:tr w14:paraId="691AF6B0">
        <w:tblPrEx>
          <w:tblCellMar>
            <w:top w:w="0" w:type="dxa"/>
            <w:left w:w="0" w:type="dxa"/>
            <w:bottom w:w="0" w:type="dxa"/>
            <w:right w:w="0" w:type="dxa"/>
          </w:tblCellMar>
        </w:tblPrEx>
        <w:trPr>
          <w:trHeight w:val="412" w:hRule="atLeast"/>
        </w:trPr>
        <w:tc>
          <w:tcPr>
            <w:tcW w:w="876" w:type="dxa"/>
            <w:gridSpan w:val="2"/>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B7E9F7D">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项目资金</w:t>
            </w:r>
            <w:r>
              <w:rPr>
                <w:rFonts w:hint="eastAsia" w:ascii="宋体" w:hAnsi="宋体" w:cs="宋体"/>
                <w:b/>
                <w:color w:val="000000"/>
                <w:kern w:val="0"/>
                <w:sz w:val="15"/>
                <w:szCs w:val="15"/>
                <w:lang w:bidi="ar"/>
              </w:rPr>
              <w:br w:type="textWrapping"/>
            </w:r>
            <w:r>
              <w:rPr>
                <w:rFonts w:hint="eastAsia" w:ascii="宋体" w:hAnsi="宋体" w:cs="宋体"/>
                <w:b/>
                <w:color w:val="000000"/>
                <w:kern w:val="0"/>
                <w:sz w:val="15"/>
                <w:szCs w:val="15"/>
                <w:lang w:bidi="ar"/>
              </w:rPr>
              <w:t>（万元）</w:t>
            </w:r>
          </w:p>
        </w:tc>
        <w:tc>
          <w:tcPr>
            <w:tcW w:w="195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436D53C">
            <w:pPr>
              <w:spacing w:line="200" w:lineRule="exact"/>
              <w:jc w:val="center"/>
              <w:rPr>
                <w:rFonts w:hint="eastAsia" w:ascii="宋体" w:hAnsi="宋体" w:cs="宋体"/>
                <w:b/>
                <w:color w:val="000000"/>
                <w:sz w:val="15"/>
                <w:szCs w:val="15"/>
              </w:rPr>
            </w:pP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C55139">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年初预算数</w:t>
            </w:r>
          </w:p>
        </w:tc>
        <w:tc>
          <w:tcPr>
            <w:tcW w:w="118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D71CA64">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全年预算数</w:t>
            </w:r>
          </w:p>
        </w:tc>
        <w:tc>
          <w:tcPr>
            <w:tcW w:w="9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6DEE773">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全年执行数</w:t>
            </w:r>
          </w:p>
        </w:tc>
        <w:tc>
          <w:tcPr>
            <w:tcW w:w="146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BA206C9">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分值</w:t>
            </w:r>
          </w:p>
        </w:tc>
        <w:tc>
          <w:tcPr>
            <w:tcW w:w="124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D415553">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执行率</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EBBD96">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得分</w:t>
            </w:r>
          </w:p>
        </w:tc>
      </w:tr>
      <w:tr w14:paraId="74EC6778">
        <w:tblPrEx>
          <w:tblCellMar>
            <w:top w:w="0" w:type="dxa"/>
            <w:left w:w="0" w:type="dxa"/>
            <w:bottom w:w="0" w:type="dxa"/>
            <w:right w:w="0" w:type="dxa"/>
          </w:tblCellMar>
        </w:tblPrEx>
        <w:trPr>
          <w:trHeight w:val="90" w:hRule="atLeast"/>
        </w:trPr>
        <w:tc>
          <w:tcPr>
            <w:tcW w:w="876"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B0F8E5">
            <w:pPr>
              <w:spacing w:line="240" w:lineRule="exact"/>
              <w:jc w:val="center"/>
              <w:rPr>
                <w:rFonts w:hint="eastAsia" w:ascii="宋体" w:hAnsi="宋体" w:cs="宋体"/>
                <w:b/>
                <w:color w:val="000000"/>
                <w:sz w:val="15"/>
                <w:szCs w:val="15"/>
              </w:rPr>
            </w:pPr>
          </w:p>
        </w:tc>
        <w:tc>
          <w:tcPr>
            <w:tcW w:w="195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E3DDF9A">
            <w:pPr>
              <w:spacing w:line="24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年度资金总额</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2608469">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90</w:t>
            </w:r>
          </w:p>
        </w:tc>
        <w:tc>
          <w:tcPr>
            <w:tcW w:w="118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EFABE4B">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90</w:t>
            </w:r>
          </w:p>
        </w:tc>
        <w:tc>
          <w:tcPr>
            <w:tcW w:w="9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3D11073">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90</w:t>
            </w:r>
          </w:p>
        </w:tc>
        <w:tc>
          <w:tcPr>
            <w:tcW w:w="146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CD64A4">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124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A9B2D1D">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100.0%</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2814D70">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r>
      <w:tr w14:paraId="5A5E1C0C">
        <w:tblPrEx>
          <w:tblCellMar>
            <w:top w:w="0" w:type="dxa"/>
            <w:left w:w="0" w:type="dxa"/>
            <w:bottom w:w="0" w:type="dxa"/>
            <w:right w:w="0" w:type="dxa"/>
          </w:tblCellMar>
        </w:tblPrEx>
        <w:trPr>
          <w:trHeight w:val="90" w:hRule="atLeast"/>
        </w:trPr>
        <w:tc>
          <w:tcPr>
            <w:tcW w:w="876"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8EB06B9">
            <w:pPr>
              <w:spacing w:line="240" w:lineRule="exact"/>
              <w:jc w:val="center"/>
              <w:rPr>
                <w:rFonts w:hint="eastAsia" w:ascii="宋体" w:hAnsi="宋体" w:cs="宋体"/>
                <w:b/>
                <w:color w:val="000000"/>
                <w:sz w:val="15"/>
                <w:szCs w:val="15"/>
              </w:rPr>
            </w:pPr>
          </w:p>
        </w:tc>
        <w:tc>
          <w:tcPr>
            <w:tcW w:w="195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4565AA">
            <w:pPr>
              <w:spacing w:line="24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其中：当年财政拨款</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A0DA06">
            <w:pPr>
              <w:spacing w:line="240" w:lineRule="exact"/>
              <w:jc w:val="center"/>
              <w:textAlignment w:val="center"/>
              <w:rPr>
                <w:rFonts w:hint="eastAsia" w:ascii="宋体" w:hAnsi="宋体" w:eastAsia="宋体" w:cs="宋体"/>
                <w:color w:val="000000"/>
                <w:sz w:val="15"/>
                <w:szCs w:val="15"/>
                <w:lang w:eastAsia="zh-CN"/>
              </w:rPr>
            </w:pPr>
            <w:r>
              <w:rPr>
                <w:rFonts w:hint="eastAsia" w:ascii="宋体" w:hAnsi="宋体" w:cs="宋体"/>
                <w:color w:val="000000"/>
                <w:kern w:val="0"/>
                <w:sz w:val="15"/>
                <w:szCs w:val="15"/>
                <w:lang w:bidi="ar"/>
              </w:rPr>
              <w:t>90.00</w:t>
            </w:r>
          </w:p>
        </w:tc>
        <w:tc>
          <w:tcPr>
            <w:tcW w:w="118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B748A1E">
            <w:pPr>
              <w:spacing w:line="240" w:lineRule="exact"/>
              <w:jc w:val="center"/>
              <w:textAlignment w:val="center"/>
              <w:rPr>
                <w:rFonts w:hint="eastAsia" w:ascii="宋体" w:hAnsi="宋体" w:eastAsia="宋体" w:cs="宋体"/>
                <w:color w:val="000000"/>
                <w:sz w:val="15"/>
                <w:szCs w:val="15"/>
                <w:lang w:eastAsia="zh-CN"/>
              </w:rPr>
            </w:pPr>
            <w:r>
              <w:rPr>
                <w:rFonts w:hint="eastAsia" w:ascii="宋体" w:hAnsi="宋体" w:cs="宋体"/>
                <w:color w:val="000000"/>
                <w:kern w:val="0"/>
                <w:sz w:val="15"/>
                <w:szCs w:val="15"/>
                <w:lang w:bidi="ar"/>
              </w:rPr>
              <w:t>90.00</w:t>
            </w:r>
          </w:p>
        </w:tc>
        <w:tc>
          <w:tcPr>
            <w:tcW w:w="9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6A8AE5B">
            <w:pPr>
              <w:spacing w:line="240" w:lineRule="exact"/>
              <w:jc w:val="center"/>
              <w:textAlignment w:val="center"/>
              <w:rPr>
                <w:rFonts w:hint="eastAsia" w:ascii="宋体" w:hAnsi="宋体" w:eastAsia="宋体" w:cs="宋体"/>
                <w:color w:val="000000"/>
                <w:sz w:val="15"/>
                <w:szCs w:val="15"/>
                <w:lang w:eastAsia="zh-CN"/>
              </w:rPr>
            </w:pPr>
            <w:r>
              <w:rPr>
                <w:rFonts w:hint="eastAsia" w:ascii="宋体" w:hAnsi="宋体" w:cs="宋体"/>
                <w:color w:val="000000"/>
                <w:kern w:val="0"/>
                <w:sz w:val="15"/>
                <w:szCs w:val="15"/>
                <w:lang w:bidi="ar"/>
              </w:rPr>
              <w:t>90.00</w:t>
            </w:r>
          </w:p>
        </w:tc>
        <w:tc>
          <w:tcPr>
            <w:tcW w:w="146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7779A5E">
            <w:pPr>
              <w:spacing w:line="240" w:lineRule="exact"/>
              <w:jc w:val="center"/>
              <w:rPr>
                <w:rFonts w:hint="eastAsia" w:ascii="宋体" w:hAnsi="宋体" w:cs="宋体"/>
                <w:color w:val="000000"/>
                <w:sz w:val="15"/>
                <w:szCs w:val="15"/>
              </w:rPr>
            </w:pPr>
          </w:p>
        </w:tc>
        <w:tc>
          <w:tcPr>
            <w:tcW w:w="124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08DC263">
            <w:pPr>
              <w:spacing w:line="240" w:lineRule="exact"/>
              <w:jc w:val="center"/>
              <w:rPr>
                <w:rFonts w:hint="eastAsia" w:ascii="宋体" w:hAnsi="宋体" w:cs="宋体"/>
                <w:color w:val="000000"/>
                <w:sz w:val="15"/>
                <w:szCs w:val="15"/>
              </w:rPr>
            </w:pP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06C6319">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w:t>
            </w:r>
          </w:p>
        </w:tc>
      </w:tr>
      <w:tr w14:paraId="769BA36C">
        <w:tblPrEx>
          <w:tblCellMar>
            <w:top w:w="0" w:type="dxa"/>
            <w:left w:w="0" w:type="dxa"/>
            <w:bottom w:w="0" w:type="dxa"/>
            <w:right w:w="0" w:type="dxa"/>
          </w:tblCellMar>
        </w:tblPrEx>
        <w:trPr>
          <w:trHeight w:val="90" w:hRule="atLeast"/>
        </w:trPr>
        <w:tc>
          <w:tcPr>
            <w:tcW w:w="876" w:type="dxa"/>
            <w:gridSpan w:val="2"/>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1D0E25F">
            <w:pPr>
              <w:spacing w:line="240" w:lineRule="exact"/>
              <w:jc w:val="center"/>
              <w:rPr>
                <w:rFonts w:hint="eastAsia" w:ascii="宋体" w:hAnsi="宋体" w:cs="宋体"/>
                <w:b/>
                <w:color w:val="000000"/>
                <w:sz w:val="15"/>
                <w:szCs w:val="15"/>
              </w:rPr>
            </w:pPr>
          </w:p>
        </w:tc>
        <w:tc>
          <w:tcPr>
            <w:tcW w:w="1953"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F1CE032">
            <w:pPr>
              <w:spacing w:line="24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其他资金</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FBAF766">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0</w:t>
            </w:r>
          </w:p>
        </w:tc>
        <w:tc>
          <w:tcPr>
            <w:tcW w:w="1189"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1E5998E">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0</w:t>
            </w:r>
          </w:p>
        </w:tc>
        <w:tc>
          <w:tcPr>
            <w:tcW w:w="960"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0BF0620">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0</w:t>
            </w:r>
          </w:p>
        </w:tc>
        <w:tc>
          <w:tcPr>
            <w:tcW w:w="1461"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8787178">
            <w:pPr>
              <w:spacing w:line="240" w:lineRule="exact"/>
              <w:jc w:val="center"/>
              <w:rPr>
                <w:rFonts w:hint="eastAsia" w:ascii="宋体" w:hAnsi="宋体" w:cs="宋体"/>
                <w:color w:val="000000"/>
                <w:sz w:val="15"/>
                <w:szCs w:val="15"/>
              </w:rPr>
            </w:pPr>
          </w:p>
        </w:tc>
        <w:tc>
          <w:tcPr>
            <w:tcW w:w="124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6504451">
            <w:pPr>
              <w:spacing w:line="240" w:lineRule="exact"/>
              <w:jc w:val="center"/>
              <w:rPr>
                <w:rFonts w:hint="eastAsia" w:ascii="宋体" w:hAnsi="宋体" w:cs="宋体"/>
                <w:color w:val="000000"/>
                <w:sz w:val="15"/>
                <w:szCs w:val="15"/>
              </w:rPr>
            </w:pP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427F8A">
            <w:pPr>
              <w:spacing w:line="24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w:t>
            </w:r>
          </w:p>
        </w:tc>
      </w:tr>
      <w:tr w14:paraId="22F4E776">
        <w:tblPrEx>
          <w:tblCellMar>
            <w:top w:w="0" w:type="dxa"/>
            <w:left w:w="0" w:type="dxa"/>
            <w:bottom w:w="0" w:type="dxa"/>
            <w:right w:w="0" w:type="dxa"/>
          </w:tblCellMar>
        </w:tblPrEx>
        <w:trPr>
          <w:trHeight w:val="134" w:hRule="atLeast"/>
        </w:trPr>
        <w:tc>
          <w:tcPr>
            <w:tcW w:w="52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89ED397">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年度总体目标</w:t>
            </w:r>
          </w:p>
        </w:tc>
        <w:tc>
          <w:tcPr>
            <w:tcW w:w="3897"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8533F28">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预期目标</w:t>
            </w:r>
          </w:p>
        </w:tc>
        <w:tc>
          <w:tcPr>
            <w:tcW w:w="4146"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1BD0156">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实际完成情况</w:t>
            </w:r>
          </w:p>
        </w:tc>
      </w:tr>
      <w:tr w14:paraId="7446FB9C">
        <w:tblPrEx>
          <w:tblCellMar>
            <w:top w:w="0" w:type="dxa"/>
            <w:left w:w="0" w:type="dxa"/>
            <w:bottom w:w="0" w:type="dxa"/>
            <w:right w:w="0" w:type="dxa"/>
          </w:tblCellMar>
        </w:tblPrEx>
        <w:trPr>
          <w:trHeight w:val="284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71F20">
            <w:pPr>
              <w:spacing w:line="200" w:lineRule="exact"/>
              <w:jc w:val="center"/>
              <w:rPr>
                <w:rFonts w:hint="eastAsia" w:ascii="宋体" w:hAnsi="宋体" w:cs="宋体"/>
                <w:b/>
                <w:color w:val="000000"/>
                <w:sz w:val="15"/>
                <w:szCs w:val="15"/>
              </w:rPr>
            </w:pPr>
          </w:p>
        </w:tc>
        <w:tc>
          <w:tcPr>
            <w:tcW w:w="3897" w:type="dxa"/>
            <w:gridSpan w:val="6"/>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3852E5C">
            <w:pPr>
              <w:spacing w:line="200" w:lineRule="exact"/>
              <w:jc w:val="left"/>
              <w:textAlignment w:val="center"/>
              <w:rPr>
                <w:rFonts w:hint="eastAsia" w:ascii="宋体" w:hAnsi="宋体" w:cs="宋体"/>
                <w:color w:val="000000"/>
                <w:sz w:val="15"/>
                <w:szCs w:val="15"/>
              </w:rPr>
            </w:pPr>
            <w:r>
              <w:rPr>
                <w:rFonts w:hint="eastAsia" w:ascii="宋体" w:hAnsi="宋体" w:cs="宋体"/>
                <w:color w:val="000000"/>
                <w:kern w:val="0"/>
                <w:sz w:val="11"/>
                <w:szCs w:val="11"/>
                <w:lang w:bidi="ar"/>
              </w:rPr>
              <w:t>根据生态环境监察专员办公室职责，2023年第四生态环境监察专员办公室开展哈密市、吐鲁番市生态环境保护监察工作，聚焦第二轮中央生态环境督察“回头看”，开展第二轮中央生态环境督察和自治区生态环境保护督察整改任务和自治区级生态环境保护督察和督导工作任务，着力做好涉及哈密市、吐鲁番市生态环境保护督察任务，不断促进辖区生态环境保护质量持续改善，覆盖生态环境监察区域2个，形成督察检查专项报告及整改情况报告4次，监察频率4次（每个地州），报告质量通过率和区域覆盖率达到100%。持续开展生态环境保护监察、督察工作，督促当地生态环境保护工作持续改善，不断构建新型生态环境保护监察体系</w:t>
            </w:r>
            <w:r>
              <w:rPr>
                <w:rFonts w:hint="eastAsia" w:ascii="宋体" w:hAnsi="宋体" w:cs="宋体"/>
                <w:color w:val="000000"/>
                <w:kern w:val="0"/>
                <w:sz w:val="15"/>
                <w:szCs w:val="15"/>
                <w:lang w:bidi="ar"/>
              </w:rPr>
              <w:t>。</w:t>
            </w:r>
          </w:p>
        </w:tc>
        <w:tc>
          <w:tcPr>
            <w:tcW w:w="4146" w:type="dxa"/>
            <w:gridSpan w:val="7"/>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D21D39A">
            <w:pPr>
              <w:spacing w:line="200" w:lineRule="exact"/>
              <w:jc w:val="left"/>
              <w:textAlignment w:val="center"/>
              <w:rPr>
                <w:rFonts w:hint="eastAsia" w:ascii="宋体" w:hAnsi="宋体" w:cs="宋体"/>
                <w:color w:val="000000"/>
                <w:sz w:val="15"/>
                <w:szCs w:val="15"/>
              </w:rPr>
            </w:pPr>
            <w:r>
              <w:rPr>
                <w:rFonts w:hint="eastAsia" w:ascii="宋体" w:hAnsi="宋体" w:cs="宋体"/>
                <w:color w:val="000000"/>
                <w:kern w:val="0"/>
                <w:sz w:val="11"/>
                <w:szCs w:val="11"/>
                <w:lang w:bidi="ar"/>
              </w:rPr>
              <w:t>根据生态环境监察专员办公室职责，2023年新疆维吾尔自治区生态环境厅第四生态环境监察专员办公室开展哈密市、吐鲁番市生态环境保护监察工作，聚焦第二轮中央生态环境督察“回头看”，配合整改督导二组对哈密市、吐鲁番市进行4次督导，查阅整改材料1300余份，核查点位79个，形成督导工作日报、专报6期，反馈问题73个；积极配合自治区级生态环境保护督察和督导工作，着力做好涉及哈密市、吐鲁番市生态环境保护督察任务，前期摸排点位280余个，发现哈密市突出生态环境问题线索4类82条、吐鲁番市突出生态环境问题4类118条，形成前期摸排情况报告2份、典型案例初稿7个及视频影像资料，为督察进驻做好前期准备。正式进驻期间形成两地督察报告及典型案例上报自治区生态环境保护督察工作领导小组办公室，有力延续生态环境保护高压态势。覆盖生态环境监察区域2个，形成督察检查专项报告4个、环保督察整改情况报告4个，监察频率4次，报告质量通过率和区域覆盖率督导100%。持续开展生态环境保护监察、督察工作，督促当地生态环境保护工作持续开展，不断构建新型生态环境保护监察体系。</w:t>
            </w:r>
          </w:p>
        </w:tc>
      </w:tr>
      <w:tr w14:paraId="3310AEE3">
        <w:tblPrEx>
          <w:tblCellMar>
            <w:top w:w="0" w:type="dxa"/>
            <w:left w:w="0" w:type="dxa"/>
            <w:bottom w:w="0" w:type="dxa"/>
            <w:right w:w="0" w:type="dxa"/>
          </w:tblCellMar>
        </w:tblPrEx>
        <w:trPr>
          <w:trHeight w:val="312" w:hRule="atLeast"/>
        </w:trPr>
        <w:tc>
          <w:tcPr>
            <w:tcW w:w="52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DE23AD">
            <w:pPr>
              <w:spacing w:line="200" w:lineRule="exact"/>
              <w:jc w:val="center"/>
              <w:rPr>
                <w:rFonts w:hint="eastAsia" w:ascii="宋体" w:hAnsi="宋体" w:cs="宋体"/>
                <w:color w:val="000000"/>
                <w:sz w:val="15"/>
                <w:szCs w:val="15"/>
              </w:rPr>
            </w:pPr>
          </w:p>
        </w:tc>
        <w:tc>
          <w:tcPr>
            <w:tcW w:w="35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7EAD3CC">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一级指标</w:t>
            </w:r>
          </w:p>
        </w:tc>
        <w:tc>
          <w:tcPr>
            <w:tcW w:w="469"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6F7213C">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二级指标</w:t>
            </w:r>
          </w:p>
        </w:tc>
        <w:tc>
          <w:tcPr>
            <w:tcW w:w="148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917FDC2">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三级指标</w:t>
            </w:r>
          </w:p>
        </w:tc>
        <w:tc>
          <w:tcPr>
            <w:tcW w:w="40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2A6719A">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权重</w:t>
            </w:r>
          </w:p>
        </w:tc>
        <w:tc>
          <w:tcPr>
            <w:tcW w:w="63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EA38D81">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目标值</w:t>
            </w:r>
          </w:p>
        </w:tc>
        <w:tc>
          <w:tcPr>
            <w:tcW w:w="55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3E2DA">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业绩值</w:t>
            </w:r>
          </w:p>
        </w:tc>
        <w:tc>
          <w:tcPr>
            <w:tcW w:w="43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DFE6529">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完成率</w:t>
            </w:r>
          </w:p>
        </w:tc>
        <w:tc>
          <w:tcPr>
            <w:tcW w:w="52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5D0AC12">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指标得分</w:t>
            </w:r>
          </w:p>
        </w:tc>
        <w:tc>
          <w:tcPr>
            <w:tcW w:w="753"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A6EA957">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指标值设定依据</w:t>
            </w:r>
          </w:p>
        </w:tc>
        <w:tc>
          <w:tcPr>
            <w:tcW w:w="708"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22F754C">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上年完成情况</w:t>
            </w:r>
          </w:p>
        </w:tc>
        <w:tc>
          <w:tcPr>
            <w:tcW w:w="579"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930E776">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赋分规则</w:t>
            </w:r>
          </w:p>
        </w:tc>
        <w:tc>
          <w:tcPr>
            <w:tcW w:w="666"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6E877B5">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佐证资料</w:t>
            </w:r>
          </w:p>
        </w:tc>
        <w:tc>
          <w:tcPr>
            <w:tcW w:w="480"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C78E28E">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偏差原因分析及改进措施</w:t>
            </w:r>
          </w:p>
        </w:tc>
      </w:tr>
      <w:tr w14:paraId="311D8C52">
        <w:tblPrEx>
          <w:tblCellMar>
            <w:top w:w="0" w:type="dxa"/>
            <w:left w:w="0" w:type="dxa"/>
            <w:bottom w:w="0" w:type="dxa"/>
            <w:right w:w="0" w:type="dxa"/>
          </w:tblCellMar>
        </w:tblPrEx>
        <w:trPr>
          <w:trHeight w:val="31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0C97481">
            <w:pPr>
              <w:jc w:val="center"/>
              <w:rPr>
                <w:rFonts w:hint="eastAsia" w:ascii="宋体" w:hAnsi="宋体" w:cs="宋体"/>
                <w:color w:val="000000"/>
                <w:sz w:val="15"/>
                <w:szCs w:val="15"/>
              </w:rPr>
            </w:pPr>
          </w:p>
        </w:tc>
        <w:tc>
          <w:tcPr>
            <w:tcW w:w="3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9ABA557">
            <w:pPr>
              <w:jc w:val="center"/>
              <w:rPr>
                <w:rFonts w:hint="eastAsia" w:ascii="宋体" w:hAnsi="宋体" w:cs="宋体"/>
                <w:b/>
                <w:color w:val="000000"/>
                <w:sz w:val="15"/>
                <w:szCs w:val="15"/>
              </w:rPr>
            </w:pPr>
          </w:p>
        </w:tc>
        <w:tc>
          <w:tcPr>
            <w:tcW w:w="469"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6CC9D36">
            <w:pPr>
              <w:jc w:val="center"/>
              <w:rPr>
                <w:rFonts w:hint="eastAsia" w:ascii="宋体" w:hAnsi="宋体" w:cs="宋体"/>
                <w:b/>
                <w:color w:val="000000"/>
                <w:sz w:val="15"/>
                <w:szCs w:val="15"/>
              </w:rPr>
            </w:pPr>
          </w:p>
        </w:tc>
        <w:tc>
          <w:tcPr>
            <w:tcW w:w="148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DD359E0">
            <w:pPr>
              <w:jc w:val="center"/>
              <w:rPr>
                <w:rFonts w:hint="eastAsia" w:ascii="宋体" w:hAnsi="宋体" w:cs="宋体"/>
                <w:b/>
                <w:color w:val="000000"/>
                <w:sz w:val="15"/>
                <w:szCs w:val="15"/>
              </w:rPr>
            </w:pPr>
          </w:p>
        </w:tc>
        <w:tc>
          <w:tcPr>
            <w:tcW w:w="40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440C89A">
            <w:pPr>
              <w:jc w:val="center"/>
              <w:rPr>
                <w:rFonts w:hint="eastAsia" w:ascii="宋体" w:hAnsi="宋体" w:cs="宋体"/>
                <w:b/>
                <w:color w:val="000000"/>
                <w:sz w:val="15"/>
                <w:szCs w:val="15"/>
              </w:rPr>
            </w:pPr>
          </w:p>
        </w:tc>
        <w:tc>
          <w:tcPr>
            <w:tcW w:w="63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BEC1516">
            <w:pPr>
              <w:jc w:val="center"/>
              <w:rPr>
                <w:rFonts w:hint="eastAsia" w:ascii="宋体" w:hAnsi="宋体" w:cs="宋体"/>
                <w:b/>
                <w:color w:val="000000"/>
                <w:sz w:val="15"/>
                <w:szCs w:val="15"/>
              </w:rPr>
            </w:pPr>
          </w:p>
        </w:tc>
        <w:tc>
          <w:tcPr>
            <w:tcW w:w="55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1B161EE">
            <w:pPr>
              <w:jc w:val="center"/>
              <w:rPr>
                <w:rFonts w:hint="eastAsia" w:ascii="宋体" w:hAnsi="宋体" w:cs="宋体"/>
                <w:b/>
                <w:color w:val="000000"/>
                <w:sz w:val="15"/>
                <w:szCs w:val="15"/>
              </w:rPr>
            </w:pPr>
          </w:p>
        </w:tc>
        <w:tc>
          <w:tcPr>
            <w:tcW w:w="43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44D3830">
            <w:pPr>
              <w:jc w:val="center"/>
              <w:rPr>
                <w:rFonts w:hint="eastAsia" w:ascii="宋体" w:hAnsi="宋体" w:cs="宋体"/>
                <w:b/>
                <w:color w:val="000000"/>
                <w:sz w:val="15"/>
                <w:szCs w:val="15"/>
              </w:rPr>
            </w:pPr>
          </w:p>
        </w:tc>
        <w:tc>
          <w:tcPr>
            <w:tcW w:w="52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C4406D">
            <w:pPr>
              <w:jc w:val="center"/>
              <w:rPr>
                <w:rFonts w:hint="eastAsia" w:ascii="宋体" w:hAnsi="宋体" w:cs="宋体"/>
                <w:b/>
                <w:color w:val="000000"/>
                <w:sz w:val="15"/>
                <w:szCs w:val="15"/>
              </w:rPr>
            </w:pPr>
          </w:p>
        </w:tc>
        <w:tc>
          <w:tcPr>
            <w:tcW w:w="753"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8115D92">
            <w:pPr>
              <w:jc w:val="center"/>
              <w:rPr>
                <w:rFonts w:hint="eastAsia" w:ascii="宋体" w:hAnsi="宋体" w:cs="宋体"/>
                <w:b/>
                <w:color w:val="000000"/>
                <w:sz w:val="15"/>
                <w:szCs w:val="15"/>
              </w:rPr>
            </w:pPr>
          </w:p>
        </w:tc>
        <w:tc>
          <w:tcPr>
            <w:tcW w:w="708"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9F99C74">
            <w:pPr>
              <w:jc w:val="center"/>
              <w:rPr>
                <w:rFonts w:hint="eastAsia" w:ascii="宋体" w:hAnsi="宋体" w:cs="宋体"/>
                <w:b/>
                <w:color w:val="000000"/>
                <w:sz w:val="15"/>
                <w:szCs w:val="15"/>
              </w:rPr>
            </w:pPr>
          </w:p>
        </w:tc>
        <w:tc>
          <w:tcPr>
            <w:tcW w:w="579"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88349D2">
            <w:pPr>
              <w:jc w:val="center"/>
              <w:rPr>
                <w:rFonts w:hint="eastAsia" w:ascii="宋体" w:hAnsi="宋体" w:cs="宋体"/>
                <w:b/>
                <w:color w:val="000000"/>
                <w:sz w:val="15"/>
                <w:szCs w:val="15"/>
              </w:rPr>
            </w:pPr>
          </w:p>
        </w:tc>
        <w:tc>
          <w:tcPr>
            <w:tcW w:w="666"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AB975C2">
            <w:pPr>
              <w:jc w:val="center"/>
              <w:rPr>
                <w:rFonts w:hint="eastAsia" w:ascii="宋体" w:hAnsi="宋体" w:cs="宋体"/>
                <w:b/>
                <w:color w:val="000000"/>
                <w:sz w:val="15"/>
                <w:szCs w:val="15"/>
              </w:rPr>
            </w:pPr>
          </w:p>
        </w:tc>
        <w:tc>
          <w:tcPr>
            <w:tcW w:w="480"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A0C3CC">
            <w:pPr>
              <w:jc w:val="center"/>
              <w:rPr>
                <w:rFonts w:hint="eastAsia" w:ascii="宋体" w:hAnsi="宋体" w:cs="宋体"/>
                <w:b/>
                <w:color w:val="000000"/>
                <w:sz w:val="15"/>
                <w:szCs w:val="15"/>
              </w:rPr>
            </w:pPr>
          </w:p>
        </w:tc>
      </w:tr>
      <w:tr w14:paraId="009A6478">
        <w:tblPrEx>
          <w:tblCellMar>
            <w:top w:w="0" w:type="dxa"/>
            <w:left w:w="0" w:type="dxa"/>
            <w:bottom w:w="0" w:type="dxa"/>
            <w:right w:w="0" w:type="dxa"/>
          </w:tblCellMar>
        </w:tblPrEx>
        <w:trPr>
          <w:trHeight w:val="282" w:hRule="atLeast"/>
        </w:trPr>
        <w:tc>
          <w:tcPr>
            <w:tcW w:w="524"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99B52E2">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年度绩效指标完成情况</w:t>
            </w:r>
          </w:p>
        </w:tc>
        <w:tc>
          <w:tcPr>
            <w:tcW w:w="35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348856F">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产出指标</w:t>
            </w: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D3EE17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数量指标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C7F673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覆盖生态环境监察区域</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0290E0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92C785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≥2个</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E3C914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2个</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9988C3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5B637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50C40C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历史标准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A420303">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2个</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8DCFC3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5451E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F6E14C5">
            <w:pPr>
              <w:spacing w:line="200" w:lineRule="exact"/>
              <w:jc w:val="center"/>
              <w:rPr>
                <w:rFonts w:hint="eastAsia" w:ascii="宋体" w:hAnsi="宋体" w:cs="宋体"/>
                <w:color w:val="000000"/>
                <w:sz w:val="15"/>
                <w:szCs w:val="15"/>
              </w:rPr>
            </w:pPr>
          </w:p>
        </w:tc>
      </w:tr>
      <w:tr w14:paraId="6CF8223E">
        <w:tblPrEx>
          <w:tblCellMar>
            <w:top w:w="0" w:type="dxa"/>
            <w:left w:w="0" w:type="dxa"/>
            <w:bottom w:w="0" w:type="dxa"/>
            <w:right w:w="0" w:type="dxa"/>
          </w:tblCellMar>
        </w:tblPrEx>
        <w:trPr>
          <w:trHeight w:val="49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6007FCE">
            <w:pPr>
              <w:spacing w:line="200" w:lineRule="exact"/>
              <w:jc w:val="center"/>
              <w:rPr>
                <w:rFonts w:hint="eastAsia" w:ascii="宋体" w:hAnsi="宋体" w:cs="宋体"/>
                <w:b/>
                <w:color w:val="000000"/>
                <w:sz w:val="15"/>
                <w:szCs w:val="15"/>
              </w:rPr>
            </w:pPr>
          </w:p>
        </w:tc>
        <w:tc>
          <w:tcPr>
            <w:tcW w:w="3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4D9E36E">
            <w:pPr>
              <w:spacing w:line="200" w:lineRule="exact"/>
              <w:jc w:val="center"/>
              <w:rPr>
                <w:rFonts w:hint="eastAsia" w:ascii="宋体" w:hAnsi="宋体" w:cs="宋体"/>
                <w:color w:val="000000"/>
                <w:sz w:val="15"/>
                <w:szCs w:val="15"/>
              </w:rPr>
            </w:pP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920888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数量指标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E09E0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形成督察检查专项报告</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162992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378EF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≥4个</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2E7B20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4个</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A2AC19">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BE0AF0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6A82D79">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历史标准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918B46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6个</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95572FE">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EC46D5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3695A5D">
            <w:pPr>
              <w:spacing w:line="200" w:lineRule="exact"/>
              <w:jc w:val="center"/>
              <w:rPr>
                <w:rFonts w:hint="eastAsia" w:ascii="宋体" w:hAnsi="宋体" w:cs="宋体"/>
                <w:color w:val="000000"/>
                <w:sz w:val="15"/>
                <w:szCs w:val="15"/>
              </w:rPr>
            </w:pPr>
          </w:p>
        </w:tc>
      </w:tr>
      <w:tr w14:paraId="0CD14277">
        <w:tblPrEx>
          <w:tblCellMar>
            <w:top w:w="0" w:type="dxa"/>
            <w:left w:w="0" w:type="dxa"/>
            <w:bottom w:w="0" w:type="dxa"/>
            <w:right w:w="0" w:type="dxa"/>
          </w:tblCellMar>
        </w:tblPrEx>
        <w:trPr>
          <w:trHeight w:val="13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F772864">
            <w:pPr>
              <w:spacing w:line="200" w:lineRule="exact"/>
              <w:jc w:val="center"/>
              <w:rPr>
                <w:rFonts w:hint="eastAsia" w:ascii="宋体" w:hAnsi="宋体" w:cs="宋体"/>
                <w:b/>
                <w:color w:val="000000"/>
                <w:sz w:val="15"/>
                <w:szCs w:val="15"/>
              </w:rPr>
            </w:pPr>
          </w:p>
        </w:tc>
        <w:tc>
          <w:tcPr>
            <w:tcW w:w="3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D80942F">
            <w:pPr>
              <w:spacing w:line="200" w:lineRule="exact"/>
              <w:jc w:val="center"/>
              <w:rPr>
                <w:rFonts w:hint="eastAsia" w:ascii="宋体" w:hAnsi="宋体" w:cs="宋体"/>
                <w:color w:val="000000"/>
                <w:sz w:val="15"/>
                <w:szCs w:val="15"/>
              </w:rPr>
            </w:pP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D4C635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数量指标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49364D">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形成环保督察整改情况报告</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4470CAC">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05D485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≥4个</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12E810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4个</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E052BF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5B1AB3F">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57C45E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历史标准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4A51305">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6个</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202FEC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6EEA9D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C82A119">
            <w:pPr>
              <w:spacing w:line="200" w:lineRule="exact"/>
              <w:jc w:val="center"/>
              <w:rPr>
                <w:rFonts w:hint="eastAsia" w:ascii="宋体" w:hAnsi="宋体" w:cs="宋体"/>
                <w:color w:val="000000"/>
                <w:sz w:val="15"/>
                <w:szCs w:val="15"/>
              </w:rPr>
            </w:pPr>
          </w:p>
        </w:tc>
      </w:tr>
      <w:tr w14:paraId="217A9679">
        <w:tblPrEx>
          <w:tblCellMar>
            <w:top w:w="0" w:type="dxa"/>
            <w:left w:w="0" w:type="dxa"/>
            <w:bottom w:w="0" w:type="dxa"/>
            <w:right w:w="0" w:type="dxa"/>
          </w:tblCellMar>
        </w:tblPrEx>
        <w:trPr>
          <w:trHeight w:val="90"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98339B5">
            <w:pPr>
              <w:spacing w:line="200" w:lineRule="exact"/>
              <w:jc w:val="center"/>
              <w:rPr>
                <w:rFonts w:hint="eastAsia" w:ascii="宋体" w:hAnsi="宋体" w:cs="宋体"/>
                <w:b/>
                <w:color w:val="000000"/>
                <w:sz w:val="15"/>
                <w:szCs w:val="15"/>
              </w:rPr>
            </w:pPr>
          </w:p>
        </w:tc>
        <w:tc>
          <w:tcPr>
            <w:tcW w:w="3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ABDD084">
            <w:pPr>
              <w:spacing w:line="200" w:lineRule="exact"/>
              <w:jc w:val="center"/>
              <w:rPr>
                <w:rFonts w:hint="eastAsia" w:ascii="宋体" w:hAnsi="宋体" w:cs="宋体"/>
                <w:color w:val="000000"/>
                <w:sz w:val="15"/>
                <w:szCs w:val="15"/>
              </w:rPr>
            </w:pP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09E42F">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数量指标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4026BB9">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监督（监察）频次</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1A2769">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D59DA0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≥4次</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3216AD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4次</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748F99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919173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4DB9D5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计划标准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B3578CE">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6次</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E774DB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B2F63A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9EEBDD">
            <w:pPr>
              <w:spacing w:line="200" w:lineRule="exact"/>
              <w:jc w:val="center"/>
              <w:rPr>
                <w:rFonts w:hint="eastAsia" w:ascii="宋体" w:hAnsi="宋体" w:cs="宋体"/>
                <w:color w:val="000000"/>
                <w:sz w:val="15"/>
                <w:szCs w:val="15"/>
              </w:rPr>
            </w:pPr>
          </w:p>
        </w:tc>
      </w:tr>
      <w:tr w14:paraId="3FD636BF">
        <w:tblPrEx>
          <w:tblCellMar>
            <w:top w:w="0" w:type="dxa"/>
            <w:left w:w="0" w:type="dxa"/>
            <w:bottom w:w="0" w:type="dxa"/>
            <w:right w:w="0" w:type="dxa"/>
          </w:tblCellMar>
        </w:tblPrEx>
        <w:trPr>
          <w:trHeight w:val="46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45616BE">
            <w:pPr>
              <w:spacing w:line="200" w:lineRule="exact"/>
              <w:jc w:val="center"/>
              <w:rPr>
                <w:rFonts w:hint="eastAsia" w:ascii="宋体" w:hAnsi="宋体" w:cs="宋体"/>
                <w:b/>
                <w:color w:val="000000"/>
                <w:sz w:val="15"/>
                <w:szCs w:val="15"/>
              </w:rPr>
            </w:pPr>
          </w:p>
        </w:tc>
        <w:tc>
          <w:tcPr>
            <w:tcW w:w="3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62597F0">
            <w:pPr>
              <w:spacing w:line="200" w:lineRule="exact"/>
              <w:jc w:val="center"/>
              <w:rPr>
                <w:rFonts w:hint="eastAsia" w:ascii="宋体" w:hAnsi="宋体" w:cs="宋体"/>
                <w:color w:val="000000"/>
                <w:sz w:val="15"/>
                <w:szCs w:val="15"/>
              </w:rPr>
            </w:pP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97C24B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质量指标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CA894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报告质量通过率</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369E593">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22B8BC5">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9B1A921">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AF5E7F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455EA1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2ADB88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历史标准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D2236D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D879BB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A160F0C">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85223C8">
            <w:pPr>
              <w:spacing w:line="200" w:lineRule="exact"/>
              <w:jc w:val="center"/>
              <w:rPr>
                <w:rFonts w:hint="eastAsia" w:ascii="宋体" w:hAnsi="宋体" w:cs="宋体"/>
                <w:color w:val="000000"/>
                <w:sz w:val="15"/>
                <w:szCs w:val="15"/>
              </w:rPr>
            </w:pPr>
          </w:p>
        </w:tc>
      </w:tr>
      <w:tr w14:paraId="3ECAFBC3">
        <w:tblPrEx>
          <w:tblCellMar>
            <w:top w:w="0" w:type="dxa"/>
            <w:left w:w="0" w:type="dxa"/>
            <w:bottom w:w="0" w:type="dxa"/>
            <w:right w:w="0" w:type="dxa"/>
          </w:tblCellMar>
        </w:tblPrEx>
        <w:trPr>
          <w:trHeight w:val="39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7BE277">
            <w:pPr>
              <w:spacing w:line="200" w:lineRule="exact"/>
              <w:jc w:val="center"/>
              <w:rPr>
                <w:rFonts w:hint="eastAsia" w:ascii="宋体" w:hAnsi="宋体" w:cs="宋体"/>
                <w:b/>
                <w:color w:val="000000"/>
                <w:sz w:val="15"/>
                <w:szCs w:val="15"/>
              </w:rPr>
            </w:pPr>
          </w:p>
        </w:tc>
        <w:tc>
          <w:tcPr>
            <w:tcW w:w="3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96425BC">
            <w:pPr>
              <w:spacing w:line="200" w:lineRule="exact"/>
              <w:jc w:val="center"/>
              <w:rPr>
                <w:rFonts w:hint="eastAsia" w:ascii="宋体" w:hAnsi="宋体" w:cs="宋体"/>
                <w:color w:val="000000"/>
                <w:sz w:val="15"/>
                <w:szCs w:val="15"/>
              </w:rPr>
            </w:pP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D2DD6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质量指标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128F2BE">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区域覆盖率</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D4369C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AD48209">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EBAEA2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2CCA09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DD824F1">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31715B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历史标准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99D21E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AF79BBF">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9DEA9A9">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3CE29BE">
            <w:pPr>
              <w:spacing w:line="200" w:lineRule="exact"/>
              <w:jc w:val="center"/>
              <w:rPr>
                <w:rFonts w:hint="eastAsia" w:ascii="宋体" w:hAnsi="宋体" w:cs="宋体"/>
                <w:color w:val="000000"/>
                <w:sz w:val="15"/>
                <w:szCs w:val="15"/>
              </w:rPr>
            </w:pPr>
          </w:p>
        </w:tc>
      </w:tr>
      <w:tr w14:paraId="6A489A22">
        <w:tblPrEx>
          <w:tblCellMar>
            <w:top w:w="0" w:type="dxa"/>
            <w:left w:w="0" w:type="dxa"/>
            <w:bottom w:w="0" w:type="dxa"/>
            <w:right w:w="0" w:type="dxa"/>
          </w:tblCellMar>
        </w:tblPrEx>
        <w:trPr>
          <w:trHeight w:val="36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CBAB3E0">
            <w:pPr>
              <w:spacing w:line="200" w:lineRule="exact"/>
              <w:jc w:val="center"/>
              <w:rPr>
                <w:rFonts w:hint="eastAsia" w:ascii="宋体" w:hAnsi="宋体" w:cs="宋体"/>
                <w:b/>
                <w:color w:val="000000"/>
                <w:sz w:val="15"/>
                <w:szCs w:val="15"/>
              </w:rPr>
            </w:pPr>
          </w:p>
        </w:tc>
        <w:tc>
          <w:tcPr>
            <w:tcW w:w="3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19006D">
            <w:pPr>
              <w:spacing w:line="200" w:lineRule="exact"/>
              <w:jc w:val="center"/>
              <w:rPr>
                <w:rFonts w:hint="eastAsia" w:ascii="宋体" w:hAnsi="宋体" w:cs="宋体"/>
                <w:color w:val="000000"/>
                <w:sz w:val="15"/>
                <w:szCs w:val="15"/>
              </w:rPr>
            </w:pP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7E1F9E1">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时效指标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D7CF9C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年度督查任务按时完成率</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C42A23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DCFDD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D338B3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C9CAA3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1154C8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C4C1A1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历史标准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1769A90">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913D87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00461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52B878D">
            <w:pPr>
              <w:spacing w:line="200" w:lineRule="exact"/>
              <w:jc w:val="center"/>
              <w:rPr>
                <w:rFonts w:hint="eastAsia" w:ascii="宋体" w:hAnsi="宋体" w:cs="宋体"/>
                <w:color w:val="000000"/>
                <w:sz w:val="15"/>
                <w:szCs w:val="15"/>
              </w:rPr>
            </w:pPr>
          </w:p>
        </w:tc>
      </w:tr>
      <w:tr w14:paraId="60732BFA">
        <w:tblPrEx>
          <w:tblCellMar>
            <w:top w:w="0" w:type="dxa"/>
            <w:left w:w="0" w:type="dxa"/>
            <w:bottom w:w="0" w:type="dxa"/>
            <w:right w:w="0" w:type="dxa"/>
          </w:tblCellMar>
        </w:tblPrEx>
        <w:trPr>
          <w:trHeight w:val="38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E7F29EB">
            <w:pPr>
              <w:spacing w:line="200" w:lineRule="exact"/>
              <w:jc w:val="center"/>
              <w:rPr>
                <w:rFonts w:hint="eastAsia" w:ascii="宋体" w:hAnsi="宋体" w:cs="宋体"/>
                <w:b/>
                <w:color w:val="000000"/>
                <w:sz w:val="15"/>
                <w:szCs w:val="15"/>
              </w:rPr>
            </w:pPr>
          </w:p>
        </w:tc>
        <w:tc>
          <w:tcPr>
            <w:tcW w:w="352" w:type="dxa"/>
            <w:vMerge w:val="restart"/>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E04C6D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成本指标</w:t>
            </w:r>
          </w:p>
        </w:tc>
        <w:tc>
          <w:tcPr>
            <w:tcW w:w="469" w:type="dxa"/>
            <w:vMerge w:val="restart"/>
            <w:tcBorders>
              <w:top w:val="nil"/>
              <w:left w:val="single" w:color="000000" w:sz="4" w:space="0"/>
              <w:bottom w:val="nil"/>
              <w:right w:val="single" w:color="000000" w:sz="4" w:space="0"/>
            </w:tcBorders>
            <w:noWrap w:val="0"/>
            <w:tcMar>
              <w:top w:w="12" w:type="dxa"/>
              <w:left w:w="12" w:type="dxa"/>
              <w:right w:w="12" w:type="dxa"/>
            </w:tcMar>
            <w:vAlign w:val="center"/>
          </w:tcPr>
          <w:p w14:paraId="6774BAD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经济成本指标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A1FFFD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监督检查工作费用</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CADF9F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C750B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≤54.06万元</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B87B183">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54.06万元</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D19925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461E81F">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7AF042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预算支出标准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D1F46EE">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49.69万元</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148512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7250EC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B4C49E0">
            <w:pPr>
              <w:spacing w:line="200" w:lineRule="exact"/>
              <w:jc w:val="center"/>
              <w:rPr>
                <w:rFonts w:hint="eastAsia" w:ascii="宋体" w:hAnsi="宋体" w:cs="宋体"/>
                <w:color w:val="000000"/>
                <w:sz w:val="15"/>
                <w:szCs w:val="15"/>
              </w:rPr>
            </w:pPr>
          </w:p>
        </w:tc>
      </w:tr>
      <w:tr w14:paraId="588C1C77">
        <w:tblPrEx>
          <w:tblCellMar>
            <w:top w:w="0" w:type="dxa"/>
            <w:left w:w="0" w:type="dxa"/>
            <w:bottom w:w="0" w:type="dxa"/>
            <w:right w:w="0" w:type="dxa"/>
          </w:tblCellMar>
        </w:tblPrEx>
        <w:trPr>
          <w:trHeight w:val="49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C922861">
            <w:pPr>
              <w:spacing w:line="200" w:lineRule="exact"/>
              <w:jc w:val="center"/>
              <w:rPr>
                <w:rFonts w:hint="eastAsia" w:ascii="宋体" w:hAnsi="宋体" w:cs="宋体"/>
                <w:b/>
                <w:color w:val="000000"/>
                <w:sz w:val="15"/>
                <w:szCs w:val="15"/>
              </w:rPr>
            </w:pPr>
          </w:p>
        </w:tc>
        <w:tc>
          <w:tcPr>
            <w:tcW w:w="352"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5364877">
            <w:pPr>
              <w:spacing w:line="200" w:lineRule="exact"/>
              <w:jc w:val="center"/>
              <w:rPr>
                <w:rFonts w:hint="eastAsia" w:ascii="宋体" w:hAnsi="宋体" w:cs="宋体"/>
                <w:color w:val="000000"/>
                <w:sz w:val="15"/>
                <w:szCs w:val="15"/>
              </w:rPr>
            </w:pPr>
          </w:p>
        </w:tc>
        <w:tc>
          <w:tcPr>
            <w:tcW w:w="469" w:type="dxa"/>
            <w:vMerge w:val="continue"/>
            <w:tcBorders>
              <w:top w:val="nil"/>
              <w:left w:val="single" w:color="000000" w:sz="4" w:space="0"/>
              <w:bottom w:val="nil"/>
              <w:right w:val="single" w:color="000000" w:sz="4" w:space="0"/>
            </w:tcBorders>
            <w:noWrap w:val="0"/>
            <w:tcMar>
              <w:top w:w="12" w:type="dxa"/>
              <w:left w:w="12" w:type="dxa"/>
              <w:right w:w="12" w:type="dxa"/>
            </w:tcMar>
            <w:vAlign w:val="center"/>
          </w:tcPr>
          <w:p w14:paraId="4F551D5D">
            <w:pPr>
              <w:spacing w:line="200" w:lineRule="exact"/>
              <w:jc w:val="center"/>
              <w:rPr>
                <w:rFonts w:hint="eastAsia" w:ascii="宋体" w:hAnsi="宋体" w:cs="宋体"/>
                <w:color w:val="000000"/>
                <w:sz w:val="15"/>
                <w:szCs w:val="15"/>
              </w:rPr>
            </w:pP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25709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派驻检查期间费用</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F2FE29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760FBE3">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≤35.94万元</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999F0E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35.94万元</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2CA037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8346FF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5C8067C">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预算支出标准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91D2AF9">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33.57万元</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6A8036D">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按照完成比例赋分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FD513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1FD0F0F">
            <w:pPr>
              <w:spacing w:line="200" w:lineRule="exact"/>
              <w:jc w:val="center"/>
              <w:rPr>
                <w:rFonts w:hint="eastAsia" w:ascii="宋体" w:hAnsi="宋体" w:cs="宋体"/>
                <w:color w:val="000000"/>
                <w:sz w:val="15"/>
                <w:szCs w:val="15"/>
              </w:rPr>
            </w:pPr>
          </w:p>
        </w:tc>
      </w:tr>
      <w:tr w14:paraId="0FEDB75C">
        <w:tblPrEx>
          <w:tblCellMar>
            <w:top w:w="0" w:type="dxa"/>
            <w:left w:w="0" w:type="dxa"/>
            <w:bottom w:w="0" w:type="dxa"/>
            <w:right w:w="0" w:type="dxa"/>
          </w:tblCellMar>
        </w:tblPrEx>
        <w:trPr>
          <w:trHeight w:val="45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6C9D8D9">
            <w:pPr>
              <w:spacing w:line="200" w:lineRule="exact"/>
              <w:jc w:val="center"/>
              <w:rPr>
                <w:rFonts w:hint="eastAsia" w:ascii="宋体" w:hAnsi="宋体" w:cs="宋体"/>
                <w:b/>
                <w:color w:val="000000"/>
                <w:sz w:val="15"/>
                <w:szCs w:val="15"/>
              </w:rPr>
            </w:pPr>
          </w:p>
        </w:tc>
        <w:tc>
          <w:tcPr>
            <w:tcW w:w="3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7258CDD">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效益指标</w:t>
            </w: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3FAEB3E">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社会效益指标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91F35DC">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构建新型生态环境保护监察体系</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AD553D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20</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37A48EF">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不断完善</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C0478F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不断完善</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6614B3">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22E01AC">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20</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2DFD151">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其他标准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6D1C977">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不断完善</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0CE636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直接赋分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28B7504">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8321091">
            <w:pPr>
              <w:spacing w:line="200" w:lineRule="exact"/>
              <w:jc w:val="center"/>
              <w:rPr>
                <w:rFonts w:hint="eastAsia" w:ascii="宋体" w:hAnsi="宋体" w:cs="宋体"/>
                <w:color w:val="000000"/>
                <w:sz w:val="15"/>
                <w:szCs w:val="15"/>
              </w:rPr>
            </w:pPr>
          </w:p>
        </w:tc>
      </w:tr>
      <w:tr w14:paraId="68E22C50">
        <w:tblPrEx>
          <w:tblCellMar>
            <w:top w:w="0" w:type="dxa"/>
            <w:left w:w="0" w:type="dxa"/>
            <w:bottom w:w="0" w:type="dxa"/>
            <w:right w:w="0" w:type="dxa"/>
          </w:tblCellMar>
        </w:tblPrEx>
        <w:trPr>
          <w:trHeight w:val="432" w:hRule="atLeast"/>
        </w:trPr>
        <w:tc>
          <w:tcPr>
            <w:tcW w:w="524" w:type="dxa"/>
            <w:vMerge w:val="continue"/>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C0596F2">
            <w:pPr>
              <w:spacing w:line="200" w:lineRule="exact"/>
              <w:jc w:val="center"/>
              <w:rPr>
                <w:rFonts w:hint="eastAsia" w:ascii="宋体" w:hAnsi="宋体" w:cs="宋体"/>
                <w:b/>
                <w:color w:val="000000"/>
                <w:sz w:val="15"/>
                <w:szCs w:val="15"/>
              </w:rPr>
            </w:pPr>
          </w:p>
        </w:tc>
        <w:tc>
          <w:tcPr>
            <w:tcW w:w="35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52815E9">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满意度指标</w:t>
            </w:r>
          </w:p>
        </w:tc>
        <w:tc>
          <w:tcPr>
            <w:tcW w:w="46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FAB0043">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满意度指标</w:t>
            </w:r>
          </w:p>
        </w:tc>
        <w:tc>
          <w:tcPr>
            <w:tcW w:w="1484"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90ABA31">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检查人员被投诉次数</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37883E0">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63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39FED06">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≤5次</w:t>
            </w: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C900A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0次</w:t>
            </w: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D5F925F">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CAB2F5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58A5C5A">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其他标准</w:t>
            </w: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5CC53EF">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0次</w:t>
            </w: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15A6F82">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满意度赋分</w:t>
            </w: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8B1124E">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工作资料</w:t>
            </w: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A1A4FD6">
            <w:pPr>
              <w:spacing w:line="200" w:lineRule="exact"/>
              <w:jc w:val="center"/>
              <w:rPr>
                <w:rFonts w:hint="eastAsia" w:ascii="宋体" w:hAnsi="宋体" w:cs="宋体"/>
                <w:color w:val="000000"/>
                <w:sz w:val="15"/>
                <w:szCs w:val="15"/>
              </w:rPr>
            </w:pPr>
          </w:p>
        </w:tc>
      </w:tr>
      <w:tr w14:paraId="23CC5319">
        <w:tblPrEx>
          <w:tblCellMar>
            <w:top w:w="0" w:type="dxa"/>
            <w:left w:w="0" w:type="dxa"/>
            <w:bottom w:w="0" w:type="dxa"/>
            <w:right w:w="0" w:type="dxa"/>
          </w:tblCellMar>
        </w:tblPrEx>
        <w:trPr>
          <w:trHeight w:val="362" w:hRule="atLeast"/>
        </w:trPr>
        <w:tc>
          <w:tcPr>
            <w:tcW w:w="2829" w:type="dxa"/>
            <w:gridSpan w:val="4"/>
            <w:tcBorders>
              <w:top w:val="single" w:color="000000" w:sz="4" w:space="0"/>
              <w:left w:val="single" w:color="000000" w:sz="4" w:space="0"/>
              <w:bottom w:val="single" w:color="000000" w:sz="4" w:space="0"/>
              <w:right w:val="nil"/>
            </w:tcBorders>
            <w:noWrap w:val="0"/>
            <w:tcMar>
              <w:top w:w="12" w:type="dxa"/>
              <w:left w:w="12" w:type="dxa"/>
              <w:right w:w="12" w:type="dxa"/>
            </w:tcMar>
            <w:vAlign w:val="center"/>
          </w:tcPr>
          <w:p w14:paraId="0462D043">
            <w:pPr>
              <w:spacing w:line="200" w:lineRule="exact"/>
              <w:jc w:val="center"/>
              <w:textAlignment w:val="center"/>
              <w:rPr>
                <w:rFonts w:hint="eastAsia" w:ascii="宋体" w:hAnsi="宋体" w:cs="宋体"/>
                <w:b/>
                <w:color w:val="000000"/>
                <w:sz w:val="15"/>
                <w:szCs w:val="15"/>
              </w:rPr>
            </w:pPr>
            <w:r>
              <w:rPr>
                <w:rFonts w:hint="eastAsia" w:ascii="宋体" w:hAnsi="宋体" w:cs="宋体"/>
                <w:b/>
                <w:color w:val="000000"/>
                <w:kern w:val="0"/>
                <w:sz w:val="15"/>
                <w:szCs w:val="15"/>
                <w:lang w:bidi="ar"/>
              </w:rPr>
              <w:t>总分</w:t>
            </w:r>
          </w:p>
        </w:tc>
        <w:tc>
          <w:tcPr>
            <w:tcW w:w="40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3997828">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633" w:type="dxa"/>
            <w:tcBorders>
              <w:top w:val="single" w:color="000000" w:sz="4" w:space="0"/>
              <w:left w:val="nil"/>
              <w:bottom w:val="single" w:color="000000" w:sz="4" w:space="0"/>
              <w:right w:val="single" w:color="000000" w:sz="4" w:space="0"/>
            </w:tcBorders>
            <w:noWrap w:val="0"/>
            <w:tcMar>
              <w:top w:w="12" w:type="dxa"/>
              <w:left w:w="12" w:type="dxa"/>
              <w:right w:w="12" w:type="dxa"/>
            </w:tcMar>
            <w:vAlign w:val="center"/>
          </w:tcPr>
          <w:p w14:paraId="496A13E1">
            <w:pPr>
              <w:spacing w:line="200" w:lineRule="exact"/>
              <w:rPr>
                <w:rFonts w:hint="eastAsia" w:ascii="宋体" w:hAnsi="宋体" w:cs="宋体"/>
                <w:b/>
                <w:color w:val="000000"/>
                <w:sz w:val="15"/>
                <w:szCs w:val="15"/>
              </w:rPr>
            </w:pPr>
          </w:p>
        </w:tc>
        <w:tc>
          <w:tcPr>
            <w:tcW w:w="55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C808803">
            <w:pPr>
              <w:spacing w:line="200" w:lineRule="exact"/>
              <w:jc w:val="center"/>
              <w:rPr>
                <w:rFonts w:hint="eastAsia" w:ascii="宋体" w:hAnsi="宋体" w:cs="宋体"/>
                <w:color w:val="000000"/>
                <w:sz w:val="15"/>
                <w:szCs w:val="15"/>
              </w:rPr>
            </w:pPr>
          </w:p>
        </w:tc>
        <w:tc>
          <w:tcPr>
            <w:tcW w:w="4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BB5EF84">
            <w:pPr>
              <w:spacing w:line="200" w:lineRule="exact"/>
              <w:jc w:val="center"/>
              <w:rPr>
                <w:rFonts w:hint="eastAsia" w:ascii="宋体" w:hAnsi="宋体" w:cs="宋体"/>
                <w:color w:val="000000"/>
                <w:sz w:val="15"/>
                <w:szCs w:val="15"/>
              </w:rPr>
            </w:pPr>
          </w:p>
        </w:tc>
        <w:tc>
          <w:tcPr>
            <w:tcW w:w="522"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3513E8B">
            <w:pPr>
              <w:spacing w:line="200" w:lineRule="exact"/>
              <w:jc w:val="center"/>
              <w:textAlignment w:val="center"/>
              <w:rPr>
                <w:rFonts w:hint="eastAsia" w:ascii="宋体" w:hAnsi="宋体" w:cs="宋体"/>
                <w:color w:val="000000"/>
                <w:sz w:val="15"/>
                <w:szCs w:val="15"/>
              </w:rPr>
            </w:pPr>
            <w:r>
              <w:rPr>
                <w:rFonts w:hint="eastAsia" w:ascii="宋体" w:hAnsi="宋体" w:cs="宋体"/>
                <w:color w:val="000000"/>
                <w:kern w:val="0"/>
                <w:sz w:val="15"/>
                <w:szCs w:val="15"/>
                <w:lang w:bidi="ar"/>
              </w:rPr>
              <w:t>100</w:t>
            </w:r>
          </w:p>
        </w:tc>
        <w:tc>
          <w:tcPr>
            <w:tcW w:w="7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2B4E3C9">
            <w:pPr>
              <w:spacing w:line="200" w:lineRule="exact"/>
              <w:rPr>
                <w:rFonts w:hint="eastAsia" w:ascii="宋体" w:hAnsi="宋体" w:cs="宋体"/>
                <w:color w:val="000000"/>
                <w:sz w:val="15"/>
                <w:szCs w:val="15"/>
              </w:rPr>
            </w:pPr>
          </w:p>
        </w:tc>
        <w:tc>
          <w:tcPr>
            <w:tcW w:w="70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F1B21F4">
            <w:pPr>
              <w:spacing w:line="200" w:lineRule="exact"/>
              <w:rPr>
                <w:rFonts w:hint="eastAsia" w:ascii="宋体" w:hAnsi="宋体" w:cs="宋体"/>
                <w:color w:val="000000"/>
                <w:sz w:val="15"/>
                <w:szCs w:val="15"/>
              </w:rPr>
            </w:pPr>
          </w:p>
        </w:tc>
        <w:tc>
          <w:tcPr>
            <w:tcW w:w="57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A90656E">
            <w:pPr>
              <w:spacing w:line="200" w:lineRule="exact"/>
              <w:rPr>
                <w:rFonts w:hint="eastAsia" w:ascii="宋体" w:hAnsi="宋体" w:cs="宋体"/>
                <w:color w:val="000000"/>
                <w:sz w:val="15"/>
                <w:szCs w:val="15"/>
              </w:rPr>
            </w:pPr>
          </w:p>
        </w:tc>
        <w:tc>
          <w:tcPr>
            <w:tcW w:w="66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D6A618C">
            <w:pPr>
              <w:spacing w:line="200" w:lineRule="exact"/>
              <w:rPr>
                <w:rFonts w:hint="eastAsia" w:ascii="宋体" w:hAnsi="宋体" w:cs="宋体"/>
                <w:color w:val="000000"/>
                <w:sz w:val="15"/>
                <w:szCs w:val="15"/>
              </w:rPr>
            </w:pPr>
          </w:p>
        </w:tc>
        <w:tc>
          <w:tcPr>
            <w:tcW w:w="4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212D988B">
            <w:pPr>
              <w:spacing w:line="200" w:lineRule="exact"/>
              <w:rPr>
                <w:rFonts w:hint="eastAsia" w:ascii="宋体" w:hAnsi="宋体" w:cs="宋体"/>
                <w:color w:val="000000"/>
                <w:sz w:val="15"/>
                <w:szCs w:val="15"/>
              </w:rPr>
            </w:pPr>
          </w:p>
        </w:tc>
      </w:tr>
    </w:tbl>
    <w:p w14:paraId="392B3437">
      <w:pPr>
        <w:tabs>
          <w:tab w:val="left" w:pos="1334"/>
        </w:tabs>
        <w:jc w:val="left"/>
        <w:rPr>
          <w:rFonts w:hint="eastAsia"/>
        </w:rPr>
        <w:sectPr>
          <w:pgSz w:w="11906" w:h="16838"/>
          <w:pgMar w:top="1440" w:right="1558" w:bottom="1440" w:left="1800" w:header="851" w:footer="992" w:gutter="0"/>
          <w:pgBorders>
            <w:top w:val="none" w:sz="0" w:space="0"/>
            <w:left w:val="none" w:sz="0" w:space="0"/>
            <w:bottom w:val="none" w:sz="0" w:space="0"/>
            <w:right w:val="none" w:sz="0" w:space="0"/>
          </w:pgBorders>
          <w:lnNumType w:countBy="0" w:distance="360"/>
          <w:cols w:space="720" w:num="1"/>
          <w:docGrid w:type="lines" w:linePitch="312" w:charSpace="0"/>
        </w:sectPr>
      </w:pPr>
    </w:p>
    <w:p w14:paraId="33DE00CC">
      <w:pPr>
        <w:spacing w:line="600" w:lineRule="exact"/>
        <w:rPr>
          <w:rFonts w:hint="eastAsia" w:ascii="黑体" w:hAnsi="黑体" w:eastAsia="黑体"/>
        </w:rPr>
      </w:pPr>
      <w:r>
        <w:rPr>
          <w:rFonts w:hint="eastAsia" w:ascii="黑体" w:hAnsi="黑体" w:eastAsia="黑体"/>
          <w:sz w:val="32"/>
        </w:rPr>
        <w:t>附件1</w:t>
      </w:r>
    </w:p>
    <w:p w14:paraId="151597FB">
      <w:pPr>
        <w:pStyle w:val="12"/>
        <w:ind w:firstLine="562"/>
        <w:jc w:val="center"/>
        <w:rPr>
          <w:sz w:val="28"/>
        </w:rPr>
      </w:pPr>
      <w:bookmarkStart w:id="7" w:name="_Toc30064_WPSOffice_Level1"/>
      <w:bookmarkStart w:id="8" w:name="_Toc26499_WPSOffice_Level2"/>
      <w:r>
        <w:rPr>
          <w:rFonts w:hint="eastAsia" w:ascii="Times New Roman" w:hAnsi="Times New Roman"/>
          <w:b/>
          <w:sz w:val="28"/>
        </w:rPr>
        <w:t>生态环境厅环境监察专员办环境监察专项项目绩效</w:t>
      </w:r>
      <w:r>
        <w:rPr>
          <w:rFonts w:hint="eastAsia"/>
          <w:b/>
          <w:sz w:val="28"/>
        </w:rPr>
        <w:t>评价指标体系及综合评分表</w:t>
      </w:r>
      <w:bookmarkEnd w:id="7"/>
      <w:bookmarkEnd w:id="8"/>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64522C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E7B4BB9">
            <w:pPr>
              <w:spacing w:line="240" w:lineRule="atLeast"/>
              <w:jc w:val="center"/>
              <w:rPr>
                <w:b/>
                <w:color w:val="000000"/>
                <w:kern w:val="0"/>
                <w:sz w:val="22"/>
              </w:rPr>
            </w:pPr>
            <w:r>
              <w:rPr>
                <w:rFonts w:hint="eastAsia"/>
                <w:b/>
                <w:color w:val="000000"/>
                <w:kern w:val="0"/>
                <w:sz w:val="22"/>
              </w:rPr>
              <w:t>一级指标</w:t>
            </w:r>
          </w:p>
        </w:tc>
        <w:tc>
          <w:tcPr>
            <w:tcW w:w="7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912A854">
            <w:pPr>
              <w:spacing w:line="240" w:lineRule="atLeast"/>
              <w:jc w:val="center"/>
              <w:rPr>
                <w:b/>
                <w:color w:val="000000"/>
                <w:kern w:val="0"/>
                <w:sz w:val="22"/>
              </w:rPr>
            </w:pPr>
            <w:r>
              <w:rPr>
                <w:rFonts w:hint="eastAsia"/>
                <w:b/>
                <w:color w:val="000000"/>
                <w:kern w:val="0"/>
                <w:sz w:val="22"/>
              </w:rPr>
              <w:t>二级指标</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CF61350">
            <w:pPr>
              <w:spacing w:line="240" w:lineRule="atLeast"/>
              <w:jc w:val="center"/>
              <w:rPr>
                <w:b/>
                <w:color w:val="000000"/>
                <w:kern w:val="0"/>
                <w:sz w:val="22"/>
              </w:rPr>
            </w:pPr>
            <w:r>
              <w:rPr>
                <w:rFonts w:hint="eastAsia"/>
                <w:b/>
                <w:color w:val="000000"/>
                <w:kern w:val="0"/>
                <w:sz w:val="22"/>
              </w:rPr>
              <w:t>三级指标</w:t>
            </w:r>
          </w:p>
        </w:tc>
        <w:tc>
          <w:tcPr>
            <w:tcW w:w="235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872EC90">
            <w:pPr>
              <w:spacing w:line="240" w:lineRule="atLeast"/>
              <w:jc w:val="center"/>
              <w:rPr>
                <w:b/>
                <w:color w:val="000000"/>
                <w:kern w:val="0"/>
                <w:sz w:val="22"/>
              </w:rPr>
            </w:pPr>
            <w:r>
              <w:rPr>
                <w:rFonts w:hint="eastAsia"/>
                <w:b/>
                <w:color w:val="000000"/>
                <w:kern w:val="0"/>
                <w:sz w:val="22"/>
              </w:rPr>
              <w:t>指标解释</w:t>
            </w:r>
          </w:p>
        </w:tc>
        <w:tc>
          <w:tcPr>
            <w:tcW w:w="519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2A347CF">
            <w:pPr>
              <w:spacing w:line="240" w:lineRule="atLeast"/>
              <w:jc w:val="center"/>
              <w:rPr>
                <w:b/>
                <w:color w:val="000000"/>
                <w:kern w:val="0"/>
                <w:sz w:val="22"/>
              </w:rPr>
            </w:pPr>
            <w:r>
              <w:rPr>
                <w:rFonts w:hint="eastAsia"/>
                <w:b/>
                <w:color w:val="000000"/>
                <w:kern w:val="0"/>
                <w:sz w:val="22"/>
              </w:rPr>
              <w:t>指标说明</w:t>
            </w:r>
          </w:p>
        </w:tc>
        <w:tc>
          <w:tcPr>
            <w:tcW w:w="130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9F7D38F">
            <w:pPr>
              <w:spacing w:line="240" w:lineRule="atLeast"/>
              <w:jc w:val="center"/>
              <w:rPr>
                <w:b/>
                <w:color w:val="000000"/>
                <w:kern w:val="0"/>
                <w:sz w:val="22"/>
              </w:rPr>
            </w:pPr>
            <w:r>
              <w:rPr>
                <w:rFonts w:hint="eastAsia"/>
                <w:b/>
                <w:color w:val="000000"/>
                <w:kern w:val="0"/>
                <w:sz w:val="22"/>
              </w:rPr>
              <w:t>权重</w:t>
            </w:r>
          </w:p>
        </w:tc>
        <w:tc>
          <w:tcPr>
            <w:tcW w:w="136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354E8A">
            <w:pPr>
              <w:spacing w:line="240" w:lineRule="atLeast"/>
              <w:jc w:val="center"/>
              <w:rPr>
                <w:b/>
                <w:color w:val="000000"/>
                <w:kern w:val="0"/>
                <w:sz w:val="22"/>
              </w:rPr>
            </w:pPr>
            <w:r>
              <w:rPr>
                <w:rFonts w:hint="eastAsia"/>
                <w:b/>
                <w:color w:val="000000"/>
                <w:kern w:val="0"/>
                <w:sz w:val="22"/>
              </w:rPr>
              <w:t>得分</w:t>
            </w:r>
          </w:p>
        </w:tc>
      </w:tr>
      <w:tr w14:paraId="2C9B28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26F6A28">
            <w:pPr>
              <w:spacing w:line="240" w:lineRule="atLeast"/>
              <w:jc w:val="center"/>
              <w:rPr>
                <w:color w:val="000000"/>
                <w:kern w:val="0"/>
                <w:sz w:val="22"/>
              </w:rPr>
            </w:pPr>
          </w:p>
          <w:p w14:paraId="5EECD546">
            <w:pPr>
              <w:spacing w:line="240" w:lineRule="atLeast"/>
              <w:jc w:val="center"/>
              <w:rPr>
                <w:color w:val="000000"/>
                <w:kern w:val="0"/>
                <w:sz w:val="22"/>
              </w:rPr>
            </w:pPr>
          </w:p>
          <w:p w14:paraId="23CD516E">
            <w:pPr>
              <w:spacing w:line="240" w:lineRule="atLeast"/>
              <w:jc w:val="center"/>
              <w:rPr>
                <w:color w:val="000000"/>
                <w:kern w:val="0"/>
                <w:sz w:val="22"/>
              </w:rPr>
            </w:pPr>
          </w:p>
          <w:p w14:paraId="7A476C66">
            <w:pPr>
              <w:spacing w:line="240" w:lineRule="atLeast"/>
              <w:jc w:val="center"/>
              <w:rPr>
                <w:color w:val="000000"/>
                <w:kern w:val="0"/>
                <w:sz w:val="22"/>
              </w:rPr>
            </w:pPr>
          </w:p>
          <w:p w14:paraId="14BA6D5E">
            <w:pPr>
              <w:spacing w:line="240" w:lineRule="atLeast"/>
              <w:jc w:val="center"/>
              <w:rPr>
                <w:color w:val="000000"/>
                <w:kern w:val="0"/>
                <w:sz w:val="22"/>
              </w:rPr>
            </w:pPr>
          </w:p>
          <w:p w14:paraId="29DEAD81">
            <w:pPr>
              <w:spacing w:line="240" w:lineRule="atLeast"/>
              <w:jc w:val="center"/>
              <w:rPr>
                <w:color w:val="000000"/>
                <w:kern w:val="0"/>
                <w:sz w:val="22"/>
              </w:rPr>
            </w:pPr>
          </w:p>
          <w:p w14:paraId="3DDC2A28">
            <w:pPr>
              <w:spacing w:line="240" w:lineRule="atLeast"/>
              <w:jc w:val="center"/>
              <w:rPr>
                <w:color w:val="000000"/>
                <w:kern w:val="0"/>
                <w:sz w:val="22"/>
              </w:rPr>
            </w:pPr>
            <w:r>
              <w:rPr>
                <w:rFonts w:hint="eastAsia"/>
                <w:color w:val="000000"/>
                <w:kern w:val="0"/>
                <w:sz w:val="22"/>
              </w:rPr>
              <w:t>决策　</w:t>
            </w:r>
          </w:p>
        </w:tc>
        <w:tc>
          <w:tcPr>
            <w:tcW w:w="764"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2DD2B6B">
            <w:pPr>
              <w:spacing w:line="240" w:lineRule="atLeast"/>
              <w:jc w:val="center"/>
              <w:rPr>
                <w:color w:val="000000"/>
                <w:kern w:val="0"/>
                <w:sz w:val="22"/>
              </w:rPr>
            </w:pPr>
            <w:r>
              <w:rPr>
                <w:rFonts w:hint="eastAsia"/>
                <w:color w:val="000000"/>
                <w:kern w:val="0"/>
                <w:sz w:val="22"/>
              </w:rPr>
              <w:t>项目立项　</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E861145">
            <w:pPr>
              <w:spacing w:line="240" w:lineRule="atLeast"/>
              <w:jc w:val="center"/>
              <w:rPr>
                <w:color w:val="000000"/>
                <w:kern w:val="0"/>
                <w:sz w:val="22"/>
              </w:rPr>
            </w:pPr>
            <w:r>
              <w:rPr>
                <w:rFonts w:hint="eastAsia"/>
                <w:color w:val="000000"/>
                <w:kern w:val="0"/>
                <w:sz w:val="22"/>
              </w:rPr>
              <w:t>立项依据</w:t>
            </w:r>
          </w:p>
          <w:p w14:paraId="4EB24D37">
            <w:pPr>
              <w:spacing w:line="240" w:lineRule="atLeast"/>
              <w:jc w:val="center"/>
              <w:rPr>
                <w:color w:val="000000"/>
                <w:kern w:val="0"/>
                <w:sz w:val="22"/>
              </w:rPr>
            </w:pPr>
            <w:r>
              <w:rPr>
                <w:rFonts w:hint="eastAsia"/>
                <w:color w:val="000000"/>
                <w:kern w:val="0"/>
                <w:sz w:val="22"/>
              </w:rPr>
              <w:t>充分性</w:t>
            </w:r>
          </w:p>
        </w:tc>
        <w:tc>
          <w:tcPr>
            <w:tcW w:w="235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60EE53D">
            <w:pPr>
              <w:spacing w:line="240" w:lineRule="atLeast"/>
              <w:rPr>
                <w:color w:val="000000"/>
                <w:kern w:val="0"/>
                <w:sz w:val="22"/>
              </w:rPr>
            </w:pPr>
            <w:r>
              <w:rPr>
                <w:rFonts w:hint="eastAsia"/>
                <w:color w:val="000000"/>
                <w:kern w:val="0"/>
                <w:sz w:val="22"/>
              </w:rPr>
              <w:t>项目立项是否符合法律法规、相关政策、发展规划以及部门职责，用以反映和考核项目立项依据情况。</w:t>
            </w:r>
          </w:p>
        </w:tc>
        <w:tc>
          <w:tcPr>
            <w:tcW w:w="519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6871925">
            <w:pPr>
              <w:spacing w:line="240" w:lineRule="atLeast"/>
              <w:jc w:val="left"/>
              <w:rPr>
                <w:color w:val="000000"/>
                <w:kern w:val="0"/>
                <w:sz w:val="22"/>
              </w:rPr>
            </w:pPr>
            <w:r>
              <w:rPr>
                <w:rFonts w:hint="eastAsia"/>
                <w:color w:val="000000"/>
                <w:kern w:val="0"/>
                <w:sz w:val="22"/>
              </w:rPr>
              <w:t>评价要点：</w:t>
            </w:r>
            <w:r>
              <w:rPr>
                <w:color w:val="000000"/>
                <w:kern w:val="0"/>
                <w:sz w:val="22"/>
              </w:rPr>
              <w:br w:type="textWrapping"/>
            </w:r>
            <w:r>
              <w:rPr>
                <w:color w:val="000000"/>
                <w:kern w:val="0"/>
                <w:sz w:val="22"/>
              </w:rPr>
              <w:t>①</w:t>
            </w:r>
            <w:r>
              <w:rPr>
                <w:rFonts w:hint="eastAsia"/>
                <w:color w:val="000000"/>
                <w:kern w:val="0"/>
                <w:sz w:val="22"/>
              </w:rPr>
              <w:t>项目立项是否符合国家法律法规、国民经济发展规划和相关政策；</w:t>
            </w:r>
            <w:r>
              <w:rPr>
                <w:color w:val="000000"/>
                <w:kern w:val="0"/>
                <w:sz w:val="22"/>
              </w:rPr>
              <w:br w:type="textWrapping"/>
            </w:r>
            <w:r>
              <w:rPr>
                <w:color w:val="000000"/>
                <w:kern w:val="0"/>
                <w:sz w:val="22"/>
              </w:rPr>
              <w:t>②</w:t>
            </w:r>
            <w:r>
              <w:rPr>
                <w:rFonts w:hint="eastAsia"/>
                <w:color w:val="000000"/>
                <w:kern w:val="0"/>
                <w:sz w:val="22"/>
              </w:rPr>
              <w:t>项目立项是否符合行业发展规划和政策要求；</w:t>
            </w:r>
            <w:r>
              <w:rPr>
                <w:color w:val="000000"/>
                <w:kern w:val="0"/>
                <w:sz w:val="22"/>
              </w:rPr>
              <w:br w:type="textWrapping"/>
            </w:r>
            <w:r>
              <w:rPr>
                <w:color w:val="000000"/>
                <w:kern w:val="0"/>
                <w:sz w:val="22"/>
              </w:rPr>
              <w:t>③</w:t>
            </w:r>
            <w:r>
              <w:rPr>
                <w:rFonts w:hint="eastAsia"/>
                <w:color w:val="000000"/>
                <w:kern w:val="0"/>
                <w:sz w:val="22"/>
              </w:rPr>
              <w:t>项目立项是否与部门职责范围相符，属于部门履职所需；</w:t>
            </w:r>
            <w:r>
              <w:rPr>
                <w:color w:val="000000"/>
                <w:kern w:val="0"/>
                <w:sz w:val="22"/>
              </w:rPr>
              <w:br w:type="textWrapping"/>
            </w:r>
            <w:r>
              <w:rPr>
                <w:color w:val="000000"/>
                <w:kern w:val="0"/>
                <w:sz w:val="22"/>
              </w:rPr>
              <w:t>④</w:t>
            </w:r>
            <w:r>
              <w:rPr>
                <w:rFonts w:hint="eastAsia"/>
                <w:color w:val="000000"/>
                <w:kern w:val="0"/>
                <w:sz w:val="22"/>
              </w:rPr>
              <w:t>项目是否属于公共财政支持范围，是否符合中央、地方事权支出责任划分原则；</w:t>
            </w:r>
            <w:r>
              <w:rPr>
                <w:color w:val="000000"/>
                <w:kern w:val="0"/>
                <w:sz w:val="22"/>
              </w:rPr>
              <w:br w:type="textWrapping"/>
            </w:r>
            <w:r>
              <w:rPr>
                <w:color w:val="000000"/>
                <w:kern w:val="0"/>
                <w:sz w:val="22"/>
              </w:rPr>
              <w:t>⑤</w:t>
            </w:r>
            <w:r>
              <w:rPr>
                <w:rFonts w:hint="eastAsia"/>
                <w:color w:val="000000"/>
                <w:kern w:val="0"/>
                <w:sz w:val="22"/>
              </w:rPr>
              <w:t>项目是否与相关部门同类项目或部门内部相关项目重复。</w:t>
            </w:r>
          </w:p>
        </w:tc>
        <w:tc>
          <w:tcPr>
            <w:tcW w:w="130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A35E88F">
            <w:pPr>
              <w:spacing w:line="240" w:lineRule="atLeast"/>
              <w:jc w:val="center"/>
              <w:rPr>
                <w:rFonts w:ascii="Times New Roman" w:hAnsi="Times New Roman"/>
                <w:b/>
                <w:color w:val="000000"/>
                <w:kern w:val="0"/>
                <w:sz w:val="22"/>
              </w:rPr>
            </w:pPr>
            <w:r>
              <w:rPr>
                <w:rFonts w:ascii="Times New Roman" w:hAnsi="Times New Roman"/>
                <w:b/>
                <w:color w:val="000000"/>
                <w:kern w:val="0"/>
                <w:sz w:val="22"/>
              </w:rPr>
              <w:t>3</w:t>
            </w:r>
          </w:p>
        </w:tc>
        <w:tc>
          <w:tcPr>
            <w:tcW w:w="136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370E8C6">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3</w:t>
            </w:r>
          </w:p>
        </w:tc>
      </w:tr>
      <w:tr w14:paraId="2C5670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54F312E">
            <w:pPr>
              <w:spacing w:line="240" w:lineRule="atLeast"/>
              <w:jc w:val="center"/>
              <w:rPr>
                <w:color w:val="000000"/>
                <w:kern w:val="0"/>
                <w:sz w:val="22"/>
              </w:rPr>
            </w:pPr>
          </w:p>
        </w:tc>
        <w:tc>
          <w:tcPr>
            <w:tcW w:w="764"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E1C40ED">
            <w:pPr>
              <w:spacing w:line="240" w:lineRule="atLeast"/>
              <w:jc w:val="center"/>
              <w:rPr>
                <w:color w:val="000000"/>
                <w:kern w:val="0"/>
                <w:sz w:val="22"/>
              </w:rPr>
            </w:pP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027F389">
            <w:pPr>
              <w:spacing w:line="240" w:lineRule="atLeast"/>
              <w:jc w:val="center"/>
              <w:rPr>
                <w:color w:val="000000"/>
                <w:kern w:val="0"/>
                <w:sz w:val="22"/>
              </w:rPr>
            </w:pPr>
            <w:r>
              <w:rPr>
                <w:rFonts w:hint="eastAsia"/>
                <w:color w:val="000000"/>
                <w:kern w:val="0"/>
                <w:sz w:val="22"/>
              </w:rPr>
              <w:t>立项程序</w:t>
            </w:r>
          </w:p>
          <w:p w14:paraId="471728CA">
            <w:pPr>
              <w:spacing w:line="240" w:lineRule="atLeast"/>
              <w:jc w:val="center"/>
              <w:rPr>
                <w:color w:val="000000"/>
                <w:kern w:val="0"/>
                <w:sz w:val="22"/>
              </w:rPr>
            </w:pPr>
            <w:r>
              <w:rPr>
                <w:rFonts w:hint="eastAsia"/>
                <w:color w:val="000000"/>
                <w:kern w:val="0"/>
                <w:sz w:val="22"/>
              </w:rPr>
              <w:t>规范性</w:t>
            </w:r>
          </w:p>
        </w:tc>
        <w:tc>
          <w:tcPr>
            <w:tcW w:w="235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8416F4A">
            <w:pPr>
              <w:spacing w:line="240" w:lineRule="atLeast"/>
              <w:rPr>
                <w:color w:val="000000"/>
                <w:kern w:val="0"/>
                <w:sz w:val="22"/>
              </w:rPr>
            </w:pPr>
            <w:r>
              <w:rPr>
                <w:rFonts w:hint="eastAsia"/>
                <w:color w:val="000000"/>
                <w:kern w:val="0"/>
                <w:sz w:val="22"/>
              </w:rPr>
              <w:t>项目申请、设立过程是否符合相关要求，用以反映和考核项目立项的规范情况。</w:t>
            </w:r>
          </w:p>
        </w:tc>
        <w:tc>
          <w:tcPr>
            <w:tcW w:w="519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E044CD4">
            <w:pPr>
              <w:spacing w:line="240" w:lineRule="atLeast"/>
              <w:jc w:val="left"/>
              <w:rPr>
                <w:color w:val="000000"/>
                <w:kern w:val="0"/>
                <w:sz w:val="22"/>
              </w:rPr>
            </w:pPr>
            <w:r>
              <w:rPr>
                <w:rFonts w:hint="eastAsia"/>
                <w:color w:val="000000"/>
                <w:kern w:val="0"/>
                <w:sz w:val="22"/>
              </w:rPr>
              <w:t>评价要点：</w:t>
            </w:r>
            <w:r>
              <w:rPr>
                <w:color w:val="000000"/>
                <w:kern w:val="0"/>
                <w:sz w:val="22"/>
              </w:rPr>
              <w:br w:type="textWrapping"/>
            </w:r>
            <w:r>
              <w:rPr>
                <w:color w:val="000000"/>
                <w:kern w:val="0"/>
                <w:sz w:val="22"/>
              </w:rPr>
              <w:t>①</w:t>
            </w:r>
            <w:r>
              <w:rPr>
                <w:rFonts w:hint="eastAsia"/>
                <w:color w:val="000000"/>
                <w:kern w:val="0"/>
                <w:sz w:val="22"/>
              </w:rPr>
              <w:t>项目是否按照规定的程序申请设立；</w:t>
            </w:r>
            <w:r>
              <w:rPr>
                <w:color w:val="000000"/>
                <w:kern w:val="0"/>
                <w:sz w:val="22"/>
              </w:rPr>
              <w:br w:type="textWrapping"/>
            </w:r>
            <w:r>
              <w:rPr>
                <w:color w:val="000000"/>
                <w:kern w:val="0"/>
                <w:sz w:val="22"/>
              </w:rPr>
              <w:t>②</w:t>
            </w:r>
            <w:r>
              <w:rPr>
                <w:rFonts w:hint="eastAsia"/>
                <w:color w:val="000000"/>
                <w:kern w:val="0"/>
                <w:sz w:val="22"/>
              </w:rPr>
              <w:t>审批文件、材料是否符合相关要求；</w:t>
            </w:r>
            <w:r>
              <w:rPr>
                <w:color w:val="000000"/>
                <w:kern w:val="0"/>
                <w:sz w:val="22"/>
              </w:rPr>
              <w:br w:type="textWrapping"/>
            </w:r>
            <w:r>
              <w:rPr>
                <w:color w:val="000000"/>
                <w:kern w:val="0"/>
                <w:sz w:val="22"/>
              </w:rPr>
              <w:t>③</w:t>
            </w:r>
            <w:r>
              <w:rPr>
                <w:rFonts w:hint="eastAsia"/>
                <w:color w:val="000000"/>
                <w:kern w:val="0"/>
                <w:sz w:val="22"/>
              </w:rPr>
              <w:t>事前是否已经过必要的可行性研究、专家论证、风险评估、绩效评估、集体决策。</w:t>
            </w:r>
          </w:p>
        </w:tc>
        <w:tc>
          <w:tcPr>
            <w:tcW w:w="130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CFFF711">
            <w:pPr>
              <w:spacing w:line="240" w:lineRule="atLeast"/>
              <w:jc w:val="center"/>
              <w:rPr>
                <w:rFonts w:ascii="Times New Roman" w:hAnsi="Times New Roman"/>
                <w:b/>
                <w:color w:val="000000"/>
                <w:kern w:val="0"/>
                <w:sz w:val="22"/>
              </w:rPr>
            </w:pPr>
            <w:r>
              <w:rPr>
                <w:rFonts w:ascii="Times New Roman" w:hAnsi="Times New Roman"/>
                <w:b/>
                <w:color w:val="000000"/>
                <w:kern w:val="0"/>
                <w:sz w:val="22"/>
              </w:rPr>
              <w:t>3</w:t>
            </w:r>
          </w:p>
        </w:tc>
        <w:tc>
          <w:tcPr>
            <w:tcW w:w="136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8F7675A">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3</w:t>
            </w:r>
          </w:p>
        </w:tc>
      </w:tr>
      <w:tr w14:paraId="7F210C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8BCFC37">
            <w:pPr>
              <w:spacing w:line="240" w:lineRule="atLeast"/>
              <w:jc w:val="center"/>
              <w:rPr>
                <w:color w:val="000000"/>
                <w:kern w:val="0"/>
                <w:sz w:val="22"/>
              </w:rPr>
            </w:pPr>
          </w:p>
        </w:tc>
        <w:tc>
          <w:tcPr>
            <w:tcW w:w="764"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A9EC1CD">
            <w:pPr>
              <w:spacing w:line="240" w:lineRule="atLeast"/>
              <w:jc w:val="center"/>
              <w:rPr>
                <w:color w:val="000000"/>
                <w:kern w:val="0"/>
                <w:sz w:val="22"/>
              </w:rPr>
            </w:pPr>
            <w:r>
              <w:rPr>
                <w:rFonts w:hint="eastAsia"/>
                <w:color w:val="000000"/>
                <w:kern w:val="0"/>
                <w:sz w:val="22"/>
              </w:rPr>
              <w:t>绩效目标　</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D5F0A8C">
            <w:pPr>
              <w:spacing w:line="240" w:lineRule="atLeast"/>
              <w:jc w:val="center"/>
              <w:rPr>
                <w:color w:val="000000"/>
                <w:kern w:val="0"/>
                <w:sz w:val="22"/>
              </w:rPr>
            </w:pPr>
            <w:r>
              <w:rPr>
                <w:rFonts w:hint="eastAsia"/>
                <w:color w:val="000000"/>
                <w:kern w:val="0"/>
                <w:sz w:val="22"/>
              </w:rPr>
              <w:t>绩效目标</w:t>
            </w:r>
          </w:p>
          <w:p w14:paraId="4C74AE26">
            <w:pPr>
              <w:spacing w:line="240" w:lineRule="atLeast"/>
              <w:jc w:val="center"/>
              <w:rPr>
                <w:color w:val="000000"/>
                <w:kern w:val="0"/>
                <w:sz w:val="22"/>
              </w:rPr>
            </w:pPr>
            <w:r>
              <w:rPr>
                <w:rFonts w:hint="eastAsia"/>
                <w:color w:val="000000"/>
                <w:kern w:val="0"/>
                <w:sz w:val="22"/>
              </w:rPr>
              <w:t>合理性</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486E108C">
            <w:pPr>
              <w:spacing w:line="240" w:lineRule="atLeast"/>
              <w:rPr>
                <w:color w:val="000000"/>
                <w:kern w:val="0"/>
                <w:sz w:val="22"/>
              </w:rPr>
            </w:pPr>
            <w:r>
              <w:rPr>
                <w:rFonts w:hint="eastAsia"/>
                <w:color w:val="000000"/>
                <w:kern w:val="0"/>
                <w:sz w:val="22"/>
              </w:rPr>
              <w:t>项目所设定的绩效目标是否依据充分，是否符合客观实际，用以反映和考核项目绩效目标与项目实施的相符情况。</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113D93DE">
            <w:pPr>
              <w:spacing w:line="240" w:lineRule="atLeast"/>
              <w:jc w:val="left"/>
              <w:rPr>
                <w:color w:val="000000"/>
                <w:kern w:val="0"/>
                <w:sz w:val="22"/>
              </w:rPr>
            </w:pPr>
            <w:r>
              <w:rPr>
                <w:rFonts w:hint="eastAsia"/>
                <w:color w:val="000000"/>
                <w:kern w:val="0"/>
                <w:sz w:val="22"/>
              </w:rPr>
              <w:t>评价要点：</w:t>
            </w:r>
            <w:r>
              <w:rPr>
                <w:color w:val="000000"/>
                <w:kern w:val="0"/>
                <w:sz w:val="22"/>
              </w:rPr>
              <w:br w:type="textWrapping"/>
            </w:r>
            <w:r>
              <w:rPr>
                <w:rFonts w:hint="eastAsia"/>
                <w:color w:val="000000"/>
                <w:kern w:val="0"/>
                <w:sz w:val="22"/>
              </w:rPr>
              <w:t>（如未设定预算绩效目标，也可考核其他工作任务目标）</w:t>
            </w:r>
            <w:r>
              <w:rPr>
                <w:color w:val="000000"/>
                <w:kern w:val="0"/>
                <w:sz w:val="22"/>
              </w:rPr>
              <w:br w:type="textWrapping"/>
            </w:r>
            <w:r>
              <w:rPr>
                <w:color w:val="000000"/>
                <w:kern w:val="0"/>
                <w:sz w:val="22"/>
              </w:rPr>
              <w:t>①</w:t>
            </w:r>
            <w:r>
              <w:rPr>
                <w:rFonts w:hint="eastAsia"/>
                <w:color w:val="000000"/>
                <w:kern w:val="0"/>
                <w:sz w:val="22"/>
              </w:rPr>
              <w:t>项目是否有绩效目标；</w:t>
            </w:r>
            <w:r>
              <w:rPr>
                <w:color w:val="000000"/>
                <w:kern w:val="0"/>
                <w:sz w:val="22"/>
              </w:rPr>
              <w:br w:type="textWrapping"/>
            </w:r>
            <w:r>
              <w:rPr>
                <w:color w:val="000000"/>
                <w:kern w:val="0"/>
                <w:sz w:val="22"/>
              </w:rPr>
              <w:t>②</w:t>
            </w:r>
            <w:r>
              <w:rPr>
                <w:rFonts w:hint="eastAsia"/>
                <w:color w:val="000000"/>
                <w:kern w:val="0"/>
                <w:sz w:val="22"/>
              </w:rPr>
              <w:t>项目绩效目标与实际工作内容是否具有相关性；</w:t>
            </w:r>
            <w:r>
              <w:rPr>
                <w:color w:val="000000"/>
                <w:kern w:val="0"/>
                <w:sz w:val="22"/>
              </w:rPr>
              <w:br w:type="textWrapping"/>
            </w:r>
            <w:r>
              <w:rPr>
                <w:color w:val="000000"/>
                <w:kern w:val="0"/>
                <w:sz w:val="22"/>
              </w:rPr>
              <w:t>③</w:t>
            </w:r>
            <w:r>
              <w:rPr>
                <w:rFonts w:hint="eastAsia"/>
                <w:color w:val="000000"/>
                <w:kern w:val="0"/>
                <w:sz w:val="22"/>
              </w:rPr>
              <w:t>项目预期产出效益和效果是否符合正常的业绩水平；</w:t>
            </w:r>
          </w:p>
          <w:p w14:paraId="094DEA15">
            <w:pPr>
              <w:spacing w:line="240" w:lineRule="atLeast"/>
              <w:jc w:val="left"/>
              <w:rPr>
                <w:color w:val="000000"/>
                <w:kern w:val="0"/>
                <w:sz w:val="22"/>
              </w:rPr>
            </w:pPr>
            <w:r>
              <w:rPr>
                <w:color w:val="000000"/>
                <w:kern w:val="0"/>
                <w:sz w:val="22"/>
              </w:rPr>
              <w:t>④</w:t>
            </w:r>
            <w:r>
              <w:rPr>
                <w:rFonts w:hint="eastAsia"/>
                <w:color w:val="000000"/>
                <w:kern w:val="0"/>
                <w:sz w:val="22"/>
              </w:rPr>
              <w:t>是否与预算确定的项目投资额或资金量相匹配。</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1011268F">
            <w:pPr>
              <w:spacing w:line="240" w:lineRule="atLeast"/>
              <w:jc w:val="center"/>
              <w:rPr>
                <w:rFonts w:ascii="Times New Roman" w:hAnsi="Times New Roman"/>
                <w:b/>
                <w:color w:val="000000"/>
                <w:kern w:val="0"/>
                <w:sz w:val="22"/>
              </w:rPr>
            </w:pPr>
            <w:r>
              <w:rPr>
                <w:rFonts w:ascii="Times New Roman" w:hAnsi="Times New Roman"/>
                <w:b/>
                <w:color w:val="000000"/>
                <w:kern w:val="0"/>
                <w:sz w:val="22"/>
              </w:rPr>
              <w:t>3</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216D4591">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3</w:t>
            </w:r>
          </w:p>
        </w:tc>
      </w:tr>
      <w:tr w14:paraId="367326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E925122">
            <w:pPr>
              <w:spacing w:line="240" w:lineRule="atLeast"/>
              <w:jc w:val="center"/>
              <w:rPr>
                <w:color w:val="000000"/>
                <w:kern w:val="0"/>
                <w:sz w:val="22"/>
              </w:rPr>
            </w:pPr>
          </w:p>
        </w:tc>
        <w:tc>
          <w:tcPr>
            <w:tcW w:w="764"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E3EBACD">
            <w:pPr>
              <w:spacing w:line="240" w:lineRule="atLeast"/>
              <w:jc w:val="center"/>
              <w:rPr>
                <w:color w:val="000000"/>
                <w:kern w:val="0"/>
                <w:sz w:val="22"/>
              </w:rPr>
            </w:pP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4C1057E">
            <w:pPr>
              <w:spacing w:line="240" w:lineRule="atLeast"/>
              <w:jc w:val="center"/>
              <w:rPr>
                <w:color w:val="000000"/>
                <w:kern w:val="0"/>
                <w:sz w:val="22"/>
              </w:rPr>
            </w:pPr>
            <w:r>
              <w:rPr>
                <w:rFonts w:hint="eastAsia"/>
                <w:color w:val="000000"/>
                <w:kern w:val="0"/>
                <w:sz w:val="22"/>
              </w:rPr>
              <w:t>绩效指标</w:t>
            </w:r>
          </w:p>
          <w:p w14:paraId="52EF07A5">
            <w:pPr>
              <w:spacing w:line="240" w:lineRule="atLeast"/>
              <w:jc w:val="center"/>
              <w:rPr>
                <w:color w:val="000000"/>
                <w:kern w:val="0"/>
                <w:sz w:val="22"/>
              </w:rPr>
            </w:pPr>
            <w:r>
              <w:rPr>
                <w:rFonts w:hint="eastAsia"/>
                <w:color w:val="000000"/>
                <w:kern w:val="0"/>
                <w:sz w:val="22"/>
              </w:rPr>
              <w:t>明确性</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6851C250">
            <w:pPr>
              <w:spacing w:line="240" w:lineRule="atLeast"/>
              <w:rPr>
                <w:color w:val="000000"/>
                <w:kern w:val="0"/>
                <w:sz w:val="22"/>
              </w:rPr>
            </w:pPr>
            <w:r>
              <w:rPr>
                <w:rFonts w:hint="eastAsia"/>
                <w:color w:val="000000"/>
                <w:kern w:val="0"/>
                <w:sz w:val="22"/>
              </w:rPr>
              <w:t>依据绩效目标设定的绩效指标是否清晰、细化、可衡量等，用以反映和考核项目绩效目标的明细化情况。</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11CC6EBA">
            <w:pPr>
              <w:spacing w:line="240" w:lineRule="atLeast"/>
              <w:rPr>
                <w:color w:val="000000"/>
                <w:kern w:val="0"/>
                <w:sz w:val="22"/>
              </w:rPr>
            </w:pPr>
            <w:r>
              <w:rPr>
                <w:rFonts w:hint="eastAsia"/>
                <w:color w:val="000000"/>
                <w:kern w:val="0"/>
                <w:sz w:val="22"/>
              </w:rPr>
              <w:t>评价要点：</w:t>
            </w:r>
            <w:r>
              <w:rPr>
                <w:color w:val="000000"/>
                <w:kern w:val="0"/>
                <w:sz w:val="22"/>
              </w:rPr>
              <w:br w:type="textWrapping"/>
            </w:r>
            <w:r>
              <w:rPr>
                <w:color w:val="000000"/>
                <w:kern w:val="0"/>
                <w:sz w:val="22"/>
              </w:rPr>
              <w:t>①</w:t>
            </w:r>
            <w:r>
              <w:rPr>
                <w:rFonts w:hint="eastAsia"/>
                <w:color w:val="000000"/>
                <w:kern w:val="0"/>
                <w:sz w:val="22"/>
              </w:rPr>
              <w:t>是否将项目绩效目标细化分解为具体的绩效指标；</w:t>
            </w:r>
            <w:r>
              <w:rPr>
                <w:color w:val="000000"/>
                <w:kern w:val="0"/>
                <w:sz w:val="22"/>
              </w:rPr>
              <w:br w:type="textWrapping"/>
            </w:r>
            <w:r>
              <w:rPr>
                <w:color w:val="000000"/>
                <w:kern w:val="0"/>
                <w:sz w:val="22"/>
              </w:rPr>
              <w:t>②</w:t>
            </w:r>
            <w:r>
              <w:rPr>
                <w:rFonts w:hint="eastAsia"/>
                <w:color w:val="000000"/>
                <w:kern w:val="0"/>
                <w:sz w:val="22"/>
              </w:rPr>
              <w:t>是否通过清晰、可衡量的指标值予以体现；</w:t>
            </w:r>
            <w:r>
              <w:rPr>
                <w:color w:val="000000"/>
                <w:kern w:val="0"/>
                <w:sz w:val="22"/>
              </w:rPr>
              <w:br w:type="textWrapping"/>
            </w:r>
            <w:r>
              <w:rPr>
                <w:color w:val="000000"/>
                <w:kern w:val="0"/>
                <w:sz w:val="22"/>
              </w:rPr>
              <w:t>③</w:t>
            </w:r>
            <w:r>
              <w:rPr>
                <w:rFonts w:hint="eastAsia"/>
                <w:color w:val="000000"/>
                <w:kern w:val="0"/>
                <w:sz w:val="22"/>
              </w:rPr>
              <w:t>是否与项目目标任务数或计划数相对应。</w:t>
            </w:r>
            <w:r>
              <w:rPr>
                <w:color w:val="000000"/>
                <w:kern w:val="0"/>
                <w:sz w:val="22"/>
              </w:rPr>
              <w:br w:type="textWrapping"/>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5F1BEB4E">
            <w:pPr>
              <w:spacing w:line="240" w:lineRule="atLeast"/>
              <w:jc w:val="center"/>
              <w:rPr>
                <w:rFonts w:ascii="Times New Roman" w:hAnsi="Times New Roman"/>
                <w:b/>
                <w:color w:val="000000"/>
                <w:kern w:val="0"/>
                <w:sz w:val="22"/>
              </w:rPr>
            </w:pPr>
            <w:r>
              <w:rPr>
                <w:rFonts w:ascii="Times New Roman" w:hAnsi="Times New Roman"/>
                <w:b/>
                <w:color w:val="000000"/>
                <w:kern w:val="0"/>
                <w:sz w:val="22"/>
              </w:rPr>
              <w:t>3</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0D834D9A">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3</w:t>
            </w:r>
          </w:p>
        </w:tc>
      </w:tr>
      <w:tr w14:paraId="40DB6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D75711A">
            <w:pPr>
              <w:spacing w:line="240" w:lineRule="atLeast"/>
              <w:jc w:val="center"/>
              <w:rPr>
                <w:color w:val="000000"/>
                <w:kern w:val="0"/>
                <w:sz w:val="22"/>
              </w:rPr>
            </w:pPr>
          </w:p>
        </w:tc>
        <w:tc>
          <w:tcPr>
            <w:tcW w:w="764"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216A136">
            <w:pPr>
              <w:spacing w:line="240" w:lineRule="atLeast"/>
              <w:jc w:val="center"/>
              <w:rPr>
                <w:color w:val="000000"/>
                <w:kern w:val="0"/>
                <w:sz w:val="22"/>
              </w:rPr>
            </w:pPr>
            <w:r>
              <w:rPr>
                <w:rFonts w:hint="eastAsia"/>
                <w:color w:val="000000"/>
                <w:kern w:val="0"/>
                <w:sz w:val="22"/>
              </w:rPr>
              <w:t>资金投入</w:t>
            </w:r>
          </w:p>
          <w:p w14:paraId="7584E221">
            <w:pPr>
              <w:spacing w:line="240" w:lineRule="atLeast"/>
              <w:jc w:val="center"/>
              <w:rPr>
                <w:color w:val="000000"/>
                <w:kern w:val="0"/>
                <w:sz w:val="22"/>
              </w:rPr>
            </w:pPr>
            <w:r>
              <w:rPr>
                <w:rFonts w:hint="eastAsia"/>
                <w:color w:val="000000"/>
                <w:kern w:val="0"/>
                <w:sz w:val="22"/>
              </w:rPr>
              <w:t>　</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B2F73CA">
            <w:pPr>
              <w:spacing w:line="240" w:lineRule="atLeast"/>
              <w:jc w:val="center"/>
              <w:rPr>
                <w:color w:val="000000"/>
                <w:kern w:val="0"/>
                <w:sz w:val="22"/>
              </w:rPr>
            </w:pPr>
            <w:r>
              <w:rPr>
                <w:rFonts w:hint="eastAsia"/>
                <w:color w:val="000000"/>
                <w:kern w:val="0"/>
                <w:sz w:val="22"/>
              </w:rPr>
              <w:t>预算编制</w:t>
            </w:r>
          </w:p>
          <w:p w14:paraId="1FA085B6">
            <w:pPr>
              <w:spacing w:line="240" w:lineRule="atLeast"/>
              <w:jc w:val="center"/>
              <w:rPr>
                <w:color w:val="000000"/>
                <w:kern w:val="0"/>
                <w:sz w:val="22"/>
              </w:rPr>
            </w:pPr>
            <w:r>
              <w:rPr>
                <w:rFonts w:hint="eastAsia"/>
                <w:color w:val="000000"/>
                <w:kern w:val="0"/>
                <w:sz w:val="22"/>
              </w:rPr>
              <w:t>科学性</w:t>
            </w:r>
          </w:p>
        </w:tc>
        <w:tc>
          <w:tcPr>
            <w:tcW w:w="235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1208108">
            <w:pPr>
              <w:spacing w:line="240" w:lineRule="atLeast"/>
              <w:rPr>
                <w:color w:val="000000"/>
                <w:kern w:val="0"/>
                <w:sz w:val="22"/>
              </w:rPr>
            </w:pPr>
            <w:r>
              <w:rPr>
                <w:rFonts w:hint="eastAsia"/>
                <w:color w:val="000000"/>
                <w:kern w:val="0"/>
                <w:sz w:val="22"/>
              </w:rPr>
              <w:t>项目预算编制是否经过科学论证、有明确标准，资金额度与年度目标是否相适应，用以反映和考核项目预算编制的科学性、合理性情况。</w:t>
            </w:r>
          </w:p>
        </w:tc>
        <w:tc>
          <w:tcPr>
            <w:tcW w:w="519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367E4B2">
            <w:pPr>
              <w:spacing w:line="240" w:lineRule="atLeast"/>
              <w:rPr>
                <w:color w:val="000000"/>
                <w:kern w:val="0"/>
                <w:sz w:val="22"/>
              </w:rPr>
            </w:pPr>
            <w:r>
              <w:rPr>
                <w:rFonts w:hint="eastAsia"/>
                <w:color w:val="000000"/>
                <w:kern w:val="0"/>
                <w:sz w:val="22"/>
              </w:rPr>
              <w:t>评价要点：</w:t>
            </w:r>
            <w:r>
              <w:rPr>
                <w:color w:val="000000"/>
                <w:kern w:val="0"/>
                <w:sz w:val="22"/>
              </w:rPr>
              <w:br w:type="textWrapping"/>
            </w:r>
            <w:r>
              <w:rPr>
                <w:color w:val="000000"/>
                <w:kern w:val="0"/>
                <w:sz w:val="22"/>
              </w:rPr>
              <w:t>①</w:t>
            </w:r>
            <w:r>
              <w:rPr>
                <w:rFonts w:hint="eastAsia"/>
                <w:color w:val="000000"/>
                <w:kern w:val="0"/>
                <w:sz w:val="22"/>
              </w:rPr>
              <w:t>预算编制是否经过科学论证；</w:t>
            </w:r>
            <w:r>
              <w:rPr>
                <w:color w:val="000000"/>
                <w:kern w:val="0"/>
                <w:sz w:val="22"/>
              </w:rPr>
              <w:br w:type="textWrapping"/>
            </w:r>
            <w:r>
              <w:rPr>
                <w:color w:val="000000"/>
                <w:kern w:val="0"/>
                <w:sz w:val="22"/>
              </w:rPr>
              <w:t>②</w:t>
            </w:r>
            <w:r>
              <w:rPr>
                <w:rFonts w:hint="eastAsia"/>
                <w:color w:val="000000"/>
                <w:kern w:val="0"/>
                <w:sz w:val="22"/>
              </w:rPr>
              <w:t>预算内容与项目内容是否匹配；</w:t>
            </w:r>
            <w:r>
              <w:rPr>
                <w:color w:val="000000"/>
                <w:kern w:val="0"/>
                <w:sz w:val="22"/>
              </w:rPr>
              <w:br w:type="textWrapping"/>
            </w:r>
            <w:r>
              <w:rPr>
                <w:color w:val="000000"/>
                <w:kern w:val="0"/>
                <w:sz w:val="22"/>
              </w:rPr>
              <w:t>③</w:t>
            </w:r>
            <w:r>
              <w:rPr>
                <w:rFonts w:hint="eastAsia"/>
                <w:color w:val="000000"/>
                <w:kern w:val="0"/>
                <w:sz w:val="22"/>
              </w:rPr>
              <w:t>预算额度测算依据是否充分，是否按照标准编制；</w:t>
            </w:r>
            <w:r>
              <w:rPr>
                <w:color w:val="000000"/>
                <w:kern w:val="0"/>
                <w:sz w:val="22"/>
              </w:rPr>
              <w:br w:type="textWrapping"/>
            </w:r>
            <w:r>
              <w:rPr>
                <w:color w:val="000000"/>
                <w:kern w:val="0"/>
                <w:sz w:val="22"/>
              </w:rPr>
              <w:t>④</w:t>
            </w:r>
            <w:r>
              <w:rPr>
                <w:rFonts w:hint="eastAsia"/>
                <w:color w:val="000000"/>
                <w:kern w:val="0"/>
                <w:sz w:val="22"/>
              </w:rPr>
              <w:t>预算确定的项目投资额或资金量是否与工作任务相匹配。</w:t>
            </w:r>
          </w:p>
        </w:tc>
        <w:tc>
          <w:tcPr>
            <w:tcW w:w="130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5DA2E11">
            <w:pPr>
              <w:spacing w:line="240" w:lineRule="atLeast"/>
              <w:jc w:val="center"/>
              <w:rPr>
                <w:rFonts w:ascii="Times New Roman" w:hAnsi="Times New Roman"/>
                <w:b/>
                <w:color w:val="000000"/>
                <w:kern w:val="0"/>
                <w:sz w:val="22"/>
              </w:rPr>
            </w:pPr>
            <w:r>
              <w:rPr>
                <w:rFonts w:ascii="Times New Roman" w:hAnsi="Times New Roman"/>
                <w:b/>
                <w:color w:val="000000"/>
                <w:kern w:val="0"/>
                <w:sz w:val="22"/>
              </w:rPr>
              <w:t>4</w:t>
            </w:r>
          </w:p>
        </w:tc>
        <w:tc>
          <w:tcPr>
            <w:tcW w:w="136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4CF4BDA">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4</w:t>
            </w:r>
          </w:p>
        </w:tc>
      </w:tr>
      <w:tr w14:paraId="51751C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C700F4F">
            <w:pPr>
              <w:spacing w:line="240" w:lineRule="atLeast"/>
              <w:jc w:val="center"/>
              <w:rPr>
                <w:color w:val="000000"/>
                <w:kern w:val="0"/>
                <w:sz w:val="22"/>
              </w:rPr>
            </w:pPr>
          </w:p>
        </w:tc>
        <w:tc>
          <w:tcPr>
            <w:tcW w:w="764"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2A9ABE">
            <w:pPr>
              <w:spacing w:line="240" w:lineRule="atLeast"/>
              <w:jc w:val="center"/>
              <w:rPr>
                <w:color w:val="000000"/>
                <w:kern w:val="0"/>
                <w:sz w:val="22"/>
              </w:rPr>
            </w:pP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4279D5C">
            <w:pPr>
              <w:spacing w:line="240" w:lineRule="atLeast"/>
              <w:jc w:val="center"/>
              <w:rPr>
                <w:color w:val="000000"/>
                <w:kern w:val="0"/>
                <w:sz w:val="22"/>
              </w:rPr>
            </w:pPr>
            <w:r>
              <w:rPr>
                <w:rFonts w:hint="eastAsia"/>
                <w:color w:val="000000"/>
                <w:kern w:val="0"/>
                <w:sz w:val="22"/>
              </w:rPr>
              <w:t>资金分配</w:t>
            </w:r>
          </w:p>
          <w:p w14:paraId="328F48D8">
            <w:pPr>
              <w:spacing w:line="240" w:lineRule="atLeast"/>
              <w:jc w:val="center"/>
              <w:rPr>
                <w:color w:val="000000"/>
                <w:kern w:val="0"/>
                <w:sz w:val="22"/>
              </w:rPr>
            </w:pPr>
            <w:r>
              <w:rPr>
                <w:rFonts w:hint="eastAsia"/>
                <w:color w:val="000000"/>
                <w:kern w:val="0"/>
                <w:sz w:val="22"/>
              </w:rPr>
              <w:t>合理性</w:t>
            </w:r>
          </w:p>
        </w:tc>
        <w:tc>
          <w:tcPr>
            <w:tcW w:w="235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CA06BEB">
            <w:pPr>
              <w:spacing w:line="240" w:lineRule="atLeast"/>
              <w:rPr>
                <w:color w:val="000000"/>
                <w:kern w:val="0"/>
                <w:sz w:val="22"/>
              </w:rPr>
            </w:pPr>
            <w:r>
              <w:rPr>
                <w:rFonts w:hint="eastAsia"/>
                <w:color w:val="000000"/>
                <w:kern w:val="0"/>
                <w:sz w:val="22"/>
              </w:rPr>
              <w:t>项目预算资金分配是否有测算依据，与补助单位或地方实际是否相适应，用以反映和考核项目预算资金分配的科学性、合理性情况。</w:t>
            </w:r>
          </w:p>
        </w:tc>
        <w:tc>
          <w:tcPr>
            <w:tcW w:w="519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18EC77E">
            <w:pPr>
              <w:spacing w:line="240" w:lineRule="atLeast"/>
              <w:rPr>
                <w:color w:val="000000"/>
                <w:kern w:val="0"/>
                <w:sz w:val="22"/>
              </w:rPr>
            </w:pPr>
            <w:r>
              <w:rPr>
                <w:rFonts w:hint="eastAsia"/>
                <w:color w:val="000000"/>
                <w:kern w:val="0"/>
                <w:sz w:val="22"/>
              </w:rPr>
              <w:t>评价要点：</w:t>
            </w:r>
            <w:r>
              <w:rPr>
                <w:color w:val="000000"/>
                <w:kern w:val="0"/>
                <w:sz w:val="22"/>
              </w:rPr>
              <w:br w:type="textWrapping"/>
            </w:r>
            <w:r>
              <w:rPr>
                <w:color w:val="000000"/>
                <w:kern w:val="0"/>
                <w:sz w:val="22"/>
              </w:rPr>
              <w:t>①</w:t>
            </w:r>
            <w:r>
              <w:rPr>
                <w:rFonts w:hint="eastAsia"/>
                <w:color w:val="000000"/>
                <w:kern w:val="0"/>
                <w:sz w:val="22"/>
              </w:rPr>
              <w:t>预算资金分配依据是否充分；</w:t>
            </w:r>
            <w:r>
              <w:rPr>
                <w:color w:val="000000"/>
                <w:kern w:val="0"/>
                <w:sz w:val="22"/>
              </w:rPr>
              <w:br w:type="textWrapping"/>
            </w:r>
            <w:r>
              <w:rPr>
                <w:color w:val="000000"/>
                <w:kern w:val="0"/>
                <w:sz w:val="22"/>
              </w:rPr>
              <w:t>②</w:t>
            </w:r>
            <w:r>
              <w:rPr>
                <w:rFonts w:hint="eastAsia"/>
                <w:color w:val="000000"/>
                <w:kern w:val="0"/>
                <w:sz w:val="22"/>
              </w:rPr>
              <w:t>资金分配额度是否合理，与项目单位或地方实际是否相适应。</w:t>
            </w:r>
          </w:p>
        </w:tc>
        <w:tc>
          <w:tcPr>
            <w:tcW w:w="130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AF76315">
            <w:pPr>
              <w:spacing w:line="240" w:lineRule="atLeast"/>
              <w:jc w:val="center"/>
              <w:rPr>
                <w:rFonts w:ascii="Times New Roman" w:hAnsi="Times New Roman"/>
                <w:b/>
                <w:color w:val="000000"/>
                <w:kern w:val="0"/>
                <w:sz w:val="22"/>
              </w:rPr>
            </w:pPr>
            <w:r>
              <w:rPr>
                <w:rFonts w:ascii="Times New Roman" w:hAnsi="Times New Roman"/>
                <w:b/>
                <w:color w:val="000000"/>
                <w:kern w:val="0"/>
                <w:sz w:val="22"/>
              </w:rPr>
              <w:t>4</w:t>
            </w:r>
          </w:p>
        </w:tc>
        <w:tc>
          <w:tcPr>
            <w:tcW w:w="136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462AC7C">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4</w:t>
            </w:r>
          </w:p>
        </w:tc>
      </w:tr>
      <w:tr w14:paraId="785D9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04FE8E2">
            <w:pPr>
              <w:spacing w:line="240" w:lineRule="atLeast"/>
              <w:jc w:val="center"/>
              <w:rPr>
                <w:color w:val="000000"/>
                <w:kern w:val="0"/>
                <w:sz w:val="22"/>
              </w:rPr>
            </w:pPr>
          </w:p>
          <w:p w14:paraId="0B73F33F">
            <w:pPr>
              <w:spacing w:line="240" w:lineRule="atLeast"/>
              <w:jc w:val="center"/>
              <w:rPr>
                <w:color w:val="000000"/>
                <w:kern w:val="0"/>
                <w:sz w:val="22"/>
              </w:rPr>
            </w:pPr>
          </w:p>
          <w:p w14:paraId="3AE79F19">
            <w:pPr>
              <w:spacing w:line="240" w:lineRule="atLeast"/>
              <w:jc w:val="center"/>
              <w:rPr>
                <w:color w:val="000000"/>
                <w:kern w:val="0"/>
                <w:sz w:val="22"/>
              </w:rPr>
            </w:pPr>
          </w:p>
          <w:p w14:paraId="394F5E90">
            <w:pPr>
              <w:spacing w:line="240" w:lineRule="atLeast"/>
              <w:jc w:val="center"/>
              <w:rPr>
                <w:color w:val="000000"/>
                <w:kern w:val="0"/>
                <w:sz w:val="22"/>
              </w:rPr>
            </w:pPr>
          </w:p>
          <w:p w14:paraId="231090BE">
            <w:pPr>
              <w:spacing w:line="240" w:lineRule="atLeast"/>
              <w:jc w:val="center"/>
              <w:rPr>
                <w:color w:val="000000"/>
                <w:kern w:val="0"/>
                <w:sz w:val="22"/>
              </w:rPr>
            </w:pPr>
          </w:p>
          <w:p w14:paraId="5B366F4B">
            <w:pPr>
              <w:spacing w:line="240" w:lineRule="atLeast"/>
              <w:jc w:val="center"/>
              <w:rPr>
                <w:color w:val="000000"/>
                <w:kern w:val="0"/>
                <w:sz w:val="22"/>
              </w:rPr>
            </w:pPr>
          </w:p>
          <w:p w14:paraId="1507773E">
            <w:pPr>
              <w:spacing w:line="240" w:lineRule="atLeast"/>
              <w:jc w:val="center"/>
              <w:rPr>
                <w:color w:val="000000"/>
                <w:kern w:val="0"/>
                <w:sz w:val="22"/>
              </w:rPr>
            </w:pPr>
          </w:p>
          <w:p w14:paraId="422D4E55">
            <w:pPr>
              <w:spacing w:line="240" w:lineRule="atLeast"/>
              <w:jc w:val="center"/>
              <w:rPr>
                <w:color w:val="000000"/>
                <w:kern w:val="0"/>
                <w:sz w:val="22"/>
              </w:rPr>
            </w:pPr>
          </w:p>
          <w:p w14:paraId="0DF4C096">
            <w:pPr>
              <w:spacing w:line="240" w:lineRule="atLeast"/>
              <w:jc w:val="center"/>
              <w:rPr>
                <w:color w:val="000000"/>
                <w:kern w:val="0"/>
                <w:sz w:val="22"/>
              </w:rPr>
            </w:pPr>
          </w:p>
          <w:p w14:paraId="2AE5EEB4">
            <w:pPr>
              <w:spacing w:line="240" w:lineRule="atLeast"/>
              <w:jc w:val="center"/>
              <w:rPr>
                <w:color w:val="000000"/>
                <w:kern w:val="0"/>
                <w:sz w:val="22"/>
              </w:rPr>
            </w:pPr>
          </w:p>
          <w:p w14:paraId="21DDBCE5">
            <w:pPr>
              <w:spacing w:line="240" w:lineRule="atLeast"/>
              <w:jc w:val="center"/>
              <w:rPr>
                <w:color w:val="000000"/>
                <w:kern w:val="0"/>
                <w:sz w:val="22"/>
              </w:rPr>
            </w:pPr>
          </w:p>
          <w:p w14:paraId="34193D57">
            <w:pPr>
              <w:spacing w:line="240" w:lineRule="atLeast"/>
              <w:jc w:val="center"/>
              <w:rPr>
                <w:color w:val="000000"/>
                <w:kern w:val="0"/>
                <w:sz w:val="22"/>
              </w:rPr>
            </w:pPr>
          </w:p>
          <w:p w14:paraId="15E7F9A8">
            <w:pPr>
              <w:spacing w:line="240" w:lineRule="atLeast"/>
              <w:jc w:val="center"/>
              <w:rPr>
                <w:color w:val="000000"/>
                <w:kern w:val="0"/>
                <w:sz w:val="22"/>
              </w:rPr>
            </w:pPr>
          </w:p>
          <w:p w14:paraId="3EAADFD5">
            <w:pPr>
              <w:spacing w:line="240" w:lineRule="atLeast"/>
              <w:jc w:val="center"/>
              <w:rPr>
                <w:color w:val="000000"/>
                <w:kern w:val="0"/>
                <w:sz w:val="22"/>
              </w:rPr>
            </w:pPr>
          </w:p>
          <w:p w14:paraId="5EF263C1">
            <w:pPr>
              <w:spacing w:line="240" w:lineRule="atLeast"/>
              <w:jc w:val="center"/>
              <w:rPr>
                <w:color w:val="000000"/>
                <w:kern w:val="0"/>
                <w:sz w:val="22"/>
              </w:rPr>
            </w:pPr>
          </w:p>
          <w:p w14:paraId="114620DC">
            <w:pPr>
              <w:spacing w:line="240" w:lineRule="atLeast"/>
              <w:jc w:val="center"/>
              <w:rPr>
                <w:color w:val="000000"/>
                <w:kern w:val="0"/>
                <w:sz w:val="22"/>
              </w:rPr>
            </w:pPr>
            <w:r>
              <w:rPr>
                <w:rFonts w:hint="eastAsia"/>
                <w:color w:val="000000"/>
                <w:kern w:val="0"/>
                <w:sz w:val="22"/>
              </w:rPr>
              <w:t>过程</w:t>
            </w:r>
          </w:p>
          <w:p w14:paraId="5722CD54">
            <w:pPr>
              <w:spacing w:line="240" w:lineRule="atLeast"/>
              <w:jc w:val="center"/>
              <w:rPr>
                <w:color w:val="000000"/>
                <w:kern w:val="0"/>
                <w:sz w:val="22"/>
              </w:rPr>
            </w:pPr>
            <w:r>
              <w:rPr>
                <w:rFonts w:hint="eastAsia"/>
                <w:color w:val="000000"/>
                <w:kern w:val="0"/>
                <w:sz w:val="22"/>
              </w:rPr>
              <w:t>　　</w:t>
            </w:r>
          </w:p>
        </w:tc>
        <w:tc>
          <w:tcPr>
            <w:tcW w:w="764"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5EF8508">
            <w:pPr>
              <w:spacing w:line="240" w:lineRule="atLeast"/>
              <w:jc w:val="center"/>
              <w:rPr>
                <w:color w:val="000000"/>
                <w:kern w:val="0"/>
                <w:sz w:val="22"/>
              </w:rPr>
            </w:pPr>
            <w:r>
              <w:rPr>
                <w:rFonts w:hint="eastAsia"/>
                <w:color w:val="000000"/>
                <w:kern w:val="0"/>
                <w:sz w:val="22"/>
              </w:rPr>
              <w:t>资金管理</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A359C24">
            <w:pPr>
              <w:spacing w:line="240" w:lineRule="atLeast"/>
              <w:jc w:val="center"/>
              <w:rPr>
                <w:color w:val="000000"/>
                <w:kern w:val="0"/>
                <w:sz w:val="22"/>
              </w:rPr>
            </w:pPr>
            <w:r>
              <w:rPr>
                <w:rFonts w:hint="eastAsia"/>
                <w:color w:val="000000"/>
                <w:kern w:val="0"/>
                <w:sz w:val="22"/>
              </w:rPr>
              <w:t>资金到位率</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1092818D">
            <w:pPr>
              <w:spacing w:line="240" w:lineRule="atLeast"/>
              <w:rPr>
                <w:color w:val="000000"/>
                <w:kern w:val="0"/>
                <w:sz w:val="22"/>
              </w:rPr>
            </w:pPr>
            <w:r>
              <w:rPr>
                <w:rFonts w:hint="eastAsia"/>
                <w:color w:val="000000"/>
                <w:kern w:val="0"/>
                <w:sz w:val="22"/>
              </w:rPr>
              <w:t>实际到位资金与预算资金的比率，用以反映和考核资金落实情况对项目实施的总体保障程度。</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2528979B">
            <w:pPr>
              <w:spacing w:line="240" w:lineRule="atLeast"/>
              <w:rPr>
                <w:rFonts w:hint="eastAsia" w:ascii="宋体" w:hAnsi="宋体"/>
                <w:color w:val="000000"/>
                <w:kern w:val="0"/>
                <w:sz w:val="22"/>
              </w:rPr>
            </w:pPr>
            <w:r>
              <w:rPr>
                <w:rFonts w:hint="eastAsia" w:ascii="宋体" w:hAnsi="宋体"/>
                <w:color w:val="000000"/>
                <w:kern w:val="0"/>
                <w:sz w:val="22"/>
              </w:rPr>
              <w:t>资金到位率=（实际到位资金/预算资金）×100%。</w:t>
            </w:r>
          </w:p>
          <w:p w14:paraId="174B9A83">
            <w:pPr>
              <w:spacing w:line="240" w:lineRule="atLeast"/>
              <w:rPr>
                <w:rFonts w:hint="eastAsia" w:ascii="宋体" w:hAnsi="宋体"/>
                <w:color w:val="000000"/>
                <w:kern w:val="0"/>
                <w:sz w:val="22"/>
              </w:rPr>
            </w:pPr>
            <w:r>
              <w:rPr>
                <w:rFonts w:hint="eastAsia" w:ascii="宋体" w:hAnsi="宋体"/>
                <w:color w:val="000000"/>
                <w:kern w:val="0"/>
                <w:sz w:val="22"/>
              </w:rPr>
              <w:t>实际到位资金：一定时期（本年度或项目期）内落实到具体项目的资金。</w:t>
            </w:r>
          </w:p>
          <w:p w14:paraId="28E3E565">
            <w:pPr>
              <w:spacing w:line="240" w:lineRule="atLeast"/>
              <w:rPr>
                <w:rFonts w:hint="eastAsia" w:ascii="宋体" w:hAnsi="宋体"/>
                <w:color w:val="000000"/>
                <w:kern w:val="0"/>
                <w:sz w:val="22"/>
              </w:rPr>
            </w:pPr>
            <w:r>
              <w:rPr>
                <w:rFonts w:hint="eastAsia" w:ascii="宋体" w:hAnsi="宋体"/>
                <w:color w:val="000000"/>
                <w:kern w:val="0"/>
                <w:sz w:val="22"/>
              </w:rPr>
              <w:t>预算资金：一定时期（本年度或项目期）内预算安排到具体项目的资金。</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05DE28EF">
            <w:pPr>
              <w:spacing w:line="240" w:lineRule="atLeast"/>
              <w:jc w:val="center"/>
              <w:rPr>
                <w:rFonts w:ascii="Times New Roman" w:hAnsi="Times New Roman"/>
                <w:b/>
                <w:color w:val="000000"/>
                <w:kern w:val="0"/>
                <w:sz w:val="22"/>
              </w:rPr>
            </w:pPr>
            <w:r>
              <w:rPr>
                <w:rFonts w:ascii="Times New Roman" w:hAnsi="Times New Roman"/>
                <w:b/>
                <w:color w:val="000000"/>
                <w:kern w:val="0"/>
                <w:sz w:val="22"/>
              </w:rPr>
              <w:t>4</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472FCAA1">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4</w:t>
            </w:r>
          </w:p>
        </w:tc>
      </w:tr>
      <w:tr w14:paraId="6CB071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62B8746">
            <w:pPr>
              <w:spacing w:line="240" w:lineRule="atLeast"/>
              <w:jc w:val="center"/>
              <w:rPr>
                <w:color w:val="000000"/>
                <w:kern w:val="0"/>
                <w:sz w:val="22"/>
              </w:rPr>
            </w:pPr>
          </w:p>
        </w:tc>
        <w:tc>
          <w:tcPr>
            <w:tcW w:w="764"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FE9B037">
            <w:pPr>
              <w:spacing w:line="240" w:lineRule="atLeast"/>
              <w:jc w:val="center"/>
              <w:rPr>
                <w:color w:val="000000"/>
                <w:kern w:val="0"/>
                <w:sz w:val="22"/>
              </w:rPr>
            </w:pP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1DC7520">
            <w:pPr>
              <w:spacing w:line="240" w:lineRule="atLeast"/>
              <w:jc w:val="center"/>
              <w:rPr>
                <w:color w:val="000000"/>
                <w:kern w:val="0"/>
                <w:sz w:val="22"/>
              </w:rPr>
            </w:pPr>
            <w:r>
              <w:rPr>
                <w:rFonts w:hint="eastAsia"/>
                <w:color w:val="000000"/>
                <w:kern w:val="0"/>
                <w:sz w:val="22"/>
              </w:rPr>
              <w:t>预算执行率</w:t>
            </w:r>
          </w:p>
        </w:tc>
        <w:tc>
          <w:tcPr>
            <w:tcW w:w="235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CC7B235">
            <w:pPr>
              <w:spacing w:line="240" w:lineRule="atLeast"/>
              <w:rPr>
                <w:color w:val="000000"/>
                <w:kern w:val="0"/>
                <w:sz w:val="22"/>
              </w:rPr>
            </w:pPr>
            <w:r>
              <w:rPr>
                <w:rFonts w:hint="eastAsia"/>
                <w:color w:val="000000"/>
                <w:kern w:val="0"/>
                <w:sz w:val="22"/>
              </w:rPr>
              <w:t>项目预算资金是否按照计划执行，用以反映或考核项目预算执行情况。</w:t>
            </w:r>
          </w:p>
        </w:tc>
        <w:tc>
          <w:tcPr>
            <w:tcW w:w="519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49A1500">
            <w:pPr>
              <w:spacing w:line="240" w:lineRule="atLeast"/>
              <w:rPr>
                <w:rFonts w:hint="eastAsia" w:ascii="宋体" w:hAnsi="宋体"/>
                <w:color w:val="000000"/>
                <w:kern w:val="0"/>
                <w:sz w:val="22"/>
              </w:rPr>
            </w:pPr>
            <w:r>
              <w:rPr>
                <w:rFonts w:hint="eastAsia" w:ascii="宋体" w:hAnsi="宋体"/>
                <w:color w:val="000000"/>
                <w:kern w:val="0"/>
                <w:sz w:val="22"/>
              </w:rPr>
              <w:t>预算执行率=（实际支出资金/实际到位资金）×100%。</w:t>
            </w:r>
            <w:r>
              <w:rPr>
                <w:rFonts w:hint="eastAsia" w:ascii="宋体" w:hAnsi="宋体"/>
                <w:color w:val="000000"/>
                <w:kern w:val="0"/>
                <w:sz w:val="22"/>
              </w:rPr>
              <w:br w:type="textWrapping"/>
            </w:r>
            <w:r>
              <w:rPr>
                <w:rFonts w:hint="eastAsia" w:ascii="宋体" w:hAnsi="宋体"/>
                <w:color w:val="000000"/>
                <w:kern w:val="0"/>
                <w:sz w:val="22"/>
              </w:rPr>
              <w:t>实际支出资金：一定时期（本年度或项目期）内项目实际拨付的资金。</w:t>
            </w:r>
          </w:p>
        </w:tc>
        <w:tc>
          <w:tcPr>
            <w:tcW w:w="130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7E03FC6">
            <w:pPr>
              <w:spacing w:line="240" w:lineRule="atLeast"/>
              <w:jc w:val="center"/>
              <w:rPr>
                <w:rFonts w:ascii="Times New Roman" w:hAnsi="Times New Roman"/>
                <w:b/>
                <w:color w:val="000000"/>
                <w:kern w:val="0"/>
                <w:sz w:val="22"/>
              </w:rPr>
            </w:pPr>
            <w:r>
              <w:rPr>
                <w:rFonts w:ascii="Times New Roman" w:hAnsi="Times New Roman"/>
                <w:b/>
                <w:color w:val="000000"/>
                <w:kern w:val="0"/>
                <w:sz w:val="22"/>
              </w:rPr>
              <w:t>4</w:t>
            </w:r>
          </w:p>
        </w:tc>
        <w:tc>
          <w:tcPr>
            <w:tcW w:w="136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8B0B0B2">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4</w:t>
            </w:r>
          </w:p>
        </w:tc>
      </w:tr>
      <w:tr w14:paraId="031000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13BAACB4">
            <w:pPr>
              <w:spacing w:line="240" w:lineRule="atLeast"/>
              <w:jc w:val="center"/>
              <w:rPr>
                <w:color w:val="000000"/>
                <w:kern w:val="0"/>
                <w:sz w:val="22"/>
              </w:rPr>
            </w:pPr>
          </w:p>
        </w:tc>
        <w:tc>
          <w:tcPr>
            <w:tcW w:w="7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31D008F">
            <w:pPr>
              <w:spacing w:line="240" w:lineRule="atLeast"/>
              <w:jc w:val="center"/>
              <w:rPr>
                <w:color w:val="000000"/>
                <w:kern w:val="0"/>
                <w:sz w:val="22"/>
              </w:rPr>
            </w:pPr>
            <w:r>
              <w:rPr>
                <w:rFonts w:hint="eastAsia"/>
                <w:color w:val="000000"/>
                <w:kern w:val="0"/>
                <w:sz w:val="22"/>
              </w:rPr>
              <w:t>资金管理</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0BEEC50">
            <w:pPr>
              <w:spacing w:line="240" w:lineRule="atLeast"/>
              <w:jc w:val="center"/>
              <w:rPr>
                <w:color w:val="000000"/>
                <w:kern w:val="0"/>
                <w:sz w:val="22"/>
              </w:rPr>
            </w:pPr>
            <w:r>
              <w:rPr>
                <w:rFonts w:hint="eastAsia"/>
                <w:color w:val="000000"/>
                <w:kern w:val="0"/>
                <w:sz w:val="22"/>
              </w:rPr>
              <w:t>资金使用</w:t>
            </w:r>
          </w:p>
          <w:p w14:paraId="2DB1BEB4">
            <w:pPr>
              <w:spacing w:line="240" w:lineRule="atLeast"/>
              <w:jc w:val="center"/>
              <w:rPr>
                <w:color w:val="000000"/>
                <w:kern w:val="0"/>
                <w:sz w:val="22"/>
              </w:rPr>
            </w:pPr>
            <w:r>
              <w:rPr>
                <w:rFonts w:hint="eastAsia"/>
                <w:color w:val="000000"/>
                <w:kern w:val="0"/>
                <w:sz w:val="22"/>
              </w:rPr>
              <w:t>合规性</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2A4BE31F">
            <w:pPr>
              <w:spacing w:line="240" w:lineRule="atLeast"/>
              <w:rPr>
                <w:color w:val="000000"/>
                <w:kern w:val="0"/>
                <w:sz w:val="22"/>
              </w:rPr>
            </w:pPr>
            <w:r>
              <w:rPr>
                <w:rFonts w:hint="eastAsia"/>
                <w:color w:val="000000"/>
                <w:kern w:val="0"/>
                <w:sz w:val="22"/>
              </w:rPr>
              <w:t>项目资金使用是否符合相关的财务管理制度规定，用以反映和考核项目资金的规范运行情况。</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5561AC74">
            <w:pPr>
              <w:spacing w:line="240" w:lineRule="atLeast"/>
              <w:rPr>
                <w:rFonts w:hint="eastAsia" w:ascii="宋体" w:hAnsi="宋体"/>
                <w:color w:val="000000"/>
                <w:kern w:val="0"/>
                <w:sz w:val="22"/>
              </w:rPr>
            </w:pPr>
            <w:r>
              <w:rPr>
                <w:rFonts w:hint="eastAsia" w:ascii="宋体" w:hAnsi="宋体"/>
                <w:color w:val="000000"/>
                <w:kern w:val="0"/>
                <w:sz w:val="22"/>
              </w:rPr>
              <w:t>评价要点：</w:t>
            </w:r>
            <w:r>
              <w:rPr>
                <w:rFonts w:hint="eastAsia" w:ascii="宋体" w:hAnsi="宋体"/>
                <w:color w:val="000000"/>
                <w:kern w:val="0"/>
                <w:sz w:val="22"/>
              </w:rPr>
              <w:br w:type="textWrapping"/>
            </w:r>
            <w:r>
              <w:rPr>
                <w:rFonts w:hint="eastAsia" w:ascii="宋体" w:hAnsi="宋体"/>
                <w:color w:val="000000"/>
                <w:kern w:val="0"/>
                <w:sz w:val="22"/>
              </w:rPr>
              <w:t>①是否符合国家财经法规和财务管理制度以及有关专项资金管理办法的规定；</w:t>
            </w:r>
            <w:r>
              <w:rPr>
                <w:rFonts w:hint="eastAsia" w:ascii="宋体" w:hAnsi="宋体"/>
                <w:color w:val="000000"/>
                <w:kern w:val="0"/>
                <w:sz w:val="22"/>
              </w:rPr>
              <w:br w:type="textWrapping"/>
            </w:r>
            <w:r>
              <w:rPr>
                <w:rFonts w:hint="eastAsia" w:ascii="宋体" w:hAnsi="宋体"/>
                <w:color w:val="000000"/>
                <w:kern w:val="0"/>
                <w:sz w:val="22"/>
              </w:rPr>
              <w:t>②资金的拨付是否有完整的审批程序和手续；</w:t>
            </w:r>
            <w:r>
              <w:rPr>
                <w:rFonts w:hint="eastAsia" w:ascii="宋体" w:hAnsi="宋体"/>
                <w:color w:val="000000"/>
                <w:kern w:val="0"/>
                <w:sz w:val="22"/>
              </w:rPr>
              <w:br w:type="textWrapping"/>
            </w:r>
            <w:r>
              <w:rPr>
                <w:rFonts w:hint="eastAsia" w:ascii="宋体" w:hAnsi="宋体"/>
                <w:color w:val="000000"/>
                <w:kern w:val="0"/>
                <w:sz w:val="22"/>
              </w:rPr>
              <w:t>③是否符合项目预算批复或合同规定的用途；</w:t>
            </w:r>
            <w:r>
              <w:rPr>
                <w:rFonts w:hint="eastAsia" w:ascii="宋体" w:hAnsi="宋体"/>
                <w:color w:val="000000"/>
                <w:kern w:val="0"/>
                <w:sz w:val="22"/>
              </w:rPr>
              <w:br w:type="textWrapping"/>
            </w:r>
            <w:r>
              <w:rPr>
                <w:rFonts w:hint="eastAsia" w:ascii="宋体" w:hAnsi="宋体"/>
                <w:color w:val="000000"/>
                <w:kern w:val="0"/>
                <w:sz w:val="22"/>
              </w:rPr>
              <w:t>④是否存在截留、挤占、挪用、虚列支出等情况。</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2F50937F">
            <w:pPr>
              <w:spacing w:line="240" w:lineRule="atLeast"/>
              <w:jc w:val="center"/>
              <w:rPr>
                <w:rFonts w:ascii="Times New Roman" w:hAnsi="Times New Roman"/>
                <w:b/>
                <w:color w:val="000000"/>
                <w:kern w:val="0"/>
                <w:sz w:val="22"/>
              </w:rPr>
            </w:pPr>
            <w:r>
              <w:rPr>
                <w:rFonts w:ascii="Times New Roman" w:hAnsi="Times New Roman"/>
                <w:b/>
                <w:color w:val="000000"/>
                <w:kern w:val="0"/>
                <w:sz w:val="22"/>
              </w:rPr>
              <w:t>4</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2D1CA043">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4</w:t>
            </w:r>
          </w:p>
        </w:tc>
      </w:tr>
      <w:tr w14:paraId="51D4C4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7698648">
            <w:pPr>
              <w:spacing w:line="240" w:lineRule="atLeast"/>
              <w:jc w:val="center"/>
              <w:rPr>
                <w:color w:val="000000"/>
                <w:kern w:val="0"/>
                <w:sz w:val="22"/>
              </w:rPr>
            </w:pPr>
          </w:p>
        </w:tc>
        <w:tc>
          <w:tcPr>
            <w:tcW w:w="764"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E3E8AEF">
            <w:pPr>
              <w:spacing w:line="240" w:lineRule="atLeast"/>
              <w:jc w:val="center"/>
              <w:rPr>
                <w:color w:val="000000"/>
                <w:kern w:val="0"/>
                <w:sz w:val="22"/>
              </w:rPr>
            </w:pPr>
            <w:r>
              <w:rPr>
                <w:rFonts w:hint="eastAsia"/>
                <w:color w:val="000000"/>
                <w:kern w:val="0"/>
                <w:sz w:val="22"/>
              </w:rPr>
              <w:t>组织实施</w:t>
            </w:r>
          </w:p>
          <w:p w14:paraId="6B06F5E9">
            <w:pPr>
              <w:spacing w:line="240" w:lineRule="atLeast"/>
              <w:jc w:val="center"/>
              <w:rPr>
                <w:color w:val="000000"/>
                <w:kern w:val="0"/>
                <w:sz w:val="22"/>
              </w:rPr>
            </w:pPr>
            <w:r>
              <w:rPr>
                <w:rFonts w:hint="eastAsia"/>
                <w:color w:val="000000"/>
                <w:kern w:val="0"/>
                <w:sz w:val="22"/>
              </w:rPr>
              <w:t>　</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70EC3E0">
            <w:pPr>
              <w:spacing w:line="240" w:lineRule="atLeast"/>
              <w:jc w:val="center"/>
              <w:rPr>
                <w:color w:val="000000"/>
                <w:kern w:val="0"/>
                <w:sz w:val="22"/>
              </w:rPr>
            </w:pPr>
            <w:r>
              <w:rPr>
                <w:rFonts w:hint="eastAsia"/>
                <w:color w:val="000000"/>
                <w:kern w:val="0"/>
                <w:sz w:val="22"/>
              </w:rPr>
              <w:t>管理制度</w:t>
            </w:r>
          </w:p>
          <w:p w14:paraId="736C88A7">
            <w:pPr>
              <w:spacing w:line="240" w:lineRule="atLeast"/>
              <w:jc w:val="center"/>
              <w:rPr>
                <w:color w:val="000000"/>
                <w:kern w:val="0"/>
                <w:sz w:val="22"/>
              </w:rPr>
            </w:pPr>
            <w:r>
              <w:rPr>
                <w:rFonts w:hint="eastAsia"/>
                <w:color w:val="000000"/>
                <w:kern w:val="0"/>
                <w:sz w:val="22"/>
              </w:rPr>
              <w:t>健全性</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16AB8FF1">
            <w:pPr>
              <w:spacing w:line="240" w:lineRule="atLeast"/>
              <w:rPr>
                <w:color w:val="000000"/>
                <w:kern w:val="0"/>
                <w:sz w:val="22"/>
              </w:rPr>
            </w:pPr>
            <w:r>
              <w:rPr>
                <w:rFonts w:hint="eastAsia"/>
                <w:color w:val="000000"/>
                <w:kern w:val="0"/>
                <w:sz w:val="22"/>
              </w:rPr>
              <w:t>项目实施单位的财务和业务管理制度是否健全，用以反映和考核财务和业务管理制度对项目顺利实施的保障情况。</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6E7A9139">
            <w:pPr>
              <w:spacing w:line="240" w:lineRule="atLeast"/>
              <w:rPr>
                <w:rFonts w:hint="eastAsia" w:ascii="宋体" w:hAnsi="宋体"/>
                <w:color w:val="000000"/>
                <w:kern w:val="0"/>
                <w:sz w:val="22"/>
              </w:rPr>
            </w:pPr>
            <w:r>
              <w:rPr>
                <w:rFonts w:hint="eastAsia" w:ascii="宋体" w:hAnsi="宋体"/>
                <w:color w:val="000000"/>
                <w:kern w:val="0"/>
                <w:sz w:val="22"/>
              </w:rPr>
              <w:t>评价要点：</w:t>
            </w:r>
            <w:r>
              <w:rPr>
                <w:rFonts w:hint="eastAsia" w:ascii="宋体" w:hAnsi="宋体"/>
                <w:color w:val="000000"/>
                <w:kern w:val="0"/>
                <w:sz w:val="22"/>
              </w:rPr>
              <w:br w:type="textWrapping"/>
            </w:r>
            <w:r>
              <w:rPr>
                <w:rFonts w:hint="eastAsia" w:ascii="宋体" w:hAnsi="宋体"/>
                <w:color w:val="000000"/>
                <w:kern w:val="0"/>
                <w:sz w:val="22"/>
              </w:rPr>
              <w:t>①是否已制定或具有相应的财务和业务管理制度；</w:t>
            </w:r>
            <w:r>
              <w:rPr>
                <w:rFonts w:hint="eastAsia" w:ascii="宋体" w:hAnsi="宋体"/>
                <w:color w:val="000000"/>
                <w:kern w:val="0"/>
                <w:sz w:val="22"/>
              </w:rPr>
              <w:br w:type="textWrapping"/>
            </w:r>
            <w:r>
              <w:rPr>
                <w:rFonts w:hint="eastAsia" w:ascii="宋体" w:hAnsi="宋体"/>
                <w:color w:val="000000"/>
                <w:kern w:val="0"/>
                <w:sz w:val="22"/>
              </w:rPr>
              <w:t>②财务和业务管理制度是否合法、合规、完整。</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0B267B55">
            <w:pPr>
              <w:spacing w:line="240" w:lineRule="atLeast"/>
              <w:jc w:val="center"/>
              <w:rPr>
                <w:rFonts w:ascii="Times New Roman" w:hAnsi="Times New Roman"/>
                <w:b/>
                <w:color w:val="000000"/>
                <w:kern w:val="0"/>
                <w:sz w:val="22"/>
              </w:rPr>
            </w:pPr>
            <w:r>
              <w:rPr>
                <w:rFonts w:ascii="Times New Roman" w:hAnsi="Times New Roman"/>
                <w:b/>
                <w:color w:val="000000"/>
                <w:kern w:val="0"/>
                <w:sz w:val="22"/>
              </w:rPr>
              <w:t>4</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5A890A6A">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4</w:t>
            </w:r>
          </w:p>
        </w:tc>
      </w:tr>
      <w:tr w14:paraId="23DCB2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611ACCB">
            <w:pPr>
              <w:spacing w:line="240" w:lineRule="atLeast"/>
              <w:jc w:val="center"/>
              <w:rPr>
                <w:color w:val="000000"/>
                <w:kern w:val="0"/>
                <w:sz w:val="22"/>
              </w:rPr>
            </w:pPr>
          </w:p>
        </w:tc>
        <w:tc>
          <w:tcPr>
            <w:tcW w:w="764"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3355267">
            <w:pPr>
              <w:spacing w:line="240" w:lineRule="atLeast"/>
              <w:jc w:val="center"/>
              <w:rPr>
                <w:color w:val="000000"/>
                <w:kern w:val="0"/>
                <w:sz w:val="22"/>
              </w:rPr>
            </w:pP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A162A12">
            <w:pPr>
              <w:spacing w:line="240" w:lineRule="atLeast"/>
              <w:jc w:val="center"/>
              <w:rPr>
                <w:color w:val="000000"/>
                <w:kern w:val="0"/>
                <w:sz w:val="22"/>
              </w:rPr>
            </w:pPr>
            <w:r>
              <w:rPr>
                <w:rFonts w:hint="eastAsia"/>
                <w:color w:val="000000"/>
                <w:kern w:val="0"/>
                <w:sz w:val="22"/>
              </w:rPr>
              <w:t>制度执行</w:t>
            </w:r>
          </w:p>
          <w:p w14:paraId="11AA34CF">
            <w:pPr>
              <w:spacing w:line="240" w:lineRule="atLeast"/>
              <w:jc w:val="center"/>
              <w:rPr>
                <w:color w:val="000000"/>
                <w:kern w:val="0"/>
                <w:sz w:val="22"/>
              </w:rPr>
            </w:pPr>
            <w:r>
              <w:rPr>
                <w:rFonts w:hint="eastAsia"/>
                <w:color w:val="000000"/>
                <w:kern w:val="0"/>
                <w:sz w:val="22"/>
              </w:rPr>
              <w:t>有效性</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04B9D363">
            <w:pPr>
              <w:spacing w:line="240" w:lineRule="atLeast"/>
              <w:rPr>
                <w:color w:val="000000"/>
                <w:kern w:val="0"/>
                <w:sz w:val="22"/>
              </w:rPr>
            </w:pPr>
            <w:r>
              <w:rPr>
                <w:rFonts w:hint="eastAsia"/>
                <w:color w:val="000000"/>
                <w:kern w:val="0"/>
                <w:sz w:val="22"/>
              </w:rPr>
              <w:t>项目实施是否符合相关管理规定，用以反映和考核相关管理制度的有效执行情况。</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27200760">
            <w:pPr>
              <w:spacing w:line="240" w:lineRule="atLeast"/>
              <w:rPr>
                <w:rFonts w:hint="eastAsia" w:ascii="宋体" w:hAnsi="宋体"/>
                <w:color w:val="000000"/>
                <w:kern w:val="0"/>
                <w:sz w:val="22"/>
              </w:rPr>
            </w:pPr>
            <w:r>
              <w:rPr>
                <w:rFonts w:hint="eastAsia" w:ascii="宋体" w:hAnsi="宋体"/>
                <w:color w:val="000000"/>
                <w:kern w:val="0"/>
                <w:sz w:val="22"/>
              </w:rPr>
              <w:t>评价要点：</w:t>
            </w:r>
            <w:r>
              <w:rPr>
                <w:rFonts w:hint="eastAsia" w:ascii="宋体" w:hAnsi="宋体"/>
                <w:color w:val="000000"/>
                <w:kern w:val="0"/>
                <w:sz w:val="22"/>
              </w:rPr>
              <w:br w:type="textWrapping"/>
            </w:r>
            <w:r>
              <w:rPr>
                <w:rFonts w:hint="eastAsia" w:ascii="宋体" w:hAnsi="宋体"/>
                <w:color w:val="000000"/>
                <w:kern w:val="0"/>
                <w:sz w:val="22"/>
              </w:rPr>
              <w:t>①是否遵守相关法律法规和相关管理规定；</w:t>
            </w:r>
            <w:r>
              <w:rPr>
                <w:rFonts w:hint="eastAsia" w:ascii="宋体" w:hAnsi="宋体"/>
                <w:color w:val="000000"/>
                <w:kern w:val="0"/>
                <w:sz w:val="22"/>
              </w:rPr>
              <w:br w:type="textWrapping"/>
            </w:r>
            <w:r>
              <w:rPr>
                <w:rFonts w:hint="eastAsia" w:ascii="宋体" w:hAnsi="宋体"/>
                <w:color w:val="000000"/>
                <w:kern w:val="0"/>
                <w:sz w:val="22"/>
              </w:rPr>
              <w:t>②项目调整及支出调整手续是否完备；</w:t>
            </w:r>
            <w:r>
              <w:rPr>
                <w:rFonts w:hint="eastAsia" w:ascii="宋体" w:hAnsi="宋体"/>
                <w:color w:val="000000"/>
                <w:kern w:val="0"/>
                <w:sz w:val="22"/>
              </w:rPr>
              <w:br w:type="textWrapping"/>
            </w:r>
            <w:r>
              <w:rPr>
                <w:rFonts w:hint="eastAsia" w:ascii="宋体" w:hAnsi="宋体"/>
                <w:color w:val="000000"/>
                <w:kern w:val="0"/>
                <w:sz w:val="22"/>
              </w:rPr>
              <w:t>③项目合同书、验收报告、技术鉴定等资料是否齐全并及时归档；</w:t>
            </w:r>
            <w:r>
              <w:rPr>
                <w:rFonts w:hint="eastAsia" w:ascii="宋体" w:hAnsi="宋体"/>
                <w:color w:val="000000"/>
                <w:kern w:val="0"/>
                <w:sz w:val="22"/>
              </w:rPr>
              <w:br w:type="textWrapping"/>
            </w:r>
            <w:r>
              <w:rPr>
                <w:rFonts w:hint="eastAsia" w:ascii="宋体" w:hAnsi="宋体"/>
                <w:color w:val="000000"/>
                <w:kern w:val="0"/>
                <w:sz w:val="22"/>
              </w:rPr>
              <w:t>④项目实施的人员条件、场地设备、信息支撑等是否落实到位。</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11FC5250">
            <w:pPr>
              <w:spacing w:line="240" w:lineRule="atLeast"/>
              <w:jc w:val="center"/>
              <w:rPr>
                <w:rFonts w:ascii="Times New Roman" w:hAnsi="Times New Roman"/>
                <w:b/>
                <w:color w:val="000000"/>
                <w:kern w:val="0"/>
                <w:sz w:val="22"/>
              </w:rPr>
            </w:pPr>
            <w:r>
              <w:rPr>
                <w:rFonts w:ascii="Times New Roman" w:hAnsi="Times New Roman"/>
                <w:b/>
                <w:color w:val="000000"/>
                <w:kern w:val="0"/>
                <w:sz w:val="22"/>
              </w:rPr>
              <w:t>4</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3F6A3C76">
            <w:pPr>
              <w:spacing w:line="240" w:lineRule="atLeast"/>
              <w:jc w:val="center"/>
              <w:rPr>
                <w:rFonts w:hint="eastAsia" w:ascii="Times New Roman" w:hAnsi="Times New Roman"/>
                <w:b/>
                <w:color w:val="000000"/>
                <w:kern w:val="0"/>
                <w:sz w:val="22"/>
              </w:rPr>
            </w:pPr>
            <w:r>
              <w:rPr>
                <w:rFonts w:hint="eastAsia" w:ascii="Times New Roman" w:hAnsi="Times New Roman"/>
                <w:b/>
                <w:color w:val="000000"/>
                <w:kern w:val="0"/>
                <w:sz w:val="22"/>
              </w:rPr>
              <w:t>4</w:t>
            </w:r>
          </w:p>
        </w:tc>
      </w:tr>
      <w:tr w14:paraId="52D70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3B535DE">
            <w:pPr>
              <w:spacing w:line="240" w:lineRule="atLeast"/>
              <w:jc w:val="center"/>
              <w:rPr>
                <w:color w:val="000000"/>
                <w:kern w:val="0"/>
                <w:sz w:val="22"/>
              </w:rPr>
            </w:pPr>
            <w:r>
              <w:rPr>
                <w:rFonts w:hint="eastAsia"/>
                <w:color w:val="000000"/>
                <w:kern w:val="0"/>
                <w:sz w:val="22"/>
              </w:rPr>
              <w:t>产出</w:t>
            </w:r>
          </w:p>
        </w:tc>
        <w:tc>
          <w:tcPr>
            <w:tcW w:w="7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A8A5757">
            <w:pPr>
              <w:spacing w:line="240" w:lineRule="atLeast"/>
              <w:jc w:val="center"/>
              <w:rPr>
                <w:color w:val="000000"/>
                <w:kern w:val="0"/>
                <w:sz w:val="22"/>
              </w:rPr>
            </w:pPr>
            <w:r>
              <w:rPr>
                <w:rFonts w:hint="eastAsia"/>
                <w:color w:val="000000"/>
                <w:kern w:val="0"/>
                <w:sz w:val="22"/>
              </w:rPr>
              <w:t>产出数量</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943B2CF">
            <w:pPr>
              <w:spacing w:line="240" w:lineRule="atLeast"/>
              <w:jc w:val="center"/>
              <w:rPr>
                <w:color w:val="000000"/>
                <w:kern w:val="0"/>
                <w:sz w:val="22"/>
              </w:rPr>
            </w:pPr>
            <w:r>
              <w:rPr>
                <w:rFonts w:hint="eastAsia"/>
                <w:color w:val="000000"/>
                <w:kern w:val="0"/>
                <w:sz w:val="22"/>
              </w:rPr>
              <w:t>实际完成率</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7F168FD4">
            <w:pPr>
              <w:spacing w:line="240" w:lineRule="atLeast"/>
              <w:rPr>
                <w:color w:val="000000"/>
                <w:kern w:val="0"/>
                <w:sz w:val="22"/>
              </w:rPr>
            </w:pPr>
            <w:r>
              <w:rPr>
                <w:rFonts w:hint="eastAsia"/>
                <w:color w:val="000000"/>
                <w:kern w:val="0"/>
                <w:sz w:val="22"/>
              </w:rPr>
              <w:t>项目实施的实际产出数与计划产出数的比率，用以反映和考核项目产出数量目标的实现程度。</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6895C38C">
            <w:pPr>
              <w:spacing w:line="240" w:lineRule="atLeast"/>
              <w:rPr>
                <w:rFonts w:hint="eastAsia" w:ascii="宋体" w:hAnsi="宋体"/>
                <w:color w:val="000000"/>
                <w:kern w:val="0"/>
                <w:sz w:val="22"/>
              </w:rPr>
            </w:pPr>
            <w:r>
              <w:rPr>
                <w:rFonts w:hint="eastAsia" w:ascii="宋体" w:hAnsi="宋体"/>
                <w:color w:val="000000"/>
                <w:kern w:val="0"/>
                <w:sz w:val="22"/>
              </w:rPr>
              <w:t>实际完成率=（实际产出数/计划产出数）×100%。</w:t>
            </w:r>
            <w:r>
              <w:rPr>
                <w:rFonts w:hint="eastAsia" w:ascii="宋体" w:hAnsi="宋体"/>
                <w:color w:val="000000"/>
                <w:kern w:val="0"/>
                <w:sz w:val="22"/>
              </w:rPr>
              <w:br w:type="textWrapping"/>
            </w:r>
            <w:r>
              <w:rPr>
                <w:rFonts w:hint="eastAsia" w:ascii="宋体" w:hAnsi="宋体"/>
                <w:color w:val="000000"/>
                <w:kern w:val="0"/>
                <w:sz w:val="22"/>
              </w:rPr>
              <w:t>实际产出数：一定时期（本年度或项目期）内项目实际产出的产品或提供的服务数量。</w:t>
            </w:r>
            <w:r>
              <w:rPr>
                <w:rFonts w:hint="eastAsia" w:ascii="宋体" w:hAnsi="宋体"/>
                <w:color w:val="000000"/>
                <w:kern w:val="0"/>
                <w:sz w:val="22"/>
              </w:rPr>
              <w:br w:type="textWrapping"/>
            </w:r>
            <w:r>
              <w:rPr>
                <w:rFonts w:hint="eastAsia" w:ascii="宋体" w:hAnsi="宋体"/>
                <w:color w:val="000000"/>
                <w:kern w:val="0"/>
                <w:sz w:val="22"/>
              </w:rPr>
              <w:t>计划产出数：项目绩效目标确定的在一定时期（本年度或项目期）内计划产出的产品或提供的服务数量。</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61F18B94">
            <w:pPr>
              <w:spacing w:line="240" w:lineRule="atLeast"/>
              <w:jc w:val="center"/>
              <w:rPr>
                <w:rFonts w:ascii="Times New Roman" w:hAnsi="Times New Roman"/>
                <w:b/>
                <w:color w:val="000000"/>
                <w:kern w:val="0"/>
                <w:sz w:val="22"/>
              </w:rPr>
            </w:pPr>
            <w:r>
              <w:rPr>
                <w:rFonts w:ascii="Times New Roman" w:hAnsi="Times New Roman"/>
                <w:b/>
                <w:color w:val="000000"/>
                <w:kern w:val="0"/>
                <w:sz w:val="22"/>
              </w:rPr>
              <w:t>10</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0FF4E5AA">
            <w:pPr>
              <w:spacing w:line="240" w:lineRule="atLeast"/>
              <w:jc w:val="center"/>
              <w:rPr>
                <w:rFonts w:ascii="Times New Roman" w:hAnsi="Times New Roman"/>
                <w:b/>
                <w:color w:val="000000"/>
                <w:kern w:val="0"/>
                <w:sz w:val="22"/>
              </w:rPr>
            </w:pPr>
            <w:r>
              <w:rPr>
                <w:rFonts w:hint="eastAsia" w:ascii="Times New Roman" w:hAnsi="Times New Roman"/>
                <w:b/>
                <w:color w:val="000000"/>
                <w:kern w:val="0"/>
                <w:sz w:val="22"/>
              </w:rPr>
              <w:t>10</w:t>
            </w:r>
          </w:p>
        </w:tc>
      </w:tr>
      <w:tr w14:paraId="76277C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C3561D0">
            <w:pPr>
              <w:spacing w:line="240" w:lineRule="atLeast"/>
              <w:jc w:val="center"/>
              <w:rPr>
                <w:color w:val="000000"/>
                <w:kern w:val="0"/>
                <w:sz w:val="22"/>
              </w:rPr>
            </w:pPr>
          </w:p>
        </w:tc>
        <w:tc>
          <w:tcPr>
            <w:tcW w:w="7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5398146">
            <w:pPr>
              <w:spacing w:line="240" w:lineRule="atLeast"/>
              <w:jc w:val="center"/>
              <w:rPr>
                <w:color w:val="000000"/>
                <w:kern w:val="0"/>
                <w:sz w:val="22"/>
              </w:rPr>
            </w:pPr>
            <w:r>
              <w:rPr>
                <w:rFonts w:hint="eastAsia"/>
                <w:color w:val="000000"/>
                <w:kern w:val="0"/>
                <w:sz w:val="22"/>
              </w:rPr>
              <w:t>产出质量</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A839166">
            <w:pPr>
              <w:spacing w:line="240" w:lineRule="atLeast"/>
              <w:jc w:val="center"/>
              <w:rPr>
                <w:color w:val="000000"/>
                <w:kern w:val="0"/>
                <w:sz w:val="22"/>
              </w:rPr>
            </w:pPr>
            <w:r>
              <w:rPr>
                <w:rFonts w:hint="eastAsia"/>
                <w:color w:val="000000"/>
                <w:kern w:val="0"/>
                <w:sz w:val="22"/>
              </w:rPr>
              <w:t>质量达标率</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7A3587DE">
            <w:pPr>
              <w:spacing w:line="240" w:lineRule="atLeast"/>
              <w:rPr>
                <w:color w:val="000000"/>
                <w:kern w:val="0"/>
                <w:sz w:val="22"/>
              </w:rPr>
            </w:pPr>
            <w:r>
              <w:rPr>
                <w:rFonts w:hint="eastAsia"/>
                <w:color w:val="000000"/>
                <w:kern w:val="0"/>
                <w:sz w:val="22"/>
              </w:rPr>
              <w:t>项目完成的质量达标产出数与实际产出数的比率，用以反映和考核项目产出质量目标的实现程度。</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54335AFE">
            <w:pPr>
              <w:spacing w:line="240" w:lineRule="atLeast"/>
              <w:rPr>
                <w:rFonts w:hint="eastAsia" w:ascii="宋体" w:hAnsi="宋体"/>
                <w:color w:val="000000"/>
                <w:kern w:val="0"/>
                <w:sz w:val="22"/>
              </w:rPr>
            </w:pPr>
            <w:r>
              <w:rPr>
                <w:rFonts w:hint="eastAsia" w:ascii="宋体" w:hAnsi="宋体"/>
                <w:color w:val="000000"/>
                <w:kern w:val="0"/>
                <w:sz w:val="22"/>
              </w:rPr>
              <w:t>质量达标率=（质量达标产出数/实际产出数）×100%。</w:t>
            </w:r>
          </w:p>
          <w:p w14:paraId="0AE5E2C2">
            <w:pPr>
              <w:spacing w:line="240" w:lineRule="atLeast"/>
              <w:rPr>
                <w:rFonts w:hint="eastAsia" w:ascii="宋体" w:hAnsi="宋体"/>
                <w:color w:val="000000"/>
                <w:kern w:val="0"/>
                <w:sz w:val="22"/>
              </w:rPr>
            </w:pPr>
            <w:r>
              <w:rPr>
                <w:rFonts w:hint="eastAsia" w:ascii="宋体" w:hAnsi="宋体"/>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6FFDD933">
            <w:pPr>
              <w:spacing w:line="240" w:lineRule="atLeast"/>
              <w:jc w:val="center"/>
              <w:rPr>
                <w:rFonts w:ascii="Times New Roman" w:hAnsi="Times New Roman"/>
                <w:b/>
                <w:color w:val="000000"/>
                <w:kern w:val="0"/>
                <w:sz w:val="22"/>
              </w:rPr>
            </w:pPr>
            <w:r>
              <w:rPr>
                <w:rFonts w:ascii="Times New Roman" w:hAnsi="Times New Roman"/>
                <w:b/>
                <w:color w:val="000000"/>
                <w:kern w:val="0"/>
                <w:sz w:val="22"/>
              </w:rPr>
              <w:t>10</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17F22236">
            <w:pPr>
              <w:spacing w:line="240" w:lineRule="atLeast"/>
              <w:jc w:val="center"/>
              <w:rPr>
                <w:rFonts w:ascii="Times New Roman" w:hAnsi="Times New Roman"/>
                <w:b/>
                <w:color w:val="000000"/>
                <w:kern w:val="0"/>
                <w:sz w:val="22"/>
              </w:rPr>
            </w:pPr>
            <w:r>
              <w:rPr>
                <w:rFonts w:hint="eastAsia" w:ascii="Times New Roman" w:hAnsi="Times New Roman"/>
                <w:b/>
                <w:color w:val="000000"/>
                <w:kern w:val="0"/>
                <w:sz w:val="22"/>
              </w:rPr>
              <w:t>10</w:t>
            </w:r>
          </w:p>
        </w:tc>
      </w:tr>
      <w:tr w14:paraId="3172BB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36DDBF8">
            <w:pPr>
              <w:spacing w:line="240" w:lineRule="atLeast"/>
              <w:jc w:val="center"/>
              <w:rPr>
                <w:color w:val="000000"/>
                <w:kern w:val="0"/>
                <w:sz w:val="22"/>
              </w:rPr>
            </w:pPr>
          </w:p>
        </w:tc>
        <w:tc>
          <w:tcPr>
            <w:tcW w:w="7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AC0E2DF">
            <w:pPr>
              <w:spacing w:line="240" w:lineRule="atLeast"/>
              <w:jc w:val="center"/>
              <w:rPr>
                <w:color w:val="000000"/>
                <w:kern w:val="0"/>
                <w:sz w:val="22"/>
              </w:rPr>
            </w:pPr>
            <w:r>
              <w:rPr>
                <w:rFonts w:hint="eastAsia"/>
                <w:color w:val="000000"/>
                <w:kern w:val="0"/>
                <w:sz w:val="22"/>
              </w:rPr>
              <w:t>产出时效</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570AC598">
            <w:pPr>
              <w:spacing w:line="240" w:lineRule="atLeast"/>
              <w:jc w:val="center"/>
              <w:rPr>
                <w:color w:val="000000"/>
                <w:kern w:val="0"/>
                <w:sz w:val="22"/>
              </w:rPr>
            </w:pPr>
            <w:r>
              <w:rPr>
                <w:rFonts w:hint="eastAsia"/>
                <w:color w:val="000000"/>
                <w:kern w:val="0"/>
                <w:sz w:val="22"/>
              </w:rPr>
              <w:t>完成及时性</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7EAFCA70">
            <w:pPr>
              <w:spacing w:line="240" w:lineRule="atLeast"/>
              <w:rPr>
                <w:color w:val="000000"/>
                <w:kern w:val="0"/>
                <w:sz w:val="22"/>
              </w:rPr>
            </w:pPr>
            <w:r>
              <w:rPr>
                <w:rFonts w:hint="eastAsia"/>
                <w:color w:val="000000"/>
                <w:kern w:val="0"/>
                <w:sz w:val="22"/>
              </w:rPr>
              <w:t>项目实际完成时间与计划完成时间的比较，用以反映和考核项目产出时效目标的实现程度。</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3253763A">
            <w:pPr>
              <w:spacing w:line="240" w:lineRule="atLeast"/>
              <w:rPr>
                <w:rFonts w:hint="eastAsia" w:ascii="宋体" w:hAnsi="宋体"/>
                <w:color w:val="000000"/>
                <w:kern w:val="0"/>
                <w:sz w:val="22"/>
              </w:rPr>
            </w:pPr>
            <w:r>
              <w:rPr>
                <w:rFonts w:hint="eastAsia" w:ascii="宋体" w:hAnsi="宋体"/>
                <w:color w:val="000000"/>
                <w:kern w:val="0"/>
                <w:sz w:val="22"/>
              </w:rPr>
              <w:t>实际完成时间：项目实施单位完成该项目实际所耗用的时间。</w:t>
            </w:r>
            <w:r>
              <w:rPr>
                <w:rFonts w:hint="eastAsia" w:ascii="宋体" w:hAnsi="宋体"/>
                <w:color w:val="000000"/>
                <w:kern w:val="0"/>
                <w:sz w:val="22"/>
              </w:rPr>
              <w:br w:type="textWrapping"/>
            </w:r>
            <w:r>
              <w:rPr>
                <w:rFonts w:hint="eastAsia" w:ascii="宋体" w:hAnsi="宋体"/>
                <w:color w:val="000000"/>
                <w:kern w:val="0"/>
                <w:sz w:val="22"/>
              </w:rPr>
              <w:t>计划完成时间：按照项目实施计划或相关规定完成该项目所需的时间。</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698EC26B">
            <w:pPr>
              <w:spacing w:line="240" w:lineRule="atLeast"/>
              <w:jc w:val="center"/>
              <w:rPr>
                <w:rFonts w:ascii="Times New Roman" w:hAnsi="Times New Roman"/>
                <w:b/>
                <w:color w:val="000000"/>
                <w:kern w:val="0"/>
                <w:sz w:val="22"/>
              </w:rPr>
            </w:pPr>
            <w:r>
              <w:rPr>
                <w:rFonts w:ascii="Times New Roman" w:hAnsi="Times New Roman"/>
                <w:b/>
                <w:color w:val="000000"/>
                <w:kern w:val="0"/>
                <w:sz w:val="22"/>
              </w:rPr>
              <w:t>10</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53B73BBD">
            <w:pPr>
              <w:spacing w:line="240" w:lineRule="atLeast"/>
              <w:jc w:val="center"/>
              <w:rPr>
                <w:rFonts w:ascii="Times New Roman" w:hAnsi="Times New Roman"/>
                <w:b/>
                <w:color w:val="000000"/>
                <w:kern w:val="0"/>
                <w:sz w:val="22"/>
              </w:rPr>
            </w:pPr>
            <w:r>
              <w:rPr>
                <w:rFonts w:hint="eastAsia" w:ascii="Times New Roman" w:hAnsi="Times New Roman"/>
                <w:b/>
                <w:color w:val="000000"/>
                <w:kern w:val="0"/>
                <w:sz w:val="22"/>
              </w:rPr>
              <w:t>10</w:t>
            </w:r>
          </w:p>
        </w:tc>
      </w:tr>
      <w:tr w14:paraId="136AC1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CDE8325">
            <w:pPr>
              <w:spacing w:line="240" w:lineRule="atLeast"/>
              <w:jc w:val="center"/>
              <w:rPr>
                <w:color w:val="000000"/>
                <w:kern w:val="0"/>
                <w:sz w:val="22"/>
              </w:rPr>
            </w:pPr>
          </w:p>
        </w:tc>
        <w:tc>
          <w:tcPr>
            <w:tcW w:w="764"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4EEF10A">
            <w:pPr>
              <w:spacing w:line="240" w:lineRule="atLeast"/>
              <w:jc w:val="center"/>
              <w:rPr>
                <w:color w:val="000000"/>
                <w:kern w:val="0"/>
                <w:sz w:val="22"/>
              </w:rPr>
            </w:pPr>
            <w:r>
              <w:rPr>
                <w:rFonts w:hint="eastAsia"/>
                <w:color w:val="000000"/>
                <w:kern w:val="0"/>
                <w:sz w:val="22"/>
              </w:rPr>
              <w:t>产出成本</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12AFFD4">
            <w:pPr>
              <w:spacing w:line="240" w:lineRule="atLeast"/>
              <w:jc w:val="center"/>
              <w:rPr>
                <w:color w:val="000000"/>
                <w:kern w:val="0"/>
                <w:sz w:val="22"/>
              </w:rPr>
            </w:pPr>
            <w:r>
              <w:rPr>
                <w:rFonts w:hint="eastAsia"/>
                <w:color w:val="000000"/>
                <w:kern w:val="0"/>
                <w:sz w:val="22"/>
              </w:rPr>
              <w:t>成本节约率</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47BD0177">
            <w:pPr>
              <w:spacing w:line="240" w:lineRule="atLeast"/>
              <w:rPr>
                <w:color w:val="000000"/>
                <w:kern w:val="0"/>
                <w:sz w:val="22"/>
              </w:rPr>
            </w:pPr>
            <w:r>
              <w:rPr>
                <w:rFonts w:hint="eastAsia"/>
                <w:color w:val="000000"/>
                <w:kern w:val="0"/>
                <w:sz w:val="22"/>
              </w:rPr>
              <w:t>完成项目计划工作目标的实际节约成本与计划成本的比率，用以反映和考核项目的成本节约程度。</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67F17C8E">
            <w:pPr>
              <w:spacing w:line="240" w:lineRule="atLeast"/>
              <w:rPr>
                <w:rFonts w:hint="eastAsia" w:ascii="宋体" w:hAnsi="宋体"/>
                <w:color w:val="000000"/>
                <w:kern w:val="0"/>
                <w:sz w:val="22"/>
              </w:rPr>
            </w:pPr>
            <w:r>
              <w:rPr>
                <w:rFonts w:hint="eastAsia" w:ascii="宋体" w:hAnsi="宋体"/>
                <w:color w:val="000000"/>
                <w:kern w:val="0"/>
                <w:sz w:val="22"/>
              </w:rPr>
              <w:br w:type="textWrapping"/>
            </w:r>
            <w:r>
              <w:rPr>
                <w:rFonts w:hint="eastAsia" w:ascii="宋体" w:hAnsi="宋体"/>
                <w:color w:val="000000"/>
                <w:kern w:val="0"/>
                <w:sz w:val="22"/>
              </w:rPr>
              <w:t>成本节约率=[（计划成本-实际成本）/计划成本]×100%。</w:t>
            </w:r>
            <w:r>
              <w:rPr>
                <w:rFonts w:hint="eastAsia" w:ascii="宋体" w:hAnsi="宋体"/>
                <w:color w:val="000000"/>
                <w:kern w:val="0"/>
                <w:sz w:val="22"/>
              </w:rPr>
              <w:br w:type="textWrapping"/>
            </w:r>
            <w:r>
              <w:rPr>
                <w:rFonts w:hint="eastAsia" w:ascii="宋体" w:hAnsi="宋体"/>
                <w:color w:val="000000"/>
                <w:kern w:val="0"/>
                <w:sz w:val="22"/>
              </w:rPr>
              <w:t>实际成本：项目实施单位如期、保质、保量完成既定工作目标实际所耗费的支出。</w:t>
            </w:r>
            <w:r>
              <w:rPr>
                <w:rFonts w:hint="eastAsia" w:ascii="宋体" w:hAnsi="宋体"/>
                <w:color w:val="000000"/>
                <w:kern w:val="0"/>
                <w:sz w:val="22"/>
              </w:rPr>
              <w:br w:type="textWrapping"/>
            </w:r>
            <w:r>
              <w:rPr>
                <w:rFonts w:hint="eastAsia" w:ascii="宋体" w:hAnsi="宋体"/>
                <w:color w:val="000000"/>
                <w:kern w:val="0"/>
                <w:sz w:val="22"/>
              </w:rPr>
              <w:t>计划成本：项目实施单位为完成工作目标计划安排的支出，一般以项目预算为参考。</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49EC5D3F">
            <w:pPr>
              <w:spacing w:line="240" w:lineRule="atLeast"/>
              <w:jc w:val="center"/>
              <w:rPr>
                <w:b/>
                <w:color w:val="000000"/>
                <w:kern w:val="0"/>
                <w:sz w:val="22"/>
              </w:rPr>
            </w:pPr>
            <w:r>
              <w:rPr>
                <w:rFonts w:ascii="Times New Roman" w:hAnsi="Times New Roman"/>
                <w:b/>
                <w:color w:val="000000"/>
                <w:kern w:val="0"/>
                <w:sz w:val="22"/>
              </w:rPr>
              <w:t>10</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24D990FD">
            <w:pPr>
              <w:spacing w:line="240" w:lineRule="atLeast"/>
              <w:jc w:val="center"/>
              <w:rPr>
                <w:b/>
                <w:color w:val="000000"/>
                <w:kern w:val="0"/>
                <w:sz w:val="22"/>
              </w:rPr>
            </w:pPr>
            <w:r>
              <w:rPr>
                <w:rFonts w:hint="eastAsia" w:ascii="Times New Roman" w:hAnsi="Times New Roman"/>
                <w:b/>
                <w:color w:val="000000"/>
                <w:kern w:val="0"/>
                <w:sz w:val="22"/>
              </w:rPr>
              <w:t>10</w:t>
            </w:r>
          </w:p>
        </w:tc>
      </w:tr>
      <w:tr w14:paraId="4DEDB3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30D6C673">
            <w:pPr>
              <w:spacing w:line="240" w:lineRule="atLeast"/>
              <w:jc w:val="center"/>
              <w:rPr>
                <w:color w:val="000000"/>
                <w:kern w:val="0"/>
                <w:sz w:val="22"/>
              </w:rPr>
            </w:pPr>
            <w:r>
              <w:rPr>
                <w:rFonts w:hint="eastAsia"/>
                <w:color w:val="000000"/>
                <w:kern w:val="0"/>
                <w:sz w:val="22"/>
              </w:rPr>
              <w:t>效益　</w:t>
            </w:r>
          </w:p>
        </w:tc>
        <w:tc>
          <w:tcPr>
            <w:tcW w:w="764" w:type="dxa"/>
            <w:vMerge w:val="restart"/>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9F90412">
            <w:pPr>
              <w:spacing w:line="240" w:lineRule="atLeast"/>
              <w:jc w:val="center"/>
              <w:rPr>
                <w:color w:val="000000"/>
                <w:kern w:val="0"/>
                <w:sz w:val="22"/>
              </w:rPr>
            </w:pPr>
            <w:r>
              <w:rPr>
                <w:rFonts w:hint="eastAsia"/>
                <w:color w:val="000000"/>
                <w:kern w:val="0"/>
                <w:sz w:val="22"/>
              </w:rPr>
              <w:t>项目效益　</w:t>
            </w: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79C9978C">
            <w:pPr>
              <w:spacing w:line="240" w:lineRule="atLeast"/>
              <w:jc w:val="center"/>
              <w:rPr>
                <w:color w:val="000000"/>
                <w:kern w:val="0"/>
                <w:sz w:val="22"/>
              </w:rPr>
            </w:pPr>
            <w:r>
              <w:rPr>
                <w:rFonts w:hint="eastAsia"/>
                <w:color w:val="000000"/>
                <w:kern w:val="0"/>
                <w:sz w:val="22"/>
              </w:rPr>
              <w:t>实施效益</w:t>
            </w:r>
          </w:p>
        </w:tc>
        <w:tc>
          <w:tcPr>
            <w:tcW w:w="235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7D4FE97">
            <w:pPr>
              <w:spacing w:line="240" w:lineRule="atLeast"/>
              <w:jc w:val="left"/>
              <w:rPr>
                <w:color w:val="000000"/>
                <w:kern w:val="0"/>
                <w:sz w:val="22"/>
              </w:rPr>
            </w:pPr>
            <w:r>
              <w:rPr>
                <w:rFonts w:hint="eastAsia"/>
                <w:color w:val="000000"/>
                <w:kern w:val="0"/>
                <w:sz w:val="22"/>
              </w:rPr>
              <w:t>项目实施所产生的效益。</w:t>
            </w:r>
          </w:p>
        </w:tc>
        <w:tc>
          <w:tcPr>
            <w:tcW w:w="5198"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82AECE7">
            <w:pPr>
              <w:spacing w:line="240" w:lineRule="atLeast"/>
              <w:rPr>
                <w:rFonts w:hint="eastAsia" w:ascii="宋体" w:hAnsi="宋体"/>
                <w:color w:val="000000"/>
                <w:kern w:val="0"/>
                <w:sz w:val="22"/>
              </w:rPr>
            </w:pPr>
            <w:r>
              <w:rPr>
                <w:rFonts w:hint="eastAsia" w:ascii="宋体" w:hAnsi="宋体"/>
                <w:color w:val="000000"/>
                <w:kern w:val="0"/>
                <w:sz w:val="22"/>
              </w:rPr>
              <w:t>项目实施所产生的社会效益、经济效益、生态效益、可持续影响等。可根据项目实际情况有选择地设置和细化。</w:t>
            </w:r>
          </w:p>
        </w:tc>
        <w:tc>
          <w:tcPr>
            <w:tcW w:w="1300"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62E3EC5E">
            <w:pPr>
              <w:spacing w:line="240" w:lineRule="atLeast"/>
              <w:jc w:val="center"/>
              <w:rPr>
                <w:b/>
                <w:color w:val="000000"/>
                <w:kern w:val="0"/>
                <w:sz w:val="22"/>
              </w:rPr>
            </w:pPr>
            <w:r>
              <w:rPr>
                <w:rFonts w:ascii="Times New Roman" w:hAnsi="Times New Roman"/>
                <w:b/>
                <w:color w:val="000000"/>
                <w:kern w:val="0"/>
                <w:sz w:val="22"/>
              </w:rPr>
              <w:t>10</w:t>
            </w:r>
          </w:p>
        </w:tc>
        <w:tc>
          <w:tcPr>
            <w:tcW w:w="136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1BDCF3C">
            <w:pPr>
              <w:spacing w:line="240" w:lineRule="atLeast"/>
              <w:jc w:val="center"/>
              <w:rPr>
                <w:b/>
                <w:color w:val="000000"/>
                <w:kern w:val="0"/>
                <w:sz w:val="22"/>
              </w:rPr>
            </w:pPr>
            <w:r>
              <w:rPr>
                <w:rFonts w:hint="eastAsia" w:ascii="Times New Roman" w:hAnsi="Times New Roman"/>
                <w:b/>
                <w:color w:val="000000"/>
                <w:kern w:val="0"/>
                <w:sz w:val="22"/>
              </w:rPr>
              <w:t>10</w:t>
            </w:r>
          </w:p>
        </w:tc>
      </w:tr>
      <w:tr w14:paraId="4DDE86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0BEE1CD7">
            <w:pPr>
              <w:spacing w:line="240" w:lineRule="atLeast"/>
              <w:jc w:val="center"/>
              <w:rPr>
                <w:color w:val="000000"/>
                <w:kern w:val="0"/>
                <w:sz w:val="22"/>
              </w:rPr>
            </w:pPr>
          </w:p>
        </w:tc>
        <w:tc>
          <w:tcPr>
            <w:tcW w:w="764" w:type="dxa"/>
            <w:vMerge w:val="continue"/>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4BF8AD51">
            <w:pPr>
              <w:spacing w:line="240" w:lineRule="atLeast"/>
              <w:jc w:val="center"/>
              <w:rPr>
                <w:color w:val="000000"/>
                <w:kern w:val="0"/>
                <w:sz w:val="22"/>
              </w:rPr>
            </w:pPr>
          </w:p>
        </w:tc>
        <w:tc>
          <w:tcPr>
            <w:tcW w:w="873" w:type="dxa"/>
            <w:tcBorders>
              <w:top w:val="single" w:color="000000" w:sz="8" w:space="0"/>
              <w:left w:val="single" w:color="000000" w:sz="8" w:space="0"/>
              <w:bottom w:val="single" w:color="000000" w:sz="8" w:space="0"/>
              <w:right w:val="single" w:color="000000" w:sz="8" w:space="0"/>
            </w:tcBorders>
            <w:shd w:val="clear" w:color="auto" w:fill="FFFFFF"/>
            <w:noWrap w:val="0"/>
            <w:vAlign w:val="center"/>
          </w:tcPr>
          <w:p w14:paraId="2B48D983">
            <w:pPr>
              <w:spacing w:line="240" w:lineRule="atLeast"/>
              <w:jc w:val="center"/>
              <w:rPr>
                <w:color w:val="000000"/>
                <w:kern w:val="0"/>
                <w:sz w:val="22"/>
              </w:rPr>
            </w:pPr>
            <w:r>
              <w:rPr>
                <w:rFonts w:hint="eastAsia"/>
                <w:color w:val="000000"/>
                <w:kern w:val="0"/>
                <w:sz w:val="22"/>
              </w:rPr>
              <w:t>满意度</w:t>
            </w:r>
          </w:p>
        </w:tc>
        <w:tc>
          <w:tcPr>
            <w:tcW w:w="235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7BA467D8">
            <w:pPr>
              <w:spacing w:line="240" w:lineRule="atLeast"/>
              <w:rPr>
                <w:color w:val="000000"/>
                <w:kern w:val="0"/>
                <w:sz w:val="22"/>
              </w:rPr>
            </w:pPr>
            <w:r>
              <w:rPr>
                <w:rFonts w:hint="eastAsia"/>
                <w:color w:val="000000"/>
                <w:kern w:val="0"/>
                <w:sz w:val="22"/>
              </w:rPr>
              <w:t>社会公众或服务对象对项目实施效果的满意程度。</w:t>
            </w:r>
          </w:p>
        </w:tc>
        <w:tc>
          <w:tcPr>
            <w:tcW w:w="5198"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31FC4D31">
            <w:pPr>
              <w:spacing w:line="240" w:lineRule="atLeast"/>
              <w:rPr>
                <w:rFonts w:hint="eastAsia" w:ascii="宋体" w:hAnsi="宋体"/>
                <w:color w:val="000000"/>
                <w:kern w:val="0"/>
                <w:sz w:val="22"/>
              </w:rPr>
            </w:pPr>
            <w:r>
              <w:rPr>
                <w:rFonts w:hint="eastAsia" w:ascii="宋体" w:hAnsi="宋体"/>
                <w:color w:val="000000"/>
                <w:kern w:val="0"/>
                <w:sz w:val="22"/>
              </w:rPr>
              <w:t>社会公众或服务对象是指因该项目实施而受到影响的部门（单位）、群体或个人。一般采取社会调查的方式。</w:t>
            </w:r>
          </w:p>
        </w:tc>
        <w:tc>
          <w:tcPr>
            <w:tcW w:w="1300"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43668591">
            <w:pPr>
              <w:spacing w:line="240" w:lineRule="atLeast"/>
              <w:jc w:val="center"/>
              <w:rPr>
                <w:b/>
                <w:color w:val="000000"/>
                <w:kern w:val="0"/>
                <w:sz w:val="22"/>
              </w:rPr>
            </w:pPr>
            <w:r>
              <w:rPr>
                <w:rFonts w:ascii="Times New Roman" w:hAnsi="Times New Roman"/>
                <w:b/>
                <w:color w:val="000000"/>
                <w:kern w:val="0"/>
                <w:sz w:val="22"/>
              </w:rPr>
              <w:t>10</w:t>
            </w:r>
          </w:p>
        </w:tc>
        <w:tc>
          <w:tcPr>
            <w:tcW w:w="1363" w:type="dxa"/>
            <w:tcBorders>
              <w:top w:val="single" w:color="000000" w:sz="8" w:space="0"/>
              <w:left w:val="single" w:color="000000" w:sz="8" w:space="0"/>
              <w:bottom w:val="single" w:color="000000" w:sz="8" w:space="0"/>
              <w:right w:val="single" w:color="000000" w:sz="8" w:space="0"/>
            </w:tcBorders>
            <w:shd w:val="clear" w:color="000000" w:fill="FFFFFF"/>
            <w:noWrap w:val="0"/>
            <w:vAlign w:val="center"/>
          </w:tcPr>
          <w:p w14:paraId="77DB2EC3">
            <w:pPr>
              <w:spacing w:line="240" w:lineRule="atLeast"/>
              <w:jc w:val="center"/>
              <w:rPr>
                <w:b/>
                <w:color w:val="000000"/>
                <w:kern w:val="0"/>
                <w:sz w:val="22"/>
              </w:rPr>
            </w:pPr>
            <w:r>
              <w:rPr>
                <w:rFonts w:hint="eastAsia" w:ascii="Times New Roman" w:hAnsi="Times New Roman"/>
                <w:b/>
                <w:color w:val="000000"/>
                <w:kern w:val="0"/>
                <w:sz w:val="22"/>
              </w:rPr>
              <w:t>10</w:t>
            </w:r>
          </w:p>
        </w:tc>
      </w:tr>
    </w:tbl>
    <w:p w14:paraId="50CFC5A8"/>
    <w:p w14:paraId="17771C55">
      <w:pPr>
        <w:jc w:val="left"/>
      </w:pPr>
    </w:p>
    <w:p w14:paraId="4A0A026E"/>
    <w:p w14:paraId="56103B92"/>
    <w:sectPr>
      <w:pgSz w:w="16838" w:h="11906" w:orient="landscape"/>
      <w:pgMar w:top="1800" w:right="1440" w:bottom="1558" w:left="1440" w:header="851" w:footer="992" w:gutter="0"/>
      <w:pgBorders>
        <w:top w:val="none" w:sz="0" w:space="0"/>
        <w:left w:val="none" w:sz="0" w:space="0"/>
        <w:bottom w:val="none" w:sz="0" w:space="0"/>
        <w:right w:val="none" w:sz="0" w:space="0"/>
      </w:pgBorders>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23C6E7">
    <w:pPr>
      <w:pStyle w:val="6"/>
      <w:jc w:val="center"/>
    </w:pPr>
    <w:r>
      <w:fldChar w:fldCharType="begin"/>
    </w:r>
    <w:r>
      <w:instrText xml:space="preserve">PAGE   \* MERGEFORMAT</w:instrText>
    </w:r>
    <w:r>
      <w:fldChar w:fldCharType="separate"/>
    </w:r>
    <w:r>
      <w:rPr>
        <w:lang w:val="zh-CN"/>
      </w:rPr>
      <w:t>13</w:t>
    </w:r>
    <w:r>
      <w:rPr>
        <w:lang w:val="zh-CN"/>
      </w:rPr>
      <w:fldChar w:fldCharType="end"/>
    </w:r>
  </w:p>
  <w:p w14:paraId="1E45F3F7">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5NzM4MDAwODlkYzk3NzBmNWU3NzAwZDJkOGUxNzMifQ=="/>
  </w:docVars>
  <w:rsids>
    <w:rsidRoot w:val="00000000"/>
    <w:rsid w:val="0BD87233"/>
    <w:rsid w:val="181D0DEF"/>
    <w:rsid w:val="2AFB29E1"/>
    <w:rsid w:val="2F1434AE"/>
    <w:rsid w:val="3B0F1286"/>
    <w:rsid w:val="3E9F0CA3"/>
    <w:rsid w:val="53215565"/>
    <w:rsid w:val="62DF5D35"/>
    <w:rsid w:val="6C6770B8"/>
    <w:rsid w:val="71A4709A"/>
    <w:rsid w:val="757A7E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Wingdings" w:hAnsi="Wingdings"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hint="default" w:ascii="Cambria" w:hAnsi="Cambria"/>
      <w:b/>
      <w:kern w:val="28"/>
      <w:sz w:val="32"/>
      <w:szCs w:val="24"/>
    </w:rPr>
  </w:style>
  <w:style w:type="paragraph" w:styleId="3">
    <w:name w:val="Normal Indent"/>
    <w:basedOn w:val="1"/>
    <w:unhideWhenUsed/>
    <w:qFormat/>
    <w:uiPriority w:val="99"/>
    <w:pPr>
      <w:ind w:firstLine="420" w:firstLineChars="200"/>
    </w:pPr>
    <w:rPr>
      <w:rFonts w:hint="default"/>
      <w:sz w:val="21"/>
      <w:szCs w:val="24"/>
    </w:rPr>
  </w:style>
  <w:style w:type="paragraph" w:styleId="4">
    <w:name w:val="Body Text"/>
    <w:basedOn w:val="1"/>
    <w:unhideWhenUsed/>
    <w:qFormat/>
    <w:uiPriority w:val="0"/>
    <w:pPr>
      <w:spacing w:after="120"/>
    </w:pPr>
    <w:rPr>
      <w:rFonts w:hint="default"/>
      <w:sz w:val="21"/>
      <w:szCs w:val="24"/>
    </w:rPr>
  </w:style>
  <w:style w:type="paragraph" w:styleId="5">
    <w:name w:val="Body Text Indent"/>
    <w:basedOn w:val="1"/>
    <w:unhideWhenUsed/>
    <w:qFormat/>
    <w:uiPriority w:val="0"/>
    <w:pPr>
      <w:spacing w:after="120"/>
      <w:ind w:left="420" w:leftChars="200"/>
    </w:pPr>
    <w:rPr>
      <w:rFonts w:hint="default" w:ascii="Calibri" w:hAnsi="Calibri"/>
      <w:sz w:val="21"/>
      <w:szCs w:val="24"/>
    </w:rPr>
  </w:style>
  <w:style w:type="paragraph" w:styleId="6">
    <w:name w:val="footer"/>
    <w:basedOn w:val="1"/>
    <w:unhideWhenUsed/>
    <w:qFormat/>
    <w:uiPriority w:val="99"/>
    <w:pPr>
      <w:tabs>
        <w:tab w:val="center" w:pos="4153"/>
        <w:tab w:val="right" w:pos="8306"/>
      </w:tabs>
      <w:snapToGrid w:val="0"/>
      <w:jc w:val="left"/>
    </w:pPr>
    <w:rPr>
      <w:rFonts w:hint="default" w:ascii="Calibri" w:hAnsi="Calibri"/>
      <w:sz w:val="18"/>
      <w:szCs w:val="24"/>
    </w:rPr>
  </w:style>
  <w:style w:type="paragraph" w:styleId="7">
    <w:name w:val="Body Text First Indent"/>
    <w:basedOn w:val="4"/>
    <w:unhideWhenUsed/>
    <w:qFormat/>
    <w:uiPriority w:val="0"/>
    <w:pPr>
      <w:spacing w:after="0"/>
      <w:ind w:firstLine="200" w:firstLineChars="200"/>
    </w:pPr>
    <w:rPr>
      <w:rFonts w:hint="default"/>
      <w:sz w:val="21"/>
      <w:szCs w:val="24"/>
    </w:rPr>
  </w:style>
  <w:style w:type="paragraph" w:styleId="8">
    <w:name w:val="Body Text First Indent 2"/>
    <w:basedOn w:val="5"/>
    <w:unhideWhenUsed/>
    <w:qFormat/>
    <w:uiPriority w:val="0"/>
    <w:pPr>
      <w:ind w:firstLine="420" w:firstLineChars="200"/>
    </w:pPr>
    <w:rPr>
      <w:rFonts w:hint="default"/>
      <w:sz w:val="21"/>
      <w:szCs w:val="24"/>
    </w:rPr>
  </w:style>
  <w:style w:type="character" w:styleId="11">
    <w:name w:val="Strong"/>
    <w:qFormat/>
    <w:uiPriority w:val="0"/>
    <w:rPr>
      <w:rFonts w:hint="default"/>
      <w:b/>
      <w:sz w:val="24"/>
      <w:szCs w:val="24"/>
    </w:rPr>
  </w:style>
  <w:style w:type="paragraph" w:customStyle="1" w:styleId="12">
    <w:name w:val="闻政-正文段落文字"/>
    <w:basedOn w:val="1"/>
    <w:unhideWhenUsed/>
    <w:qFormat/>
    <w:uiPriority w:val="3"/>
    <w:pPr>
      <w:spacing w:line="500" w:lineRule="exact"/>
      <w:ind w:firstLine="200"/>
    </w:pPr>
    <w:rPr>
      <w:rFonts w:hint="default"/>
      <w:kern w:val="0"/>
      <w:sz w:val="21"/>
      <w:szCs w:val="24"/>
    </w:rPr>
  </w:style>
  <w:style w:type="character" w:customStyle="1" w:styleId="13">
    <w:name w:val="fontstyle01"/>
    <w:unhideWhenUsed/>
    <w:qFormat/>
    <w:uiPriority w:val="0"/>
    <w:rPr>
      <w:rFonts w:hint="eastAsia" w:ascii="仿宋_GB2312" w:hAnsi="仿宋_GB2312" w:eastAsia="仿宋_GB2312"/>
      <w:color w:val="000000"/>
      <w:sz w:val="32"/>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10491</Words>
  <Characters>10907</Characters>
  <Lines>0</Lines>
  <Paragraphs>0</Paragraphs>
  <TotalTime>71</TotalTime>
  <ScaleCrop>false</ScaleCrop>
  <LinksUpToDate>false</LinksUpToDate>
  <CharactersWithSpaces>10932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2024-08-25T05:26:00Z</dcterms:created>
  <dc:creator>xiao'xiao</dc:creator>
  <cp:lastModifiedBy>默</cp:lastModifiedBy>
  <dcterms:modified xsi:type="dcterms:W3CDTF">2024-08-26T11:13:57Z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BE4005F6C7D84CB484AC9AB176E76681_12</vt:lpwstr>
  </property>
</Properties>
</file>