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一般公共预算</w:t>
      </w:r>
      <w:r>
        <w:rPr>
          <w:rFonts w:eastAsia="方正小标宋_GBK"/>
          <w:kern w:val="0"/>
          <w:sz w:val="48"/>
          <w:szCs w:val="48"/>
        </w:rPr>
        <w:t>资金项目支出绩效评价</w:t>
      </w:r>
    </w:p>
    <w:p>
      <w:pPr>
        <w:spacing w:line="540" w:lineRule="exact"/>
        <w:jc w:val="center"/>
        <w:rPr>
          <w:rFonts w:eastAsia="方正小标宋_GBK"/>
          <w:kern w:val="0"/>
          <w:sz w:val="48"/>
          <w:szCs w:val="48"/>
        </w:rPr>
      </w:pPr>
      <w:r>
        <w:rPr>
          <w:rFonts w:eastAsia="方正小标宋_GBK"/>
          <w:kern w:val="0"/>
          <w:sz w:val="48"/>
          <w:szCs w:val="48"/>
        </w:rPr>
        <w:t>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（2023年度）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2"/>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left="2669" w:leftChars="414" w:hanging="1800" w:hangingChars="5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 xml:space="preserve">生态环境厅第六生态环境监察专员 </w:t>
      </w:r>
      <w:r>
        <w:rPr>
          <w:rFonts w:eastAsia="仿宋_GB2312"/>
          <w:kern w:val="0"/>
          <w:sz w:val="36"/>
          <w:szCs w:val="36"/>
        </w:rPr>
        <w:t xml:space="preserve"> </w:t>
      </w:r>
      <w:r>
        <w:rPr>
          <w:rFonts w:hint="eastAsia" w:eastAsia="仿宋_GB2312"/>
          <w:kern w:val="0"/>
          <w:sz w:val="36"/>
          <w:szCs w:val="36"/>
        </w:rPr>
        <w:t>办公室环境监察专项</w:t>
      </w:r>
    </w:p>
    <w:p>
      <w:pPr>
        <w:spacing w:line="700" w:lineRule="exact"/>
        <w:ind w:left="2669" w:leftChars="414" w:hanging="1800" w:hangingChars="5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 xml:space="preserve">新疆维吾尔自治区生态环 </w:t>
      </w:r>
      <w:r>
        <w:rPr>
          <w:rFonts w:eastAsia="仿宋_GB2312"/>
          <w:kern w:val="0"/>
          <w:sz w:val="36"/>
          <w:szCs w:val="36"/>
        </w:rPr>
        <w:t xml:space="preserve">   </w:t>
      </w:r>
      <w:r>
        <w:rPr>
          <w:rFonts w:hint="eastAsia" w:eastAsia="仿宋_GB2312"/>
          <w:kern w:val="0"/>
          <w:sz w:val="36"/>
          <w:szCs w:val="36"/>
        </w:rPr>
        <w:t>境厅第六生态环境监察专员办公室</w:t>
      </w:r>
    </w:p>
    <w:p>
      <w:pPr>
        <w:spacing w:line="700" w:lineRule="exact"/>
        <w:ind w:left="2669" w:leftChars="414" w:hanging="1800" w:hangingChars="500"/>
        <w:jc w:val="left"/>
        <w:rPr>
          <w:rFonts w:eastAsia="仿宋_GB2312"/>
          <w:w w:val="90"/>
          <w:kern w:val="0"/>
          <w:sz w:val="36"/>
          <w:szCs w:val="36"/>
        </w:rPr>
      </w:pPr>
      <w:r>
        <w:rPr>
          <w:rFonts w:eastAsia="仿宋_GB2312"/>
          <w:kern w:val="0"/>
          <w:sz w:val="36"/>
          <w:szCs w:val="36"/>
        </w:rPr>
        <w:t>主管部门（公章）：</w:t>
      </w:r>
      <w:r>
        <w:rPr>
          <w:rFonts w:hint="eastAsia" w:eastAsia="仿宋_GB2312"/>
          <w:w w:val="90"/>
          <w:kern w:val="0"/>
          <w:sz w:val="36"/>
          <w:szCs w:val="36"/>
        </w:rPr>
        <w:t>新疆维吾尔自治区生态环境厅</w:t>
      </w:r>
    </w:p>
    <w:p>
      <w:pPr>
        <w:spacing w:line="700" w:lineRule="exact"/>
        <w:ind w:left="2669" w:leftChars="414" w:hanging="1800" w:hangingChars="5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周军</w:t>
      </w:r>
    </w:p>
    <w:p>
      <w:pPr>
        <w:spacing w:line="700" w:lineRule="exact"/>
        <w:ind w:firstLine="849" w:firstLineChars="236"/>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2024年2月23日</w:t>
      </w:r>
    </w:p>
    <w:p>
      <w:pPr>
        <w:spacing w:line="540" w:lineRule="exact"/>
        <w:jc w:val="center"/>
        <w:rPr>
          <w:rFonts w:eastAsia="仿宋_GB2312"/>
          <w:kern w:val="0"/>
          <w:sz w:val="30"/>
          <w:szCs w:val="30"/>
        </w:rPr>
      </w:pPr>
    </w:p>
    <w:p>
      <w:pPr>
        <w:spacing w:line="540" w:lineRule="exact"/>
        <w:rPr>
          <w:rStyle w:val="15"/>
          <w:rFonts w:eastAsia="黑体"/>
          <w:b w:val="0"/>
          <w:spacing w:val="-4"/>
          <w:sz w:val="32"/>
          <w:szCs w:val="32"/>
        </w:rPr>
      </w:pPr>
    </w:p>
    <w:p>
      <w:pPr>
        <w:spacing w:line="560" w:lineRule="exact"/>
        <w:ind w:firstLine="640" w:firstLineChars="200"/>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w:t>
      </w:r>
      <w:r>
        <w:rPr>
          <w:rFonts w:hint="eastAsia" w:eastAsia="仿宋_GB2312"/>
          <w:b/>
          <w:bCs/>
          <w:sz w:val="32"/>
          <w:szCs w:val="32"/>
        </w:rPr>
        <w:t>、</w:t>
      </w:r>
      <w:r>
        <w:rPr>
          <w:rFonts w:eastAsia="仿宋_GB2312"/>
          <w:b/>
          <w:bCs/>
          <w:sz w:val="32"/>
          <w:szCs w:val="32"/>
        </w:rPr>
        <w:t>项目背景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2019年自治区生态环境厅在全疆设立六个监察专员办公室。新疆维吾尔自治区生态环境厅第六生态环境监察专员办公室根据《关于自治区生态环境厅6个生态环境监察专员办公室编制和具体职责的批复》（新党编办</w:t>
      </w:r>
      <w:r>
        <w:rPr>
          <w:rFonts w:eastAsia="仿宋_GB2312"/>
          <w:kern w:val="0"/>
          <w:sz w:val="32"/>
          <w:szCs w:val="32"/>
        </w:rPr>
        <w:t>〔</w:t>
      </w:r>
      <w:r>
        <w:rPr>
          <w:rFonts w:hint="eastAsia" w:ascii="仿宋_GB2312" w:eastAsia="仿宋_GB2312"/>
          <w:sz w:val="32"/>
          <w:szCs w:val="32"/>
        </w:rPr>
        <w:t>2019</w:t>
      </w:r>
      <w:r>
        <w:rPr>
          <w:rFonts w:eastAsia="仿宋_GB2312"/>
          <w:kern w:val="0"/>
          <w:sz w:val="32"/>
          <w:szCs w:val="32"/>
        </w:rPr>
        <w:t>〕</w:t>
      </w:r>
      <w:r>
        <w:rPr>
          <w:rFonts w:hint="eastAsia" w:ascii="仿宋_GB2312" w:eastAsia="仿宋_GB2312"/>
          <w:sz w:val="32"/>
          <w:szCs w:val="32"/>
        </w:rPr>
        <w:t>59号）要求，我办负责对克州、喀什地区、和田地区党委、政府及相关部门履行生态环境保护责任情况，生态环境保护法律法规、标准、政策、规划执行情况，生态环境保护一岗双责落实情况，以及生态环境质量落实情况进行监督检查；承担生态环境损害责任追究相关协调配合工作；配合自治区生态环境保护督察组开展定期督查，并对督察整改落实情况进行督导等。</w:t>
      </w:r>
    </w:p>
    <w:p>
      <w:pPr>
        <w:pStyle w:val="2"/>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ind w:firstLine="640" w:firstLineChars="200"/>
        <w:rPr>
          <w:rFonts w:ascii="宋体" w:hAnsi="宋体" w:cs="宋体"/>
          <w:color w:val="000000"/>
          <w:kern w:val="0"/>
          <w:szCs w:val="21"/>
        </w:rPr>
      </w:pPr>
      <w:r>
        <w:rPr>
          <w:rFonts w:hint="eastAsia" w:ascii="仿宋_GB2312" w:hAnsi="仿宋_GB2312" w:eastAsia="仿宋_GB2312" w:cs="仿宋_GB2312"/>
          <w:color w:val="000000" w:themeColor="text1"/>
          <w:sz w:val="32"/>
          <w:szCs w:val="32"/>
          <w14:textFill>
            <w14:solidFill>
              <w14:schemeClr w14:val="tx1"/>
            </w14:solidFill>
          </w14:textFill>
        </w:rPr>
        <w:t>项目主要内容：根据生态环境监察专员办公室职责，202</w:t>
      </w:r>
      <w:r>
        <w:rPr>
          <w:rFonts w:ascii="仿宋_GB2312" w:hAnsi="仿宋_GB2312" w:eastAsia="仿宋_GB2312" w:cs="仿宋_GB2312"/>
          <w:color w:val="000000" w:themeColor="text1"/>
          <w:sz w:val="32"/>
          <w:szCs w:val="32"/>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年第六生态环境监察专员办公室开展克州、喀什、和田地区生态环境监察工作，突出第二轮中央环保督察“回头看”、配合自治区环保督察开展现场监察和日常督导等重点工作，同时根据中央生态环境保护督察涉及到的整改任务，督促辖区各地州生态环境保护工</w:t>
      </w:r>
      <w:r>
        <w:rPr>
          <w:rFonts w:hint="eastAsia" w:ascii="仿宋_GB2312" w:hAnsi="仿宋_GB2312" w:eastAsia="仿宋_GB2312" w:cs="仿宋_GB2312"/>
          <w:sz w:val="32"/>
          <w:szCs w:val="32"/>
        </w:rPr>
        <w:t>作持续改善，覆盖生态环境监察区域3个，形成督察检查专项报告及整改情况报告3次，监督（监察）频次</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次，报告质量通过率和区域覆盖率达到100%，持续开展生态环境保护监察、督察工作，不断构建新型生态环境保护监察体系，开展以上工作产生的费用共计90万元。</w:t>
      </w:r>
    </w:p>
    <w:p>
      <w:pPr>
        <w:spacing w:line="560" w:lineRule="exact"/>
        <w:ind w:firstLine="640" w:firstLineChars="200"/>
        <w:rPr>
          <w:rFonts w:eastAsia="仿宋_GB2312"/>
          <w:sz w:val="32"/>
          <w:szCs w:val="32"/>
        </w:rPr>
      </w:pPr>
      <w:r>
        <w:rPr>
          <w:rFonts w:eastAsia="仿宋_GB2312"/>
          <w:sz w:val="32"/>
          <w:szCs w:val="32"/>
        </w:rPr>
        <w:t>项目实施情况：</w:t>
      </w:r>
    </w:p>
    <w:p>
      <w:pPr>
        <w:spacing w:line="560" w:lineRule="exact"/>
        <w:ind w:firstLine="640" w:firstLineChars="200"/>
        <w:rPr>
          <w:rFonts w:ascii="仿宋_GB2312" w:hAnsi="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中央生态环境保护督察整改任务“回头看”工作方面：按照《新疆维吾尔自治区和新疆生产建设兵团贯彻落实第二轮中央生态环境保护督察报告整改方案》要求，四次配合自治区督导三组对克州、喀什、和田3个地（州）进行了下沉督导调研，</w:t>
      </w:r>
      <w:r>
        <w:rPr>
          <w:rStyle w:val="23"/>
          <w:rFonts w:hint="eastAsia" w:ascii="仿宋_GB2312" w:hAnsi="仿宋_GB2312"/>
          <w:sz w:val="32"/>
          <w:szCs w:val="32"/>
        </w:rPr>
        <w:t>对南疆三地（州）第二轮中央生态环境</w:t>
      </w:r>
      <w:r>
        <w:rPr>
          <w:rStyle w:val="23"/>
          <w:rFonts w:hint="eastAsia" w:ascii="仿宋_GB2312" w:hAnsi="仿宋_GB2312" w:cs="仿宋_GB2312"/>
          <w:sz w:val="32"/>
          <w:szCs w:val="32"/>
        </w:rPr>
        <w:t>保护督察主动认领的29项整改任务（喀什地区10项、克州9项、和田地区10项）</w:t>
      </w:r>
      <w:r>
        <w:rPr>
          <w:rStyle w:val="23"/>
          <w:rFonts w:ascii="仿宋_GB2312" w:hAnsi="仿宋_GB2312"/>
          <w:sz w:val="32"/>
          <w:szCs w:val="32"/>
        </w:rPr>
        <w:t>做到</w:t>
      </w:r>
      <w:r>
        <w:rPr>
          <w:rStyle w:val="23"/>
          <w:rFonts w:hint="eastAsia" w:ascii="仿宋_GB2312" w:hAnsi="仿宋_GB2312"/>
          <w:sz w:val="32"/>
          <w:szCs w:val="32"/>
        </w:rPr>
        <w:t>了现场督导</w:t>
      </w:r>
      <w:r>
        <w:rPr>
          <w:rStyle w:val="23"/>
          <w:rFonts w:ascii="仿宋_GB2312" w:hAnsi="仿宋_GB2312"/>
          <w:sz w:val="32"/>
          <w:szCs w:val="32"/>
        </w:rPr>
        <w:t>全覆盖</w:t>
      </w:r>
      <w:r>
        <w:rPr>
          <w:rStyle w:val="23"/>
          <w:rFonts w:hint="eastAsia" w:ascii="仿宋_GB2312" w:hAnsi="仿宋_GB2312"/>
          <w:sz w:val="32"/>
          <w:szCs w:val="32"/>
        </w:rPr>
        <w:t>。</w:t>
      </w:r>
      <w:r>
        <w:rPr>
          <w:rFonts w:hint="eastAsia" w:ascii="仿宋_GB2312" w:hAnsi="仿宋_GB2312" w:eastAsia="仿宋_GB2312" w:cs="仿宋_GB2312"/>
          <w:sz w:val="32"/>
          <w:szCs w:val="32"/>
        </w:rPr>
        <w:t>通过听取汇报、召开座谈会、调阅资料、现场抽查、组内讨论等方式，累计调阅了34个地（州）直部门24个县（市）近3000份整改档案材料，与南疆三地（州）整改办、28个整改任务较重的地（州）直部门和6个县（市）进行了座谈，现场督导103个点位，</w:t>
      </w:r>
      <w:r>
        <w:rPr>
          <w:rStyle w:val="23"/>
          <w:rFonts w:hint="eastAsia" w:ascii="仿宋_GB2312" w:hAnsi="仿宋_GB2312" w:cs="仿宋_GB2312"/>
          <w:sz w:val="32"/>
          <w:szCs w:val="32"/>
        </w:rPr>
        <w:t>累计向南疆三地（州）整改办致反馈函12份，指出</w:t>
      </w:r>
      <w:r>
        <w:rPr>
          <w:rFonts w:hint="eastAsia" w:ascii="仿宋_GB2312" w:hAnsi="仿宋_GB2312" w:eastAsia="仿宋_GB2312" w:cs="仿宋_GB2312"/>
          <w:sz w:val="32"/>
          <w:szCs w:val="32"/>
        </w:rPr>
        <w:t>存在的各类问题114个（克州32个，喀什地区39个，和田地区43个）</w:t>
      </w:r>
      <w:r>
        <w:rPr>
          <w:rFonts w:hint="eastAsia" w:ascii="仿宋_GB2312" w:hAnsi="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Style w:val="23"/>
          <w:rFonts w:hint="eastAsia" w:ascii="仿宋_GB2312" w:hAnsi="仿宋_GB2312" w:cs="仿宋_GB2312"/>
          <w:bCs/>
          <w:sz w:val="32"/>
          <w:szCs w:val="32"/>
        </w:rPr>
        <w:t>2</w:t>
      </w:r>
      <w:r>
        <w:rPr>
          <w:rStyle w:val="23"/>
          <w:rFonts w:ascii="仿宋_GB2312" w:hAnsi="仿宋_GB2312" w:cs="仿宋_GB2312"/>
          <w:bCs/>
          <w:sz w:val="32"/>
          <w:szCs w:val="32"/>
        </w:rPr>
        <w:t>.</w:t>
      </w:r>
      <w:r>
        <w:rPr>
          <w:rStyle w:val="23"/>
          <w:rFonts w:hint="eastAsia" w:ascii="仿宋_GB2312" w:hAnsi="仿宋_GB2312" w:cs="仿宋_GB2312"/>
          <w:bCs/>
          <w:sz w:val="32"/>
          <w:szCs w:val="32"/>
        </w:rPr>
        <w:t>自治区党委生态环境保护督察对喀什地区例行督察工作方面：</w:t>
      </w:r>
      <w:r>
        <w:rPr>
          <w:rFonts w:hint="eastAsia" w:ascii="仿宋_GB2312" w:hAnsi="仿宋_GB2312" w:eastAsia="仿宋_GB2312" w:cs="仿宋_GB2312"/>
          <w:sz w:val="32"/>
          <w:szCs w:val="32"/>
        </w:rPr>
        <w:t>高</w:t>
      </w:r>
      <w:r>
        <w:rPr>
          <w:rStyle w:val="23"/>
          <w:rFonts w:hint="eastAsia" w:ascii="仿宋_GB2312" w:hAnsi="仿宋_GB2312" w:cs="仿宋_GB2312"/>
          <w:bCs/>
          <w:sz w:val="32"/>
          <w:szCs w:val="32"/>
        </w:rPr>
        <w:t>度重视自治区生态环境</w:t>
      </w:r>
      <w:r>
        <w:rPr>
          <w:rFonts w:hint="eastAsia" w:ascii="仿宋_GB2312" w:hAnsi="仿宋_GB2312" w:eastAsia="仿宋_GB2312" w:cs="仿宋_GB2312"/>
          <w:sz w:val="32"/>
          <w:szCs w:val="32"/>
        </w:rPr>
        <w:t>保护例行督察工作。一是开展了3批次90余天明察暗访工作</w:t>
      </w:r>
      <w:r>
        <w:rPr>
          <w:rFonts w:hint="eastAsia" w:ascii="仿宋_GB2312" w:hAnsi="仿宋_GB2312" w:cs="仿宋_GB2312"/>
          <w:sz w:val="32"/>
          <w:szCs w:val="32"/>
        </w:rPr>
        <w:t>，</w:t>
      </w:r>
      <w:r>
        <w:rPr>
          <w:rFonts w:hint="eastAsia" w:ascii="仿宋_GB2312" w:hAnsi="仿宋_GB2312" w:eastAsia="仿宋_GB2312" w:cs="仿宋_GB2312"/>
          <w:sz w:val="32"/>
          <w:szCs w:val="32"/>
        </w:rPr>
        <w:t>核查点位140余个，发现各类问题线索93条，对喀什地区</w:t>
      </w:r>
      <w:r>
        <w:rPr>
          <w:rFonts w:hint="eastAsia" w:ascii="仿宋_GB2312" w:hAnsi="仿宋_GB2312" w:cs="仿宋_GB2312"/>
          <w:sz w:val="32"/>
          <w:szCs w:val="32"/>
        </w:rPr>
        <w:t>12个</w:t>
      </w:r>
      <w:r>
        <w:rPr>
          <w:rFonts w:hint="eastAsia" w:ascii="仿宋_GB2312" w:hAnsi="仿宋_GB2312" w:eastAsia="仿宋_GB2312" w:cs="仿宋_GB2312"/>
          <w:sz w:val="32"/>
          <w:szCs w:val="32"/>
        </w:rPr>
        <w:t>县（市）的重点区域</w:t>
      </w:r>
      <w:r>
        <w:rPr>
          <w:rFonts w:hint="eastAsia" w:ascii="仿宋_GB2312" w:hAnsi="仿宋_GB2312" w:cs="仿宋_GB2312"/>
          <w:sz w:val="32"/>
          <w:szCs w:val="32"/>
        </w:rPr>
        <w:t>、</w:t>
      </w:r>
      <w:r>
        <w:rPr>
          <w:rFonts w:hint="eastAsia" w:ascii="仿宋_GB2312" w:hAnsi="仿宋_GB2312" w:eastAsia="仿宋_GB2312" w:cs="仿宋_GB2312"/>
          <w:sz w:val="32"/>
          <w:szCs w:val="32"/>
        </w:rPr>
        <w:t>重点企业基本做到了全覆盖。二是前期摸排期间累计核查点位312个，新发现问题线索36条。三是与13名在职厅级领导、6名重点县市主要负责同志进行个别谈话，对9个地区相关部门和单位开展走访问询，调查问询有关部门单位负责人38人次。四是向喀什地区调阅6批共4000余份资料，确定9个方面23个具体问题线索，分3个工作组下沉至喀什地区12个县（市）开展问题线索深入调查和核实取证，现场检查点位346个。五是受理转办群众来电来信举报39件，对26件重点信访投诉件开展跟踪督办并回访群众，形成7个典型案例及1篇督察报告报厅党组审阅。六是督察报告反馈了喀什地区存在的4个方面15个突出问题已被喀什地委、行署照单全收，并细化了5个方面24项主要整改任务。截至2023年12月10日，督察组交办的39件群众信访投诉件已办结39件，责令企业整改23家，立案处罚10家，罚款金额93.162万元，督察反馈喀什地区问题正在有序整改中。</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万元，全年预算数</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万元，实际总投入</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万元，该项目资金已全部落实到位，资金来源为一般公共预算资金。</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该项目年初预算数9</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万元，全年预算数</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万元,，全年执行数</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万元，预算执行率为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%，主要用于：根据职责在克州、和田地区和喀什地区开展生态环境督察监察。</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spacing w:line="560" w:lineRule="exact"/>
        <w:ind w:firstLine="640" w:firstLineChars="200"/>
        <w:rPr>
          <w:rFonts w:eastAsia="黑体"/>
          <w:bCs/>
        </w:rPr>
      </w:pPr>
      <w:r>
        <w:rPr>
          <w:rFonts w:hint="eastAsia" w:ascii="仿宋_GB2312" w:hAnsi="仿宋_GB2312" w:eastAsia="仿宋_GB2312" w:cs="仿宋_GB2312"/>
          <w:sz w:val="32"/>
          <w:szCs w:val="32"/>
        </w:rPr>
        <w:t>根据生态环境监察专员办公室职责，2023年新疆维吾尔自治区生态环境厅第六生态环境监察专员办公室开展喀什地区、克州、和田地区生态环境保护监察工作，聚焦第二轮中央生态环境督察“回头看”，开展第二轮中央生态环境督察和自治区生态环境保护督察整改任务和自治区级生态环境保护督察和督导工作任务，着力做好涉及喀什地区、克州、和田地区生态环境保护督察任务，不断促进辖区生态环境保护质量持续改善，覆盖生态环境监察区域3个，形成督察检查专项报告及整改情况报告3次，监察频次</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次，报告质量通过率和区域覆盖率达到100%。持续开展生态环境保护监察、督察工作，督促当地生态环境保护工作持续改善，不断构建新型生态环境保护监察体系。</w:t>
      </w:r>
    </w:p>
    <w:p>
      <w:pPr>
        <w:spacing w:line="560" w:lineRule="exact"/>
        <w:ind w:firstLine="640" w:firstLineChars="200"/>
        <w:rPr>
          <w:rFonts w:ascii="仿宋_GB2312" w:hAnsi="仿宋_GB2312" w:eastAsia="仿宋_GB2312" w:cs="仿宋_GB2312"/>
          <w:color w:val="FF0000"/>
          <w:sz w:val="30"/>
          <w:szCs w:val="30"/>
        </w:rPr>
      </w:pPr>
      <w:r>
        <w:rPr>
          <w:rFonts w:eastAsia="仿宋_GB2312"/>
          <w:sz w:val="32"/>
          <w:szCs w:val="32"/>
        </w:rPr>
        <w:t>2、阶段性目标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前期准备：通过制定月度项目实施计划，经我办全体大会通过后，有序开展后续项目。</w:t>
      </w:r>
    </w:p>
    <w:p>
      <w:pPr>
        <w:spacing w:line="560" w:lineRule="exact"/>
        <w:ind w:firstLine="640" w:firstLineChars="200"/>
        <w:rPr>
          <w:rFonts w:eastAsia="黑体"/>
          <w:bCs/>
        </w:rPr>
      </w:pPr>
      <w:r>
        <w:rPr>
          <w:rFonts w:hint="eastAsia" w:ascii="仿宋_GB2312" w:hAnsi="仿宋_GB2312" w:eastAsia="仿宋_GB2312" w:cs="仿宋_GB2312"/>
          <w:sz w:val="32"/>
          <w:szCs w:val="32"/>
        </w:rPr>
        <w:t>组织实施：资金一到位，立即根据项目要求实施计划。按照要求逐一进行项目部署安排，提高项目质量及效率性。</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8"/>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ascii="仿宋_GB2312" w:hAnsi="仿宋_GB2312" w:eastAsia="仿宋_GB2312" w:cs="仿宋_GB2312"/>
          <w:sz w:val="32"/>
          <w:szCs w:val="32"/>
        </w:rPr>
      </w:pPr>
      <w:r>
        <w:rPr>
          <w:rFonts w:hint="eastAsia" w:eastAsia="仿宋_GB2312"/>
          <w:kern w:val="0"/>
          <w:sz w:val="32"/>
          <w:szCs w:val="32"/>
        </w:rPr>
        <w:t>生态环境厅第六生态环境监察专员办公室环境监察专项项目所包含的全部</w:t>
      </w:r>
      <w:r>
        <w:rPr>
          <w:rFonts w:hint="eastAsia" w:ascii="仿宋_GB2312" w:hAnsi="仿宋_GB2312" w:eastAsia="仿宋_GB2312" w:cs="仿宋_GB2312"/>
          <w:sz w:val="32"/>
          <w:szCs w:val="32"/>
        </w:rPr>
        <w:t>项目内容。</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eastAsia="仿宋_GB2312"/>
          <w:kern w:val="0"/>
          <w:sz w:val="32"/>
          <w:szCs w:val="32"/>
        </w:rPr>
        <w:t>生态环境厅第六生态环境监察专员办公室环境监察专项项目</w:t>
      </w:r>
      <w:r>
        <w:rPr>
          <w:rFonts w:hint="eastAsia" w:ascii="仿宋_GB2312" w:hAnsi="仿宋_GB2312" w:eastAsia="仿宋_GB2312" w:cs="仿宋_GB2312"/>
          <w:sz w:val="32"/>
          <w:szCs w:val="32"/>
        </w:rPr>
        <w:t>进行评价，评价核心为专项资金的支出完成情况和效果。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640" w:firstLineChars="200"/>
        <w:rPr>
          <w:rFonts w:eastAsia="仿宋_GB2312"/>
          <w:bCs/>
          <w:sz w:val="32"/>
          <w:szCs w:val="32"/>
        </w:rPr>
      </w:pPr>
      <w:r>
        <w:rPr>
          <w:rFonts w:hint="eastAsia" w:eastAsia="仿宋_GB2312"/>
          <w:bCs/>
          <w:sz w:val="32"/>
          <w:szCs w:val="32"/>
        </w:rPr>
        <w:t>绩效评价标准通常包括计划标准、行业标准、历史标准等，用于对绩效指标完成情况进行比较、分析、评价。本次评价主要采用了计划标准。</w:t>
      </w:r>
    </w:p>
    <w:p>
      <w:pPr>
        <w:spacing w:line="560" w:lineRule="exact"/>
        <w:ind w:firstLine="640" w:firstLineChars="200"/>
        <w:rPr>
          <w:rFonts w:eastAsia="仿宋_GB2312"/>
          <w:bCs/>
          <w:sz w:val="32"/>
          <w:szCs w:val="32"/>
        </w:rPr>
      </w:pPr>
      <w:bookmarkStart w:id="0" w:name="_Toc31464"/>
      <w:bookmarkStart w:id="1" w:name="_Toc17882"/>
      <w:r>
        <w:rPr>
          <w:rFonts w:hint="eastAsia" w:eastAsia="仿宋_GB2312"/>
          <w:bCs/>
          <w:sz w:val="32"/>
          <w:szCs w:val="32"/>
        </w:rPr>
        <w:t>计划标准：指以预先制定的目标、计划、预算、定额等作为评价标准。</w:t>
      </w:r>
      <w:bookmarkEnd w:id="0"/>
      <w:bookmarkEnd w:id="1"/>
    </w:p>
    <w:p>
      <w:pPr>
        <w:spacing w:line="560" w:lineRule="exact"/>
        <w:ind w:firstLine="640" w:firstLineChars="200"/>
        <w:rPr>
          <w:rFonts w:eastAsia="仿宋_GB2312"/>
          <w:bCs/>
          <w:sz w:val="32"/>
          <w:szCs w:val="32"/>
        </w:rPr>
      </w:pPr>
      <w:bookmarkStart w:id="2" w:name="_Toc2318"/>
      <w:bookmarkStart w:id="3" w:name="_Toc5633"/>
      <w:r>
        <w:rPr>
          <w:rFonts w:hint="eastAsia" w:eastAsia="仿宋_GB2312"/>
          <w:bCs/>
          <w:sz w:val="32"/>
          <w:szCs w:val="32"/>
        </w:rPr>
        <w:t>行业标准：指参照国家公布的行业指标数据制定的评价标准。</w:t>
      </w:r>
      <w:bookmarkEnd w:id="2"/>
      <w:bookmarkEnd w:id="3"/>
    </w:p>
    <w:p>
      <w:pPr>
        <w:spacing w:line="560" w:lineRule="exact"/>
        <w:ind w:firstLine="640" w:firstLineChars="200"/>
        <w:rPr>
          <w:rFonts w:eastAsia="方正仿宋_GBK" w:cs="方正仿宋_GBK"/>
          <w:sz w:val="32"/>
          <w:szCs w:val="32"/>
        </w:rPr>
      </w:pPr>
      <w:bookmarkStart w:id="4" w:name="_Toc430"/>
      <w:bookmarkStart w:id="5" w:name="_Toc16028"/>
      <w:r>
        <w:rPr>
          <w:rFonts w:hint="eastAsia" w:eastAsia="仿宋_GB2312"/>
          <w:bCs/>
          <w:sz w:val="32"/>
          <w:szCs w:val="32"/>
        </w:rPr>
        <w:t>历史标准：指参照历史数据制定的评价标准，为体现绩效改进的原则，在可实现的条件下应当确定相对较高的评价标准。</w:t>
      </w:r>
      <w:bookmarkEnd w:id="4"/>
      <w:bookmarkEnd w:id="5"/>
    </w:p>
    <w:p>
      <w:pPr>
        <w:pStyle w:val="2"/>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ascii="Times New Roman" w:hAnsi="Times New Roman" w:eastAsia="仿宋_GB2312"/>
          <w:b w:val="0"/>
          <w:bCs w:val="0"/>
        </w:rPr>
        <w:t>100</w:t>
      </w:r>
      <w:r>
        <w:rPr>
          <w:rFonts w:hint="eastAsia" w:ascii="Times New Roman" w:hAnsi="Times New Roman" w:eastAsia="仿宋_GB2312"/>
          <w:b w:val="0"/>
          <w:bCs w:val="0"/>
        </w:rPr>
        <w:t>分，属于“优”。其中，项目决策类指标权重为20分，得分为</w:t>
      </w:r>
      <w:r>
        <w:rPr>
          <w:rFonts w:ascii="Times New Roman" w:hAnsi="Times New Roman" w:eastAsia="仿宋_GB2312"/>
          <w:b w:val="0"/>
          <w:bCs w:val="0"/>
        </w:rPr>
        <w:t>20</w:t>
      </w:r>
      <w:r>
        <w:rPr>
          <w:rFonts w:hint="eastAsia" w:ascii="Times New Roman" w:hAnsi="Times New Roman" w:eastAsia="仿宋_GB2312"/>
          <w:b w:val="0"/>
          <w:bCs w:val="0"/>
        </w:rPr>
        <w:t>分，得分率为</w:t>
      </w:r>
      <w:r>
        <w:rPr>
          <w:rFonts w:ascii="Times New Roman" w:hAnsi="Times New Roman" w:eastAsia="仿宋_GB2312"/>
          <w:b w:val="0"/>
          <w:bCs w:val="0"/>
        </w:rPr>
        <w:t>100</w:t>
      </w:r>
      <w:r>
        <w:rPr>
          <w:rFonts w:hint="eastAsia" w:ascii="Times New Roman" w:hAnsi="Times New Roman" w:eastAsia="仿宋_GB2312"/>
          <w:b w:val="0"/>
          <w:bCs w:val="0"/>
        </w:rPr>
        <w:t>%。项目过程类指标权重为20分，得分为</w:t>
      </w:r>
      <w:r>
        <w:rPr>
          <w:rFonts w:ascii="Times New Roman" w:hAnsi="Times New Roman" w:eastAsia="仿宋_GB2312"/>
          <w:b w:val="0"/>
          <w:bCs w:val="0"/>
        </w:rPr>
        <w:t>20</w:t>
      </w:r>
      <w:r>
        <w:rPr>
          <w:rFonts w:hint="eastAsia" w:ascii="Times New Roman" w:hAnsi="Times New Roman" w:eastAsia="仿宋_GB2312"/>
          <w:b w:val="0"/>
          <w:bCs w:val="0"/>
        </w:rPr>
        <w:t>分，得分率为</w:t>
      </w:r>
      <w:r>
        <w:rPr>
          <w:rFonts w:ascii="Times New Roman" w:hAnsi="Times New Roman" w:eastAsia="仿宋_GB2312"/>
          <w:b w:val="0"/>
          <w:bCs w:val="0"/>
        </w:rPr>
        <w:t>100</w:t>
      </w:r>
      <w:r>
        <w:rPr>
          <w:rFonts w:hint="eastAsia" w:ascii="Times New Roman" w:hAnsi="Times New Roman" w:eastAsia="仿宋_GB2312"/>
          <w:b w:val="0"/>
          <w:bCs w:val="0"/>
        </w:rPr>
        <w:t>%。项目产出类指标权重为40分，得分为</w:t>
      </w:r>
      <w:r>
        <w:rPr>
          <w:rFonts w:ascii="Times New Roman" w:hAnsi="Times New Roman" w:eastAsia="仿宋_GB2312"/>
          <w:b w:val="0"/>
          <w:bCs w:val="0"/>
        </w:rPr>
        <w:t>40</w:t>
      </w:r>
      <w:r>
        <w:rPr>
          <w:rFonts w:hint="eastAsia" w:ascii="Times New Roman" w:hAnsi="Times New Roman" w:eastAsia="仿宋_GB2312"/>
          <w:b w:val="0"/>
          <w:bCs w:val="0"/>
        </w:rPr>
        <w:t>分，得分率为</w:t>
      </w:r>
      <w:r>
        <w:rPr>
          <w:rFonts w:ascii="Times New Roman" w:hAnsi="Times New Roman" w:eastAsia="仿宋_GB2312"/>
          <w:b w:val="0"/>
          <w:bCs w:val="0"/>
        </w:rPr>
        <w:t>100</w:t>
      </w:r>
      <w:r>
        <w:rPr>
          <w:rFonts w:hint="eastAsia" w:ascii="Times New Roman" w:hAnsi="Times New Roman" w:eastAsia="仿宋_GB2312"/>
          <w:b w:val="0"/>
          <w:bCs w:val="0"/>
        </w:rPr>
        <w:t>%。项目效益类指标权重为20分，得分为</w:t>
      </w:r>
      <w:r>
        <w:rPr>
          <w:rFonts w:ascii="Times New Roman" w:hAnsi="Times New Roman" w:eastAsia="仿宋_GB2312"/>
          <w:b w:val="0"/>
          <w:bCs w:val="0"/>
        </w:rPr>
        <w:t>20</w:t>
      </w:r>
      <w:r>
        <w:rPr>
          <w:rFonts w:hint="eastAsia" w:ascii="Times New Roman" w:hAnsi="Times New Roman" w:eastAsia="仿宋_GB2312"/>
          <w:b w:val="0"/>
          <w:bCs w:val="0"/>
        </w:rPr>
        <w:t>分，得分率为</w:t>
      </w:r>
      <w:r>
        <w:rPr>
          <w:rFonts w:ascii="Times New Roman" w:hAnsi="Times New Roman" w:eastAsia="仿宋_GB2312"/>
          <w:b w:val="0"/>
          <w:bCs w:val="0"/>
        </w:rPr>
        <w:t>100</w:t>
      </w:r>
      <w:r>
        <w:rPr>
          <w:rFonts w:hint="eastAsia" w:ascii="Times New Roman" w:hAnsi="Times New Roman" w:eastAsia="仿宋_GB2312"/>
          <w:b w:val="0"/>
          <w:bCs w:val="0"/>
        </w:rPr>
        <w:t>%。具体打分情况详见：附件1综合评分表。</w:t>
      </w:r>
    </w:p>
    <w:p>
      <w:pPr>
        <w:pStyle w:val="2"/>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w:t>
            </w:r>
            <w:r>
              <w:rPr>
                <w:color w:val="000000"/>
                <w:sz w:val="22"/>
              </w:rPr>
              <w:t>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w:t>
            </w:r>
            <w:r>
              <w:rPr>
                <w:color w:val="000000"/>
                <w:sz w:val="22"/>
              </w:rPr>
              <w:t>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4</w:t>
            </w:r>
            <w:r>
              <w:rPr>
                <w:color w:val="000000"/>
                <w:sz w:val="22"/>
              </w:rPr>
              <w:t>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w:t>
            </w:r>
            <w:r>
              <w:rPr>
                <w:color w:val="000000"/>
                <w:sz w:val="22"/>
              </w:rPr>
              <w:t>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rPr>
              <w:t>1</w:t>
            </w:r>
            <w:r>
              <w:rPr>
                <w:b/>
                <w:bCs/>
                <w:color w:val="000000"/>
                <w:sz w:val="22"/>
              </w:rPr>
              <w:t>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项目决策类指标包括项目立项、绩效目标和资金投入三方面的内容，由6个三级指标构成，权重分值为20分，实际得分20分，得分率为100%。</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pPr>
        <w:pStyle w:val="2"/>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分，得分率为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万元，财政资金及时足额到位，到位率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%，预算资金按计划进度执行。</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万元，预算执行率为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11"/>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个三级指标构成，权重分为40分，实际得分</w:t>
      </w:r>
      <w:r>
        <w:rPr>
          <w:rFonts w:ascii="仿宋_GB2312" w:hAnsi="仿宋_GB2312" w:eastAsia="仿宋_GB2312" w:cs="仿宋_GB2312"/>
          <w:sz w:val="32"/>
          <w:szCs w:val="32"/>
        </w:rPr>
        <w:t>40</w:t>
      </w:r>
      <w:r>
        <w:rPr>
          <w:rFonts w:hint="eastAsia" w:ascii="仿宋_GB2312" w:hAnsi="仿宋_GB2312" w:eastAsia="仿宋_GB2312" w:cs="仿宋_GB2312"/>
          <w:sz w:val="32"/>
          <w:szCs w:val="32"/>
        </w:rPr>
        <w:t>分，得分率为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%。具体产出指标完成情况如下：</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：监督（监察）频次，指标值：</w:t>
      </w:r>
      <w:r>
        <w:rPr>
          <w:rFonts w:ascii="仿宋_GB2312" w:hAnsi="仿宋_GB2312" w:eastAsia="仿宋_GB2312" w:cs="仿宋_GB2312"/>
          <w:sz w:val="32"/>
          <w:szCs w:val="32"/>
        </w:rPr>
        <w:t>＞=9次</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次，指标完成率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 xml:space="preserve"> %。</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：形成环保督察整改情况报告，指标值：</w:t>
      </w:r>
      <w:r>
        <w:rPr>
          <w:rFonts w:ascii="仿宋_GB2312" w:hAnsi="仿宋_GB2312" w:eastAsia="仿宋_GB2312" w:cs="仿宋_GB2312"/>
          <w:sz w:val="32"/>
          <w:szCs w:val="32"/>
        </w:rPr>
        <w:t>＞=3个</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 xml:space="preserve"> %。</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：形成督察检查专项报告，指标值：</w:t>
      </w:r>
      <w:r>
        <w:rPr>
          <w:rFonts w:ascii="仿宋_GB2312" w:hAnsi="仿宋_GB2312" w:eastAsia="仿宋_GB2312" w:cs="仿宋_GB2312"/>
          <w:sz w:val="32"/>
          <w:szCs w:val="32"/>
        </w:rPr>
        <w:t>＞=3个</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 xml:space="preserve"> %。</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：覆盖生态环境监察区域，指标值：</w:t>
      </w:r>
      <w:r>
        <w:rPr>
          <w:rFonts w:ascii="仿宋_GB2312" w:hAnsi="仿宋_GB2312" w:eastAsia="仿宋_GB2312" w:cs="仿宋_GB2312"/>
          <w:sz w:val="32"/>
          <w:szCs w:val="32"/>
        </w:rPr>
        <w:t>＞=3个</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 xml:space="preserve"> %。</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：购置设备数量，指标值：</w:t>
      </w:r>
      <w:r>
        <w:rPr>
          <w:rFonts w:ascii="仿宋_GB2312" w:hAnsi="仿宋_GB2312" w:eastAsia="仿宋_GB2312" w:cs="仿宋_GB2312"/>
          <w:sz w:val="32"/>
          <w:szCs w:val="32"/>
        </w:rPr>
        <w:t>＞=2台套</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台套，指标完成率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指标1：购置设备质量合格率，指标值：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指标2：政府采购率，指标值：</w:t>
      </w:r>
      <w:r>
        <w:rPr>
          <w:rFonts w:ascii="仿宋_GB2312" w:hAnsi="仿宋_GB2312" w:eastAsia="仿宋_GB2312" w:cs="仿宋_GB2312"/>
          <w:sz w:val="32"/>
          <w:szCs w:val="32"/>
          <w:highlight w:val="none"/>
        </w:rPr>
        <w:t>=10</w:t>
      </w:r>
      <w:r>
        <w:rPr>
          <w:rFonts w:hint="eastAsia" w:ascii="仿宋_GB2312" w:hAnsi="仿宋_GB2312" w:eastAsia="仿宋_GB2312" w:cs="仿宋_GB2312"/>
          <w:sz w:val="32"/>
          <w:szCs w:val="32"/>
          <w:highlight w:val="none"/>
          <w:lang w:val="en-US" w:eastAsia="zh-CN"/>
        </w:rPr>
        <w:t>0</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，实际完成值：</w:t>
      </w:r>
      <w:r>
        <w:rPr>
          <w:rFonts w:ascii="仿宋_GB2312" w:hAnsi="仿宋_GB2312" w:eastAsia="仿宋_GB2312" w:cs="仿宋_GB2312"/>
          <w:sz w:val="32"/>
          <w:szCs w:val="32"/>
          <w:highlight w:val="none"/>
        </w:rPr>
        <w:t>100%</w:t>
      </w:r>
      <w:r>
        <w:rPr>
          <w:rFonts w:hint="eastAsia" w:ascii="仿宋_GB2312" w:hAnsi="仿宋_GB2312" w:eastAsia="仿宋_GB2312" w:cs="仿宋_GB2312"/>
          <w:sz w:val="32"/>
          <w:szCs w:val="32"/>
          <w:highlight w:val="none"/>
        </w:rPr>
        <w:t>，指标完成率</w:t>
      </w:r>
      <w:r>
        <w:rPr>
          <w:rFonts w:ascii="仿宋_GB2312" w:hAnsi="仿宋_GB2312" w:eastAsia="仿宋_GB2312" w:cs="仿宋_GB2312"/>
          <w:sz w:val="32"/>
          <w:szCs w:val="32"/>
          <w:highlight w:val="none"/>
        </w:rPr>
        <w:t>10</w:t>
      </w:r>
      <w:r>
        <w:rPr>
          <w:rFonts w:hint="eastAsia" w:ascii="仿宋_GB2312" w:hAnsi="仿宋_GB2312" w:eastAsia="仿宋_GB2312" w:cs="仿宋_GB2312"/>
          <w:sz w:val="32"/>
          <w:szCs w:val="32"/>
          <w:highlight w:val="none"/>
        </w:rPr>
        <w:t>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：区域覆盖率，指标值：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：报告质量通过率，指标值：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：购置设备验收合格率，指标值：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w:t>
      </w:r>
      <w:r>
        <w:rPr>
          <w:rFonts w:ascii="仿宋_GB2312" w:hAnsi="仿宋_GB2312" w:eastAsia="仿宋_GB2312" w:cs="仿宋_GB2312"/>
          <w:sz w:val="32"/>
          <w:szCs w:val="32"/>
        </w:rPr>
        <w:t>设备采购完成时间</w:t>
      </w:r>
      <w:r>
        <w:rPr>
          <w:rFonts w:hint="eastAsia" w:ascii="仿宋_GB2312" w:hAnsi="仿宋_GB2312" w:eastAsia="仿宋_GB2312" w:cs="仿宋_GB2312"/>
          <w:sz w:val="32"/>
          <w:szCs w:val="32"/>
        </w:rPr>
        <w:t>，指标值：</w:t>
      </w:r>
      <w:r>
        <w:rPr>
          <w:rFonts w:ascii="仿宋_GB2312" w:hAnsi="仿宋_GB2312" w:eastAsia="仿宋_GB2312" w:cs="仿宋_GB2312"/>
          <w:sz w:val="32"/>
          <w:szCs w:val="32"/>
        </w:rPr>
        <w:t>2023年6月前</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2023</w:t>
      </w:r>
      <w:r>
        <w:rPr>
          <w:rFonts w:hint="eastAsia" w:ascii="仿宋_GB2312" w:hAnsi="仿宋_GB2312" w:eastAsia="仿宋_GB2312" w:cs="仿宋_GB2312"/>
          <w:sz w:val="32"/>
          <w:szCs w:val="32"/>
        </w:rPr>
        <w:t>年5月，指标完成率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w:t>
      </w:r>
      <w:r>
        <w:rPr>
          <w:rFonts w:ascii="仿宋_GB2312" w:hAnsi="仿宋_GB2312" w:eastAsia="仿宋_GB2312" w:cs="仿宋_GB2312"/>
          <w:sz w:val="32"/>
          <w:szCs w:val="32"/>
        </w:rPr>
        <w:t>年度督察任务按时完成率</w:t>
      </w:r>
      <w:r>
        <w:rPr>
          <w:rFonts w:hint="eastAsia" w:ascii="仿宋_GB2312" w:hAnsi="仿宋_GB2312" w:eastAsia="仿宋_GB2312" w:cs="仿宋_GB2312"/>
          <w:sz w:val="32"/>
          <w:szCs w:val="32"/>
        </w:rPr>
        <w:t>，指标值：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w:t>
      </w:r>
      <w:r>
        <w:rPr>
          <w:rFonts w:ascii="仿宋_GB2312" w:hAnsi="仿宋_GB2312" w:eastAsia="仿宋_GB2312" w:cs="仿宋_GB2312"/>
          <w:sz w:val="32"/>
          <w:szCs w:val="32"/>
        </w:rPr>
        <w:t>派驻检查期间费用</w:t>
      </w:r>
      <w:r>
        <w:rPr>
          <w:rFonts w:hint="eastAsia" w:ascii="仿宋_GB2312" w:hAnsi="仿宋_GB2312" w:eastAsia="仿宋_GB2312" w:cs="仿宋_GB2312"/>
          <w:sz w:val="32"/>
          <w:szCs w:val="32"/>
        </w:rPr>
        <w:t>，指标值：</w:t>
      </w:r>
      <w:r>
        <w:rPr>
          <w:rFonts w:ascii="仿宋_GB2312" w:hAnsi="仿宋_GB2312" w:eastAsia="仿宋_GB2312" w:cs="仿宋_GB2312"/>
          <w:sz w:val="32"/>
          <w:szCs w:val="32"/>
        </w:rPr>
        <w:t>＜=22.1万</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22.1</w:t>
      </w:r>
      <w:r>
        <w:rPr>
          <w:rFonts w:hint="eastAsia" w:ascii="仿宋_GB2312" w:hAnsi="仿宋_GB2312" w:eastAsia="仿宋_GB2312" w:cs="仿宋_GB2312"/>
          <w:sz w:val="32"/>
          <w:szCs w:val="32"/>
        </w:rPr>
        <w:t>万，指标完成率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w:t>
      </w:r>
      <w:r>
        <w:rPr>
          <w:rFonts w:ascii="仿宋_GB2312" w:hAnsi="仿宋_GB2312" w:eastAsia="仿宋_GB2312" w:cs="仿宋_GB2312"/>
          <w:sz w:val="32"/>
          <w:szCs w:val="32"/>
        </w:rPr>
        <w:t>监督检查工作费用</w:t>
      </w:r>
      <w:r>
        <w:rPr>
          <w:rFonts w:hint="eastAsia" w:ascii="仿宋_GB2312" w:hAnsi="仿宋_GB2312" w:eastAsia="仿宋_GB2312" w:cs="仿宋_GB2312"/>
          <w:sz w:val="32"/>
          <w:szCs w:val="32"/>
        </w:rPr>
        <w:t>，指标值：</w:t>
      </w:r>
      <w:r>
        <w:rPr>
          <w:rFonts w:ascii="仿宋_GB2312" w:hAnsi="仿宋_GB2312" w:eastAsia="仿宋_GB2312" w:cs="仿宋_GB2312"/>
          <w:sz w:val="32"/>
          <w:szCs w:val="32"/>
        </w:rPr>
        <w:t>＜=57.9万</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57.9</w:t>
      </w:r>
      <w:r>
        <w:rPr>
          <w:rFonts w:hint="eastAsia" w:ascii="仿宋_GB2312" w:hAnsi="仿宋_GB2312" w:eastAsia="仿宋_GB2312" w:cs="仿宋_GB2312"/>
          <w:sz w:val="32"/>
          <w:szCs w:val="32"/>
        </w:rPr>
        <w:t>万，指标完成率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设备采购成本控制数</w:t>
      </w:r>
      <w:r>
        <w:rPr>
          <w:rFonts w:hint="eastAsia" w:ascii="仿宋_GB2312" w:hAnsi="仿宋_GB2312" w:eastAsia="仿宋_GB2312" w:cs="仿宋_GB2312"/>
          <w:sz w:val="32"/>
          <w:szCs w:val="32"/>
        </w:rPr>
        <w:t>，指标值：</w:t>
      </w:r>
      <w:r>
        <w:rPr>
          <w:rFonts w:ascii="仿宋_GB2312" w:hAnsi="仿宋_GB2312" w:eastAsia="仿宋_GB2312" w:cs="仿宋_GB2312"/>
          <w:sz w:val="32"/>
          <w:szCs w:val="32"/>
        </w:rPr>
        <w:t>＜=10万</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万，指标完成率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pStyle w:val="11"/>
        <w:numPr>
          <w:ilvl w:val="0"/>
          <w:numId w:val="5"/>
        </w:numPr>
        <w:spacing w:line="560" w:lineRule="exact"/>
        <w:ind w:firstLine="643"/>
        <w:rPr>
          <w:rFonts w:eastAsia="楷体_GB2312"/>
          <w:b/>
          <w:bCs/>
          <w:sz w:val="32"/>
          <w:szCs w:val="32"/>
        </w:rPr>
      </w:pPr>
      <w:r>
        <w:rPr>
          <w:rFonts w:hint="eastAsia" w:eastAsia="楷体_GB2312"/>
          <w:b/>
          <w:bCs/>
          <w:sz w:val="32"/>
          <w:szCs w:val="32"/>
        </w:rPr>
        <w:t>项目效益情况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个三级指标构成，权重分为20分，实际得分</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分，得分率为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%。具体效益指标及满意度指标完成情况如下：</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1.实施效益</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①经济效益指标：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w:t>
      </w:r>
      <w:r>
        <w:rPr>
          <w:rFonts w:ascii="仿宋_GB2312" w:hAnsi="仿宋_GB2312" w:eastAsia="仿宋_GB2312" w:cs="仿宋_GB2312"/>
          <w:sz w:val="32"/>
          <w:szCs w:val="32"/>
        </w:rPr>
        <w:t>设备利用率</w:t>
      </w:r>
      <w:r>
        <w:rPr>
          <w:rFonts w:hint="eastAsia" w:ascii="仿宋_GB2312" w:hAnsi="仿宋_GB2312" w:eastAsia="仿宋_GB2312" w:cs="仿宋_GB2312"/>
          <w:sz w:val="32"/>
          <w:szCs w:val="32"/>
        </w:rPr>
        <w:t>，指标值：</w:t>
      </w:r>
      <w:r>
        <w:rPr>
          <w:rFonts w:ascii="仿宋_GB2312" w:hAnsi="仿宋_GB2312" w:eastAsia="仿宋_GB2312" w:cs="仿宋_GB2312"/>
          <w:sz w:val="32"/>
          <w:szCs w:val="32"/>
        </w:rPr>
        <w:t>＞=80%</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80%</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②社会效益指标：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w:t>
      </w:r>
      <w:r>
        <w:rPr>
          <w:rFonts w:ascii="仿宋_GB2312" w:hAnsi="仿宋_GB2312" w:eastAsia="仿宋_GB2312" w:cs="仿宋_GB2312"/>
          <w:sz w:val="32"/>
          <w:szCs w:val="32"/>
        </w:rPr>
        <w:t>构建新型生态环境保护监察体系</w:t>
      </w:r>
      <w:r>
        <w:rPr>
          <w:rFonts w:hint="eastAsia" w:ascii="仿宋_GB2312" w:hAnsi="仿宋_GB2312" w:eastAsia="仿宋_GB2312" w:cs="仿宋_GB2312"/>
          <w:sz w:val="32"/>
          <w:szCs w:val="32"/>
        </w:rPr>
        <w:t>，指标值：</w:t>
      </w:r>
      <w:r>
        <w:rPr>
          <w:rFonts w:ascii="仿宋_GB2312" w:hAnsi="仿宋_GB2312" w:eastAsia="仿宋_GB2312" w:cs="仿宋_GB2312"/>
          <w:sz w:val="32"/>
          <w:szCs w:val="32"/>
        </w:rPr>
        <w:t>不断完善</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不断完善</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2.满意度</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满意度指标：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w:t>
      </w:r>
      <w:r>
        <w:rPr>
          <w:rFonts w:ascii="仿宋_GB2312" w:hAnsi="仿宋_GB2312" w:eastAsia="仿宋_GB2312" w:cs="仿宋_GB2312"/>
          <w:sz w:val="32"/>
          <w:szCs w:val="32"/>
        </w:rPr>
        <w:t>检查人员被投诉次数</w:t>
      </w:r>
      <w:r>
        <w:rPr>
          <w:rFonts w:hint="eastAsia" w:ascii="仿宋_GB2312" w:hAnsi="仿宋_GB2312" w:eastAsia="仿宋_GB2312" w:cs="仿宋_GB2312"/>
          <w:sz w:val="32"/>
          <w:szCs w:val="32"/>
        </w:rPr>
        <w:t>，指标值：</w:t>
      </w:r>
      <w:r>
        <w:rPr>
          <w:rFonts w:ascii="仿宋_GB2312" w:hAnsi="仿宋_GB2312" w:eastAsia="仿宋_GB2312" w:cs="仿宋_GB2312"/>
          <w:sz w:val="32"/>
          <w:szCs w:val="32"/>
        </w:rPr>
        <w:t>＜=5次</w:t>
      </w:r>
      <w:r>
        <w:rPr>
          <w:rFonts w:hint="eastAsia" w:ascii="仿宋_GB2312" w:hAnsi="仿宋_GB2312" w:eastAsia="仿宋_GB2312" w:cs="仿宋_GB2312"/>
          <w:sz w:val="32"/>
          <w:szCs w:val="32"/>
        </w:rPr>
        <w:t>，实际完成值：0次，指标完成率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使用人员满意度</w:t>
      </w:r>
      <w:r>
        <w:rPr>
          <w:rFonts w:hint="eastAsia" w:ascii="仿宋_GB2312" w:hAnsi="仿宋_GB2312" w:eastAsia="仿宋_GB2312" w:cs="仿宋_GB2312"/>
          <w:sz w:val="32"/>
          <w:szCs w:val="32"/>
        </w:rPr>
        <w:t>，指标值：</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560" w:lineRule="exact"/>
        <w:ind w:firstLine="640" w:firstLineChars="200"/>
        <w:rPr>
          <w:rFonts w:eastAsia="黑体"/>
          <w:b w:val="0"/>
          <w:bCs w:val="0"/>
          <w:sz w:val="32"/>
          <w:szCs w:val="32"/>
          <w:highlight w:val="none"/>
          <w:lang w:eastAsia="zh-Hans"/>
        </w:rPr>
      </w:pPr>
      <w:r>
        <w:rPr>
          <w:rFonts w:hint="eastAsia" w:eastAsia="黑体"/>
          <w:b w:val="0"/>
          <w:bCs w:val="0"/>
          <w:sz w:val="32"/>
          <w:szCs w:val="32"/>
          <w:highlight w:val="none"/>
          <w:lang w:eastAsia="zh-Hans"/>
        </w:rPr>
        <w:t>五、预算执行进度与绩效指标总体完成率偏差</w:t>
      </w:r>
    </w:p>
    <w:p>
      <w:pPr>
        <w:pStyle w:val="18"/>
        <w:spacing w:line="560" w:lineRule="exact"/>
        <w:ind w:firstLine="64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生态环境厅第六生态环境监察专员办公室环境监察专项项目年初预算</w:t>
      </w:r>
      <w:r>
        <w:rPr>
          <w:rFonts w:ascii="仿宋_GB2312" w:hAnsi="仿宋_GB2312" w:eastAsia="仿宋_GB2312" w:cs="仿宋_GB2312"/>
          <w:kern w:val="2"/>
          <w:sz w:val="32"/>
          <w:szCs w:val="32"/>
          <w:lang w:val="en-US" w:eastAsia="zh-CN" w:bidi="ar-SA"/>
        </w:rPr>
        <w:t>90</w:t>
      </w:r>
      <w:r>
        <w:rPr>
          <w:rFonts w:hint="eastAsia" w:ascii="仿宋_GB2312" w:hAnsi="仿宋_GB2312" w:eastAsia="仿宋_GB2312" w:cs="仿宋_GB2312"/>
          <w:kern w:val="2"/>
          <w:sz w:val="32"/>
          <w:szCs w:val="32"/>
          <w:lang w:val="en-US" w:eastAsia="zh-CN" w:bidi="ar-SA"/>
        </w:rPr>
        <w:t>万元，全年预算</w:t>
      </w:r>
      <w:r>
        <w:rPr>
          <w:rFonts w:ascii="仿宋_GB2312" w:hAnsi="仿宋_GB2312" w:eastAsia="仿宋_GB2312" w:cs="仿宋_GB2312"/>
          <w:kern w:val="2"/>
          <w:sz w:val="32"/>
          <w:szCs w:val="32"/>
          <w:lang w:val="en-US" w:eastAsia="zh-CN" w:bidi="ar-SA"/>
        </w:rPr>
        <w:t>90</w:t>
      </w:r>
      <w:r>
        <w:rPr>
          <w:rFonts w:hint="eastAsia" w:ascii="仿宋_GB2312" w:hAnsi="仿宋_GB2312" w:eastAsia="仿宋_GB2312" w:cs="仿宋_GB2312"/>
          <w:kern w:val="2"/>
          <w:sz w:val="32"/>
          <w:szCs w:val="32"/>
          <w:lang w:val="en-US" w:eastAsia="zh-CN" w:bidi="ar-SA"/>
        </w:rPr>
        <w:t>万元，实际支出</w:t>
      </w:r>
      <w:r>
        <w:rPr>
          <w:rFonts w:ascii="仿宋_GB2312" w:hAnsi="仿宋_GB2312" w:eastAsia="仿宋_GB2312" w:cs="仿宋_GB2312"/>
          <w:kern w:val="2"/>
          <w:sz w:val="32"/>
          <w:szCs w:val="32"/>
          <w:lang w:val="en-US" w:eastAsia="zh-CN" w:bidi="ar-SA"/>
        </w:rPr>
        <w:t>90</w:t>
      </w:r>
      <w:r>
        <w:rPr>
          <w:rFonts w:hint="eastAsia" w:ascii="仿宋_GB2312" w:hAnsi="仿宋_GB2312" w:eastAsia="仿宋_GB2312" w:cs="仿宋_GB2312"/>
          <w:kern w:val="2"/>
          <w:sz w:val="32"/>
          <w:szCs w:val="32"/>
          <w:lang w:val="en-US" w:eastAsia="zh-CN" w:bidi="ar-SA"/>
        </w:rPr>
        <w:t>万元，预算执行率为</w:t>
      </w:r>
      <w:r>
        <w:rPr>
          <w:rFonts w:ascii="仿宋_GB2312" w:hAnsi="仿宋_GB2312" w:eastAsia="仿宋_GB2312" w:cs="仿宋_GB2312"/>
          <w:kern w:val="2"/>
          <w:sz w:val="32"/>
          <w:szCs w:val="32"/>
          <w:lang w:val="en-US" w:eastAsia="zh-CN" w:bidi="ar-SA"/>
        </w:rPr>
        <w:t>100</w:t>
      </w:r>
      <w:r>
        <w:rPr>
          <w:rFonts w:hint="eastAsia" w:ascii="仿宋_GB2312" w:hAnsi="仿宋_GB2312" w:eastAsia="仿宋_GB2312" w:cs="仿宋_GB2312"/>
          <w:kern w:val="2"/>
          <w:sz w:val="32"/>
          <w:szCs w:val="32"/>
          <w:lang w:val="en-US" w:eastAsia="zh-CN" w:bidi="ar-SA"/>
        </w:rPr>
        <w:t>%，项目绩效指标总体完成率为</w:t>
      </w:r>
      <w:r>
        <w:rPr>
          <w:rFonts w:ascii="仿宋_GB2312" w:hAnsi="仿宋_GB2312" w:eastAsia="仿宋_GB2312" w:cs="仿宋_GB2312"/>
          <w:kern w:val="2"/>
          <w:sz w:val="32"/>
          <w:szCs w:val="32"/>
          <w:lang w:val="en-US" w:eastAsia="zh-CN" w:bidi="ar-SA"/>
        </w:rPr>
        <w:t>10</w:t>
      </w:r>
      <w:r>
        <w:rPr>
          <w:rFonts w:hint="eastAsia" w:ascii="仿宋_GB2312" w:hAnsi="仿宋_GB2312" w:eastAsia="仿宋_GB2312" w:cs="仿宋_GB2312"/>
          <w:kern w:val="2"/>
          <w:sz w:val="32"/>
          <w:szCs w:val="32"/>
          <w:lang w:val="en-US" w:eastAsia="zh-CN" w:bidi="ar-SA"/>
        </w:rPr>
        <w:t>0%，</w:t>
      </w:r>
      <w:r>
        <w:rPr>
          <w:rFonts w:hint="eastAsia" w:ascii="仿宋_GB2312" w:hAnsi="仿宋_GB2312" w:eastAsia="仿宋_GB2312" w:cs="仿宋_GB2312"/>
          <w:kern w:val="2"/>
          <w:sz w:val="32"/>
          <w:szCs w:val="32"/>
          <w:lang w:val="en-US" w:eastAsia="zh-Hans" w:bidi="ar-SA"/>
        </w:rPr>
        <w:t>总体</w:t>
      </w:r>
      <w:r>
        <w:rPr>
          <w:rFonts w:hint="eastAsia" w:ascii="仿宋_GB2312" w:hAnsi="仿宋_GB2312" w:eastAsia="仿宋_GB2312" w:cs="仿宋_GB2312"/>
          <w:kern w:val="2"/>
          <w:sz w:val="32"/>
          <w:szCs w:val="32"/>
          <w:lang w:val="en-US" w:eastAsia="zh-CN" w:bidi="ar-SA"/>
        </w:rPr>
        <w:t>偏差率为0%。</w:t>
      </w:r>
    </w:p>
    <w:p>
      <w:pPr>
        <w:spacing w:line="560" w:lineRule="exact"/>
        <w:ind w:firstLine="640" w:firstLineChars="200"/>
        <w:rPr>
          <w:rStyle w:val="17"/>
          <w:rFonts w:ascii="Times New Roman" w:hAnsi="Times New Roman" w:cs="Times New Roman"/>
          <w:b w:val="0"/>
          <w:bCs w:val="0"/>
          <w:color w:val="auto"/>
          <w:highlight w:val="none"/>
        </w:rPr>
      </w:pPr>
      <w:r>
        <w:rPr>
          <w:rFonts w:hint="eastAsia" w:eastAsia="黑体"/>
          <w:b w:val="0"/>
          <w:bCs w:val="0"/>
          <w:sz w:val="32"/>
          <w:szCs w:val="32"/>
          <w:highlight w:val="none"/>
          <w:lang w:eastAsia="zh-Hans"/>
        </w:rPr>
        <w:t>六</w:t>
      </w:r>
      <w:r>
        <w:rPr>
          <w:rFonts w:eastAsia="黑体"/>
          <w:b w:val="0"/>
          <w:bCs w:val="0"/>
          <w:sz w:val="32"/>
          <w:szCs w:val="32"/>
          <w:highlight w:val="none"/>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hint="eastAsia" w:eastAsia="仿宋_GB2312"/>
          <w:sz w:val="32"/>
          <w:szCs w:val="32"/>
        </w:rPr>
        <w:t>一是本单位在2</w:t>
      </w:r>
      <w:r>
        <w:rPr>
          <w:rFonts w:eastAsia="仿宋_GB2312"/>
          <w:sz w:val="32"/>
          <w:szCs w:val="32"/>
        </w:rPr>
        <w:t>022</w:t>
      </w:r>
      <w:r>
        <w:rPr>
          <w:rFonts w:hint="eastAsia" w:eastAsia="仿宋_GB2312"/>
          <w:sz w:val="32"/>
          <w:szCs w:val="32"/>
        </w:rPr>
        <w:t>年申报2</w:t>
      </w:r>
      <w:r>
        <w:rPr>
          <w:rFonts w:eastAsia="仿宋_GB2312"/>
          <w:sz w:val="32"/>
          <w:szCs w:val="32"/>
        </w:rPr>
        <w:t>023</w:t>
      </w:r>
      <w:r>
        <w:rPr>
          <w:rFonts w:hint="eastAsia" w:eastAsia="仿宋_GB2312"/>
          <w:sz w:val="32"/>
          <w:szCs w:val="32"/>
        </w:rPr>
        <w:t>年度预算伊始就将2</w:t>
      </w:r>
      <w:r>
        <w:rPr>
          <w:rFonts w:eastAsia="仿宋_GB2312"/>
          <w:sz w:val="32"/>
          <w:szCs w:val="32"/>
        </w:rPr>
        <w:t>023</w:t>
      </w:r>
      <w:r>
        <w:rPr>
          <w:rFonts w:hint="eastAsia" w:eastAsia="仿宋_GB2312"/>
          <w:sz w:val="32"/>
          <w:szCs w:val="32"/>
        </w:rPr>
        <w:t>年督察监察工作进行全盘统筹谋划部署</w:t>
      </w:r>
      <w:r>
        <w:rPr>
          <w:rFonts w:eastAsia="仿宋_GB2312"/>
          <w:sz w:val="32"/>
          <w:szCs w:val="32"/>
        </w:rPr>
        <w:t>，</w:t>
      </w:r>
      <w:r>
        <w:rPr>
          <w:rFonts w:hint="eastAsia" w:eastAsia="仿宋_GB2312"/>
          <w:sz w:val="32"/>
          <w:szCs w:val="32"/>
        </w:rPr>
        <w:t>依据2</w:t>
      </w:r>
      <w:r>
        <w:rPr>
          <w:rFonts w:eastAsia="仿宋_GB2312"/>
          <w:sz w:val="32"/>
          <w:szCs w:val="32"/>
        </w:rPr>
        <w:t>023</w:t>
      </w:r>
      <w:r>
        <w:rPr>
          <w:rFonts w:hint="eastAsia" w:eastAsia="仿宋_GB2312"/>
          <w:sz w:val="32"/>
          <w:szCs w:val="32"/>
        </w:rPr>
        <w:t>年工作任务需求及客观实际，紧盯重点、因需而定、量入为出，充分考虑单位内部运转需求和监察工作形势需求并纳入2</w:t>
      </w:r>
      <w:r>
        <w:rPr>
          <w:rFonts w:eastAsia="仿宋_GB2312"/>
          <w:sz w:val="32"/>
          <w:szCs w:val="32"/>
        </w:rPr>
        <w:t>023</w:t>
      </w:r>
      <w:r>
        <w:rPr>
          <w:rFonts w:hint="eastAsia" w:eastAsia="仿宋_GB2312"/>
          <w:sz w:val="32"/>
          <w:szCs w:val="32"/>
        </w:rPr>
        <w:t>年预算内容进行申报</w:t>
      </w:r>
      <w:r>
        <w:rPr>
          <w:rFonts w:eastAsia="仿宋_GB2312"/>
          <w:sz w:val="32"/>
          <w:szCs w:val="32"/>
        </w:rPr>
        <w:t>。</w:t>
      </w:r>
    </w:p>
    <w:p>
      <w:pPr>
        <w:spacing w:line="560" w:lineRule="exact"/>
        <w:ind w:firstLine="640" w:firstLineChars="200"/>
        <w:rPr>
          <w:rFonts w:eastAsia="仿宋_GB2312"/>
          <w:sz w:val="32"/>
          <w:szCs w:val="32"/>
        </w:rPr>
      </w:pPr>
      <w:r>
        <w:rPr>
          <w:rFonts w:hint="eastAsia" w:eastAsia="仿宋_GB2312"/>
          <w:sz w:val="32"/>
          <w:szCs w:val="32"/>
        </w:rPr>
        <w:t>二是</w:t>
      </w:r>
      <w:r>
        <w:rPr>
          <w:rFonts w:eastAsia="仿宋_GB2312"/>
          <w:sz w:val="32"/>
          <w:szCs w:val="32"/>
        </w:rPr>
        <w:t>在项目实施过程中</w:t>
      </w:r>
      <w:r>
        <w:rPr>
          <w:rFonts w:hint="eastAsia" w:eastAsia="仿宋_GB2312"/>
          <w:sz w:val="32"/>
          <w:szCs w:val="32"/>
        </w:rPr>
        <w:t>关注重点程序环节</w:t>
      </w:r>
      <w:r>
        <w:rPr>
          <w:rFonts w:eastAsia="仿宋_GB2312"/>
          <w:sz w:val="32"/>
          <w:szCs w:val="32"/>
        </w:rPr>
        <w:t>，</w:t>
      </w:r>
      <w:r>
        <w:rPr>
          <w:rFonts w:hint="eastAsia" w:eastAsia="仿宋_GB2312"/>
          <w:sz w:val="32"/>
          <w:szCs w:val="32"/>
        </w:rPr>
        <w:t>对政府采购等行为</w:t>
      </w:r>
      <w:r>
        <w:rPr>
          <w:rFonts w:eastAsia="仿宋_GB2312"/>
          <w:sz w:val="32"/>
          <w:szCs w:val="32"/>
        </w:rPr>
        <w:t>严格按照</w:t>
      </w:r>
      <w:r>
        <w:rPr>
          <w:rFonts w:hint="eastAsia" w:eastAsia="仿宋_GB2312"/>
          <w:sz w:val="32"/>
          <w:szCs w:val="32"/>
        </w:rPr>
        <w:t>法定程序执行</w:t>
      </w:r>
      <w:r>
        <w:rPr>
          <w:rFonts w:eastAsia="仿宋_GB2312"/>
          <w:sz w:val="32"/>
          <w:szCs w:val="32"/>
        </w:rPr>
        <w:t>，在项目资金使用过程中，</w:t>
      </w:r>
      <w:r>
        <w:rPr>
          <w:rFonts w:hint="eastAsia" w:eastAsia="仿宋_GB2312"/>
          <w:sz w:val="32"/>
          <w:szCs w:val="32"/>
        </w:rPr>
        <w:t>定期在主任办公会上将项目执行情况同年度业务工作任务完成情况科学比对，对资金效益发挥情况进行了认真梳理。</w:t>
      </w:r>
    </w:p>
    <w:p>
      <w:pPr>
        <w:pStyle w:val="2"/>
        <w:spacing w:before="0" w:after="0" w:line="560" w:lineRule="exact"/>
        <w:ind w:firstLine="640" w:firstLineChars="200"/>
        <w:jc w:val="left"/>
        <w:rPr>
          <w:rFonts w:ascii="Times New Roman" w:hAnsi="Times New Roman" w:eastAsia="仿宋_GB2312"/>
          <w:b w:val="0"/>
          <w:bCs w:val="0"/>
          <w:kern w:val="2"/>
        </w:rPr>
      </w:pPr>
      <w:r>
        <w:rPr>
          <w:rFonts w:hint="eastAsia" w:ascii="Times New Roman" w:hAnsi="Times New Roman" w:eastAsia="仿宋_GB2312"/>
          <w:b w:val="0"/>
          <w:bCs w:val="0"/>
          <w:kern w:val="2"/>
        </w:rPr>
        <w:t>谨记财政纪律处处是红线。一律执行“</w:t>
      </w:r>
      <w:r>
        <w:rPr>
          <w:rFonts w:ascii="Times New Roman" w:hAnsi="Times New Roman" w:eastAsia="仿宋_GB2312"/>
          <w:b w:val="0"/>
          <w:bCs w:val="0"/>
          <w:kern w:val="2"/>
        </w:rPr>
        <w:t>先</w:t>
      </w:r>
      <w:r>
        <w:rPr>
          <w:rFonts w:hint="eastAsia" w:ascii="Times New Roman" w:hAnsi="Times New Roman" w:eastAsia="仿宋_GB2312"/>
          <w:b w:val="0"/>
          <w:bCs w:val="0"/>
          <w:kern w:val="2"/>
        </w:rPr>
        <w:t>审批</w:t>
      </w:r>
      <w:r>
        <w:rPr>
          <w:rFonts w:ascii="Times New Roman" w:hAnsi="Times New Roman" w:eastAsia="仿宋_GB2312"/>
          <w:b w:val="0"/>
          <w:bCs w:val="0"/>
          <w:kern w:val="2"/>
        </w:rPr>
        <w:t>、后</w:t>
      </w:r>
      <w:r>
        <w:rPr>
          <w:rFonts w:hint="eastAsia" w:ascii="Times New Roman" w:hAnsi="Times New Roman" w:eastAsia="仿宋_GB2312"/>
          <w:b w:val="0"/>
          <w:bCs w:val="0"/>
          <w:kern w:val="2"/>
        </w:rPr>
        <w:t>落实</w:t>
      </w:r>
      <w:r>
        <w:rPr>
          <w:rFonts w:ascii="Times New Roman" w:hAnsi="Times New Roman" w:eastAsia="仿宋_GB2312"/>
          <w:b w:val="0"/>
          <w:bCs w:val="0"/>
          <w:kern w:val="2"/>
        </w:rPr>
        <w:t>、再拨付</w:t>
      </w:r>
      <w:r>
        <w:rPr>
          <w:rFonts w:hint="eastAsia" w:ascii="Times New Roman" w:hAnsi="Times New Roman" w:eastAsia="仿宋_GB2312"/>
          <w:b w:val="0"/>
          <w:bCs w:val="0"/>
          <w:kern w:val="2"/>
        </w:rPr>
        <w:t>”</w:t>
      </w:r>
      <w:r>
        <w:rPr>
          <w:rFonts w:ascii="Times New Roman" w:hAnsi="Times New Roman" w:eastAsia="仿宋_GB2312"/>
          <w:b w:val="0"/>
          <w:bCs w:val="0"/>
          <w:kern w:val="2"/>
        </w:rPr>
        <w:t>的</w:t>
      </w:r>
      <w:r>
        <w:rPr>
          <w:rFonts w:hint="eastAsia" w:ascii="Times New Roman" w:hAnsi="Times New Roman" w:eastAsia="仿宋_GB2312"/>
          <w:b w:val="0"/>
          <w:bCs w:val="0"/>
          <w:kern w:val="2"/>
        </w:rPr>
        <w:t>财务支出制度</w:t>
      </w:r>
      <w:r>
        <w:rPr>
          <w:rFonts w:ascii="Times New Roman" w:hAnsi="Times New Roman" w:eastAsia="仿宋_GB2312"/>
          <w:b w:val="0"/>
          <w:bCs w:val="0"/>
          <w:kern w:val="2"/>
        </w:rPr>
        <w:t>，杜绝</w:t>
      </w:r>
      <w:r>
        <w:rPr>
          <w:rFonts w:hint="eastAsia" w:ascii="Times New Roman" w:hAnsi="Times New Roman" w:eastAsia="仿宋_GB2312"/>
          <w:b w:val="0"/>
          <w:bCs w:val="0"/>
          <w:kern w:val="2"/>
        </w:rPr>
        <w:t>专项项目</w:t>
      </w:r>
      <w:r>
        <w:rPr>
          <w:rFonts w:ascii="Times New Roman" w:hAnsi="Times New Roman" w:eastAsia="仿宋_GB2312"/>
          <w:b w:val="0"/>
          <w:bCs w:val="0"/>
          <w:kern w:val="2"/>
        </w:rPr>
        <w:t>资金被挤占和挪用现象的发生。</w:t>
      </w:r>
      <w:r>
        <w:rPr>
          <w:rFonts w:hint="eastAsia" w:ascii="Times New Roman" w:hAnsi="Times New Roman" w:eastAsia="仿宋_GB2312"/>
          <w:b w:val="0"/>
          <w:bCs w:val="0"/>
          <w:kern w:val="2"/>
        </w:rPr>
        <w:t>项目资金使用情况按月提请主任办公会听取研究，党支部</w:t>
      </w:r>
      <w:r>
        <w:rPr>
          <w:rFonts w:ascii="Times New Roman" w:hAnsi="Times New Roman" w:eastAsia="仿宋_GB2312"/>
          <w:b w:val="0"/>
          <w:bCs w:val="0"/>
          <w:kern w:val="2"/>
        </w:rPr>
        <w:t>全面</w:t>
      </w:r>
      <w:r>
        <w:rPr>
          <w:rFonts w:hint="eastAsia" w:ascii="Times New Roman" w:hAnsi="Times New Roman" w:eastAsia="仿宋_GB2312"/>
          <w:b w:val="0"/>
          <w:bCs w:val="0"/>
          <w:kern w:val="2"/>
        </w:rPr>
        <w:t>加强财务工作</w:t>
      </w:r>
      <w:r>
        <w:rPr>
          <w:rFonts w:ascii="Times New Roman" w:hAnsi="Times New Roman" w:eastAsia="仿宋_GB2312"/>
          <w:b w:val="0"/>
          <w:bCs w:val="0"/>
          <w:kern w:val="2"/>
        </w:rPr>
        <w:t>全过程的监管。</w:t>
      </w:r>
    </w:p>
    <w:p>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1.本单位没有专业的财务管理人员，对财务管理、政府采购流程等工作程序不尽掌握。</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2.本单位作为自治区生态环境厅派出机构，单位人员较少，内部控制管理工作要求的关键岗位不能定期轮岗轮换。</w:t>
      </w: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1.建议主管部门定期组织开展有关绩效管理工作方面的培训，安排第三方绩效审核人员对二级事业单位绩效人员开展绩效管理工作培训。</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2.配齐配强干部队伍，在人员招录时予以批准关照，招录专业的财务管理人员从事相关工作。</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pPr>
        <w:pStyle w:val="1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widowControl/>
        <w:jc w:val="center"/>
        <w:textAlignment w:val="center"/>
        <w:rPr>
          <w:rFonts w:eastAsia="方正小标宋简体"/>
          <w:b/>
          <w:kern w:val="0"/>
          <w:sz w:val="32"/>
          <w:szCs w:val="32"/>
          <w:lang w:bidi="ar"/>
        </w:rPr>
        <w:sectPr>
          <w:pgSz w:w="11906" w:h="16838"/>
          <w:pgMar w:top="1440" w:right="1558" w:bottom="1440" w:left="1800" w:header="851" w:footer="992" w:gutter="0"/>
          <w:cols w:space="425" w:num="1"/>
          <w:docGrid w:type="lines" w:linePitch="312" w:charSpace="0"/>
        </w:sectPr>
      </w:pPr>
    </w:p>
    <w:tbl>
      <w:tblPr>
        <w:tblStyle w:val="13"/>
        <w:tblW w:w="8834" w:type="dxa"/>
        <w:tblInd w:w="0" w:type="dxa"/>
        <w:tblLayout w:type="autofit"/>
        <w:tblCellMar>
          <w:top w:w="0" w:type="dxa"/>
          <w:left w:w="0" w:type="dxa"/>
          <w:bottom w:w="0" w:type="dxa"/>
          <w:right w:w="0" w:type="dxa"/>
        </w:tblCellMar>
      </w:tblPr>
      <w:tblGrid>
        <w:gridCol w:w="798"/>
        <w:gridCol w:w="984"/>
        <w:gridCol w:w="1207"/>
        <w:gridCol w:w="1276"/>
        <w:gridCol w:w="1134"/>
        <w:gridCol w:w="1952"/>
        <w:gridCol w:w="1483"/>
      </w:tblGrid>
      <w:tr>
        <w:tblPrEx>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pPr>
              <w:widowControl/>
              <w:jc w:val="center"/>
              <w:textAlignment w:val="center"/>
              <w:rPr>
                <w:rFonts w:eastAsia="方正小标宋简体"/>
                <w:b/>
                <w:sz w:val="32"/>
                <w:szCs w:val="32"/>
                <w:u w:val="single"/>
              </w:rPr>
            </w:pPr>
            <w:bookmarkStart w:id="7" w:name="_Hlk159604772"/>
            <w:r>
              <w:rPr>
                <w:rFonts w:eastAsia="方正小标宋简体"/>
                <w:b/>
                <w:kern w:val="0"/>
                <w:sz w:val="32"/>
                <w:szCs w:val="32"/>
                <w:lang w:bidi="ar"/>
              </w:rPr>
              <w:t>项目支出绩效自评表</w:t>
            </w:r>
          </w:p>
        </w:tc>
      </w:tr>
      <w:tr>
        <w:tblPrEx>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22"/>
                <w:szCs w:val="22"/>
              </w:rPr>
            </w:pPr>
            <w:r>
              <w:rPr>
                <w:kern w:val="0"/>
                <w:sz w:val="22"/>
                <w:szCs w:val="22"/>
                <w:lang w:bidi="ar"/>
              </w:rPr>
              <w:t>（2023年度）</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生态环境厅第六生态环境监察专员办公室环境监察专项</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主管部门</w:t>
            </w:r>
          </w:p>
        </w:tc>
        <w:tc>
          <w:tcPr>
            <w:tcW w:w="361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新疆维吾尔自治区生态环境厅</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rPr>
              <w:t>新疆维吾尔自治区生态环境厅第六生态环境监察专员办公室</w:t>
            </w:r>
          </w:p>
        </w:tc>
      </w:tr>
      <w:tr>
        <w:tblPrEx>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项目资金</w:t>
            </w: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年初预算数</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全年预算数</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执行率</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kern w:val="0"/>
                <w:sz w:val="18"/>
                <w:szCs w:val="18"/>
                <w:lang w:bidi="ar"/>
              </w:rPr>
              <w:t>年度资金总额</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9</w:t>
            </w:r>
            <w:r>
              <w:rPr>
                <w:sz w:val="18"/>
                <w:szCs w:val="18"/>
              </w:rPr>
              <w:t>0</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9</w:t>
            </w:r>
            <w:r>
              <w:rPr>
                <w:sz w:val="18"/>
                <w:szCs w:val="18"/>
              </w:rPr>
              <w:t>0</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9</w:t>
            </w:r>
            <w:r>
              <w:rPr>
                <w:sz w:val="18"/>
                <w:szCs w:val="18"/>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1</w:t>
            </w:r>
            <w:r>
              <w:rPr>
                <w:sz w:val="18"/>
                <w:szCs w:val="18"/>
              </w:rPr>
              <w:t>00%</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其中：当年财政拨款</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9</w:t>
            </w:r>
            <w:r>
              <w:rPr>
                <w:sz w:val="18"/>
                <w:szCs w:val="18"/>
              </w:rPr>
              <w:t>0</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9</w:t>
            </w:r>
            <w:r>
              <w:rPr>
                <w:sz w:val="18"/>
                <w:szCs w:val="18"/>
              </w:rPr>
              <w:t>0</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9</w:t>
            </w:r>
            <w:r>
              <w:rPr>
                <w:sz w:val="18"/>
                <w:szCs w:val="18"/>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1</w:t>
            </w:r>
            <w:r>
              <w:rPr>
                <w:sz w:val="18"/>
                <w:szCs w:val="18"/>
              </w:rPr>
              <w:t>00%</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上年结转资金</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rPr>
              <w:t>0</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rPr>
              <w:t>0</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 xml:space="preserve">  其他资金</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rPr>
              <w:t>0</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rPr>
              <w:t>0</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sz w:val="18"/>
                <w:szCs w:val="18"/>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年度总体目标</w:t>
            </w:r>
          </w:p>
        </w:tc>
        <w:tc>
          <w:tcPr>
            <w:tcW w:w="460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预期目标</w:t>
            </w:r>
          </w:p>
        </w:tc>
        <w:tc>
          <w:tcPr>
            <w:tcW w:w="34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实际完成情况</w:t>
            </w:r>
          </w:p>
        </w:tc>
      </w:tr>
      <w:tr>
        <w:tblPrEx>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460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rFonts w:hint="eastAsia"/>
                <w:color w:val="000000"/>
                <w:sz w:val="18"/>
                <w:szCs w:val="18"/>
              </w:rPr>
              <w:t>根据生态环境监察专员办公室职责，2023年</w:t>
            </w:r>
            <w:r>
              <w:rPr>
                <w:rFonts w:hint="eastAsia"/>
                <w:sz w:val="18"/>
                <w:szCs w:val="18"/>
              </w:rPr>
              <w:t>新疆维吾尔自治区生态环境厅第六生态环境监察专员办公室</w:t>
            </w:r>
            <w:r>
              <w:rPr>
                <w:rFonts w:hint="eastAsia"/>
                <w:color w:val="000000"/>
                <w:sz w:val="18"/>
                <w:szCs w:val="18"/>
              </w:rPr>
              <w:t>开展喀什地区、克州、和田地区生态环境保护监察工作，聚焦第二轮中央生态环境督察“回头看”，开展第二轮中央生态环境督察和自治区生态环境保护督察整改任务和自治区级生态环境保护督察和督导工作任务，着力做好涉及喀什地区、克州、和田地区生态环境保护督察任务，持续开展生态环境保护监察、督察工作，督促当地生态环境保护工作持续改善，不断构建新型生态环境保护监察体系。</w:t>
            </w:r>
          </w:p>
        </w:tc>
        <w:tc>
          <w:tcPr>
            <w:tcW w:w="34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textAlignment w:val="center"/>
              <w:rPr>
                <w:color w:val="000000"/>
                <w:sz w:val="18"/>
                <w:szCs w:val="18"/>
              </w:rPr>
            </w:pPr>
            <w:r>
              <w:rPr>
                <w:rFonts w:hint="eastAsia"/>
                <w:color w:val="000000"/>
                <w:sz w:val="18"/>
                <w:szCs w:val="18"/>
              </w:rPr>
              <w:t>一是四次配合自治区督导三组对克州、喀什、和田3个地（州）第二轮中央生态环境保护督察主动认领的29项整改任务，现场督导103个点位，累计向南疆三地（州）整改办致反馈函12份，指出存在的各类问题114个。</w:t>
            </w:r>
          </w:p>
          <w:p>
            <w:pPr>
              <w:spacing w:line="240" w:lineRule="exact"/>
              <w:ind w:firstLine="360" w:firstLineChars="200"/>
              <w:rPr>
                <w:color w:val="000000"/>
                <w:sz w:val="18"/>
                <w:szCs w:val="18"/>
              </w:rPr>
            </w:pPr>
            <w:r>
              <w:rPr>
                <w:rFonts w:hint="eastAsia"/>
                <w:color w:val="000000"/>
                <w:sz w:val="18"/>
                <w:szCs w:val="18"/>
              </w:rPr>
              <w:t>二是高度重视自治区生态环境保护例行督察工作。开展了90余天明察暗访，核查点位140余个，发现各类问题线索93条。前期摸排期间新发现问题线索36条受理转办群众来电来信举报39件，形成7个典型案例及1篇督察报告报厅党组审阅。反馈了喀什地区存在的4个方面15个突出问题已被喀什地委、行署照单全收，督察反馈喀什地区问题正在有序整改中。</w:t>
            </w:r>
          </w:p>
        </w:tc>
      </w:tr>
      <w:tr>
        <w:tblPrEx>
          <w:tblCellMar>
            <w:top w:w="0" w:type="dxa"/>
            <w:left w:w="0" w:type="dxa"/>
            <w:bottom w:w="0" w:type="dxa"/>
            <w:right w:w="0" w:type="dxa"/>
          </w:tblCellMar>
        </w:tblPrEx>
        <w:trPr>
          <w:trHeight w:val="838" w:hRule="atLeast"/>
        </w:trPr>
        <w:tc>
          <w:tcPr>
            <w:tcW w:w="798"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绩效指标</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一级指标</w:t>
            </w: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二级指标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三级指标</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年度指标值</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实际完成值</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偏差原因分析及改进措施</w:t>
            </w:r>
          </w:p>
        </w:tc>
      </w:tr>
      <w:tr>
        <w:tblPrEx>
          <w:tblCellMar>
            <w:top w:w="0" w:type="dxa"/>
            <w:left w:w="0" w:type="dxa"/>
            <w:bottom w:w="0" w:type="dxa"/>
            <w:right w:w="0" w:type="dxa"/>
          </w:tblCellMar>
        </w:tblPrEx>
        <w:trPr>
          <w:trHeight w:val="876"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产出指标</w:t>
            </w: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数量指标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sz w:val="18"/>
                <w:szCs w:val="18"/>
              </w:rPr>
              <w:t>监督（监察）频次</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＞=9次</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9次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数量指标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sz w:val="18"/>
                <w:szCs w:val="18"/>
              </w:rPr>
              <w:t>形成环保督察整改情况报告</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＞=3个</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3个</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数量指标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sz w:val="18"/>
                <w:szCs w:val="18"/>
              </w:rPr>
              <w:t>形成督察检查专项报告</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＞=3个</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3个</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数量指标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sz w:val="18"/>
                <w:szCs w:val="18"/>
              </w:rPr>
              <w:t>覆盖生态环境监察区域</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＞=3个</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3个</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数量指标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sz w:val="18"/>
                <w:szCs w:val="18"/>
              </w:rPr>
              <w:t>购置设备数量</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＞=2台套</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2台套</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质量指标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sz w:val="18"/>
                <w:szCs w:val="18"/>
              </w:rPr>
              <w:t>购置设备质量合格率</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=100%</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highlight w:val="none"/>
                <w:lang w:bidi="ar"/>
              </w:rPr>
            </w:pPr>
            <w:r>
              <w:rPr>
                <w:kern w:val="0"/>
                <w:sz w:val="18"/>
                <w:szCs w:val="18"/>
                <w:highlight w:val="none"/>
                <w:lang w:bidi="ar"/>
              </w:rPr>
              <w:t>质量指标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highlight w:val="none"/>
              </w:rPr>
            </w:pPr>
            <w:r>
              <w:rPr>
                <w:rFonts w:hint="eastAsia"/>
                <w:sz w:val="18"/>
                <w:szCs w:val="18"/>
                <w:highlight w:val="none"/>
              </w:rPr>
              <w:t>政府采购率</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highlight w:val="none"/>
              </w:rPr>
            </w:pPr>
            <w:r>
              <w:rPr>
                <w:rFonts w:ascii="宋体" w:hAnsi="宋体"/>
                <w:sz w:val="16"/>
                <w:szCs w:val="16"/>
                <w:highlight w:val="none"/>
              </w:rPr>
              <w:t>＞=10%</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highlight w:val="none"/>
              </w:rPr>
            </w:pPr>
            <w:r>
              <w:rPr>
                <w:rFonts w:ascii="宋体" w:hAnsi="宋体"/>
                <w:sz w:val="16"/>
                <w:szCs w:val="16"/>
                <w:highlight w:val="none"/>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kern w:val="0"/>
                <w:sz w:val="18"/>
                <w:szCs w:val="18"/>
                <w:lang w:bidi="ar"/>
              </w:rPr>
            </w:pPr>
            <w:bookmarkStart w:id="10" w:name="_GoBack"/>
            <w:bookmarkEnd w:id="10"/>
          </w:p>
        </w:tc>
      </w:tr>
      <w:tr>
        <w:tblPrEx>
          <w:tblCellMar>
            <w:top w:w="0" w:type="dxa"/>
            <w:left w:w="0" w:type="dxa"/>
            <w:bottom w:w="0" w:type="dxa"/>
            <w:right w:w="0" w:type="dxa"/>
          </w:tblCellMar>
        </w:tblPrEx>
        <w:trPr>
          <w:trHeight w:val="876"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质量指标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sz w:val="18"/>
                <w:szCs w:val="18"/>
              </w:rPr>
              <w:t>区域覆盖率</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=100%</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质量指标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sz w:val="18"/>
                <w:szCs w:val="18"/>
              </w:rPr>
              <w:t>报告质量通过率</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=100%</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质量指标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sz w:val="18"/>
                <w:szCs w:val="18"/>
              </w:rPr>
              <w:t>购置设备验收合格率</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=100%</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00"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时效指标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ascii="宋体" w:hAnsi="宋体"/>
                <w:sz w:val="16"/>
                <w:szCs w:val="16"/>
              </w:rPr>
              <w:t>设备采购完成时间</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2023年6月前</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2</w:t>
            </w:r>
            <w:r>
              <w:rPr>
                <w:sz w:val="18"/>
                <w:szCs w:val="18"/>
              </w:rPr>
              <w:t>023</w:t>
            </w:r>
            <w:r>
              <w:rPr>
                <w:rFonts w:hint="eastAsia"/>
                <w:sz w:val="18"/>
                <w:szCs w:val="18"/>
              </w:rPr>
              <w:t>年5月</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00"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时效指标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ascii="宋体" w:hAnsi="宋体"/>
                <w:sz w:val="16"/>
                <w:szCs w:val="16"/>
              </w:rPr>
              <w:t>年度督察任务按时完成率</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=100%</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rFonts w:hint="eastAsia"/>
                <w:kern w:val="0"/>
                <w:sz w:val="18"/>
                <w:szCs w:val="18"/>
                <w:lang w:bidi="ar"/>
              </w:rPr>
              <w:t>成本指标</w:t>
            </w: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派驻检查期间费用</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ascii="宋体" w:hAnsi="宋体"/>
                <w:sz w:val="16"/>
                <w:szCs w:val="16"/>
              </w:rPr>
              <w:t>＜=22.1万</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2</w:t>
            </w:r>
            <w:r>
              <w:rPr>
                <w:sz w:val="18"/>
                <w:szCs w:val="18"/>
              </w:rPr>
              <w:t>2.1</w:t>
            </w:r>
            <w:r>
              <w:rPr>
                <w:rFonts w:hint="eastAsia"/>
                <w:sz w:val="18"/>
                <w:szCs w:val="18"/>
              </w:rPr>
              <w:t>万</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2</w:t>
            </w:r>
            <w:r>
              <w:rPr>
                <w:sz w:val="18"/>
                <w:szCs w:val="18"/>
              </w:rPr>
              <w:t>2.1</w:t>
            </w:r>
            <w:r>
              <w:rPr>
                <w:rFonts w:hint="eastAsia"/>
                <w:sz w:val="18"/>
                <w:szCs w:val="18"/>
              </w:rPr>
              <w:t>万</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sz w:val="16"/>
                <w:szCs w:val="16"/>
              </w:rPr>
            </w:pPr>
            <w:r>
              <w:rPr>
                <w:rFonts w:ascii="宋体" w:hAnsi="宋体"/>
                <w:sz w:val="16"/>
                <w:szCs w:val="16"/>
              </w:rPr>
              <w:t>监督检查工作费用</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宋体" w:hAnsi="宋体"/>
                <w:sz w:val="16"/>
                <w:szCs w:val="16"/>
              </w:rPr>
            </w:pPr>
            <w:r>
              <w:rPr>
                <w:rFonts w:ascii="宋体" w:hAnsi="宋体"/>
                <w:sz w:val="16"/>
                <w:szCs w:val="16"/>
              </w:rPr>
              <w:t>＜=57.9万</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5</w:t>
            </w:r>
            <w:r>
              <w:rPr>
                <w:sz w:val="18"/>
                <w:szCs w:val="18"/>
              </w:rPr>
              <w:t>7.9</w:t>
            </w:r>
            <w:r>
              <w:rPr>
                <w:rFonts w:hint="eastAsia"/>
                <w:sz w:val="18"/>
                <w:szCs w:val="18"/>
              </w:rPr>
              <w:t>万</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5</w:t>
            </w:r>
            <w:r>
              <w:rPr>
                <w:sz w:val="18"/>
                <w:szCs w:val="18"/>
              </w:rPr>
              <w:t>7.9</w:t>
            </w:r>
            <w:r>
              <w:rPr>
                <w:rFonts w:hint="eastAsia"/>
                <w:sz w:val="18"/>
                <w:szCs w:val="18"/>
              </w:rPr>
              <w:t>万</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sz w:val="16"/>
                <w:szCs w:val="16"/>
              </w:rPr>
            </w:pPr>
            <w:r>
              <w:rPr>
                <w:rFonts w:ascii="宋体" w:hAnsi="宋体"/>
                <w:sz w:val="16"/>
                <w:szCs w:val="16"/>
              </w:rPr>
              <w:t>设备采购成本控制数</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宋体" w:hAnsi="宋体"/>
                <w:sz w:val="16"/>
                <w:szCs w:val="16"/>
              </w:rPr>
            </w:pPr>
            <w:r>
              <w:rPr>
                <w:rFonts w:ascii="宋体" w:hAnsi="宋体"/>
                <w:sz w:val="16"/>
                <w:szCs w:val="16"/>
              </w:rPr>
              <w:t>＜=10万</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1</w:t>
            </w:r>
            <w:r>
              <w:rPr>
                <w:sz w:val="18"/>
                <w:szCs w:val="18"/>
              </w:rPr>
              <w:t>0</w:t>
            </w:r>
            <w:r>
              <w:rPr>
                <w:rFonts w:hint="eastAsia"/>
                <w:sz w:val="18"/>
                <w:szCs w:val="18"/>
              </w:rPr>
              <w:t>万</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1</w:t>
            </w:r>
            <w:r>
              <w:rPr>
                <w:sz w:val="18"/>
                <w:szCs w:val="18"/>
              </w:rPr>
              <w:t>0</w:t>
            </w:r>
            <w:r>
              <w:rPr>
                <w:rFonts w:hint="eastAsia"/>
                <w:sz w:val="18"/>
                <w:szCs w:val="18"/>
              </w:rPr>
              <w:t>万</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效益指标</w:t>
            </w: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经济效益</w:t>
            </w:r>
            <w:r>
              <w:rPr>
                <w:sz w:val="18"/>
                <w:szCs w:val="18"/>
              </w:rPr>
              <w:t>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ascii="宋体" w:hAnsi="宋体"/>
                <w:sz w:val="16"/>
                <w:szCs w:val="16"/>
              </w:rPr>
              <w:t>设备利用率</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＞=80%</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sz w:val="18"/>
                <w:szCs w:val="18"/>
              </w:rPr>
              <w:t>80%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sz w:val="18"/>
                <w:szCs w:val="18"/>
              </w:rPr>
              <w:t>社会效益指标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ascii="宋体" w:hAnsi="宋体"/>
                <w:sz w:val="16"/>
                <w:szCs w:val="16"/>
              </w:rPr>
              <w:t>构建新型生态环境保护监察体系</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不断完善</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不断完善</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287" w:hRule="atLeast"/>
        </w:trPr>
        <w:tc>
          <w:tcPr>
            <w:tcW w:w="79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满意度</w:t>
            </w:r>
            <w:r>
              <w:rPr>
                <w:rFonts w:hint="eastAsia"/>
                <w:kern w:val="0"/>
                <w:sz w:val="18"/>
                <w:szCs w:val="18"/>
                <w:lang w:bidi="ar"/>
              </w:rPr>
              <w:t>指标</w:t>
            </w: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服务对象满意度指标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ascii="宋体" w:hAnsi="宋体"/>
                <w:sz w:val="16"/>
                <w:szCs w:val="16"/>
              </w:rPr>
              <w:t>检查人员被投诉次数</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＜=5次</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rPr>
              <w:t>0次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432" w:hRule="atLeast"/>
        </w:trPr>
        <w:tc>
          <w:tcPr>
            <w:tcW w:w="79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服务对象满意度指标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ascii="宋体" w:hAnsi="宋体"/>
                <w:sz w:val="16"/>
                <w:szCs w:val="16"/>
              </w:rPr>
              <w:t>使用人员满意度</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宋体" w:hAnsi="宋体"/>
                <w:sz w:val="16"/>
                <w:szCs w:val="16"/>
              </w:rPr>
              <w:t>＞=90%</w:t>
            </w:r>
          </w:p>
        </w:tc>
        <w:tc>
          <w:tcPr>
            <w:tcW w:w="195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ascii="仿宋_GB2312" w:hAnsi="仿宋_GB2312" w:eastAsia="仿宋_GB2312" w:cs="仿宋_GB2312"/>
                <w:sz w:val="18"/>
                <w:szCs w:val="18"/>
              </w:rPr>
              <w:t>90</w:t>
            </w:r>
            <w:r>
              <w:rPr>
                <w:sz w:val="18"/>
                <w:szCs w:val="18"/>
              </w:rPr>
              <w:t>%</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bookmarkEnd w:id="7"/>
    </w:tbl>
    <w:p>
      <w:pPr>
        <w:pStyle w:val="2"/>
        <w:jc w:val="both"/>
        <w:rPr>
          <w:rFonts w:ascii="Times New Roman" w:hAnsi="Times New Roman" w:eastAsia="黑体"/>
          <w:b w:val="0"/>
          <w:bCs w:val="0"/>
        </w:rPr>
      </w:pPr>
    </w:p>
    <w:p>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rFonts w:ascii="黑体" w:hAnsi="黑体" w:eastAsia="黑体" w:cs="黑体"/>
        </w:rPr>
      </w:pPr>
      <w:r>
        <w:rPr>
          <w:rFonts w:hint="eastAsia" w:ascii="黑体" w:hAnsi="黑体" w:eastAsia="黑体" w:cs="黑体"/>
          <w:bCs/>
          <w:sz w:val="32"/>
          <w:szCs w:val="32"/>
        </w:rPr>
        <w:t>附件1</w:t>
      </w:r>
    </w:p>
    <w:p>
      <w:pPr>
        <w:pStyle w:val="18"/>
        <w:ind w:firstLine="562"/>
        <w:jc w:val="center"/>
        <w:rPr>
          <w:b/>
          <w:bCs/>
          <w:sz w:val="28"/>
          <w:szCs w:val="40"/>
        </w:rPr>
      </w:pPr>
      <w:bookmarkStart w:id="8" w:name="_Toc26499_WPSOffice_Level2"/>
      <w:bookmarkStart w:id="9" w:name="_Toc30064_WPSOffice_Level1"/>
      <w:r>
        <w:rPr>
          <w:rFonts w:hint="eastAsia"/>
          <w:b/>
          <w:bCs/>
          <w:sz w:val="28"/>
          <w:szCs w:val="40"/>
        </w:rPr>
        <w:t>生态环境厅第六生态环境监察专员办公室环境监察专项绩效评价指标体系及综合评分表</w:t>
      </w:r>
      <w:bookmarkEnd w:id="8"/>
      <w:bookmarkEnd w:id="9"/>
    </w:p>
    <w:tbl>
      <w:tblPr>
        <w:tblStyle w:val="1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301"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2048"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r>
              <w:rPr>
                <w:color w:val="000000"/>
                <w:kern w:val="0"/>
                <w:sz w:val="22"/>
                <w:szCs w:val="22"/>
              </w:rPr>
              <w:t>决策　</w:t>
            </w:r>
          </w:p>
        </w:tc>
        <w:tc>
          <w:tcPr>
            <w:tcW w:w="30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000000"/>
                <w:kern w:val="0"/>
                <w:sz w:val="22"/>
                <w:szCs w:val="22"/>
              </w:rPr>
            </w:pPr>
          </w:p>
        </w:tc>
        <w:tc>
          <w:tcPr>
            <w:tcW w:w="301"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8"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000000"/>
                <w:kern w:val="0"/>
                <w:sz w:val="22"/>
                <w:szCs w:val="22"/>
              </w:rPr>
            </w:pPr>
          </w:p>
        </w:tc>
        <w:tc>
          <w:tcPr>
            <w:tcW w:w="30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rPr>
            </w:pPr>
          </w:p>
        </w:tc>
        <w:tc>
          <w:tcPr>
            <w:tcW w:w="301"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pPr>
              <w:spacing w:line="0" w:lineRule="atLeast"/>
              <w:jc w:val="center"/>
              <w:rPr>
                <w:color w:val="000000"/>
                <w:kern w:val="0"/>
                <w:sz w:val="22"/>
                <w:szCs w:val="22"/>
              </w:rPr>
            </w:pPr>
          </w:p>
        </w:tc>
        <w:tc>
          <w:tcPr>
            <w:tcW w:w="30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rPr>
            </w:pPr>
          </w:p>
        </w:tc>
        <w:tc>
          <w:tcPr>
            <w:tcW w:w="301"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r>
              <w:rPr>
                <w:color w:val="000000"/>
                <w:kern w:val="0"/>
                <w:sz w:val="22"/>
                <w:szCs w:val="22"/>
              </w:rPr>
              <w:t>过程</w:t>
            </w:r>
          </w:p>
          <w:p>
            <w:pPr>
              <w:widowControl/>
              <w:spacing w:line="0" w:lineRule="atLeast"/>
              <w:jc w:val="center"/>
              <w:rPr>
                <w:color w:val="000000"/>
                <w:kern w:val="0"/>
                <w:sz w:val="22"/>
                <w:szCs w:val="22"/>
              </w:rPr>
            </w:pPr>
            <w:r>
              <w:rPr>
                <w:color w:val="000000"/>
                <w:kern w:val="0"/>
                <w:sz w:val="22"/>
                <w:szCs w:val="22"/>
              </w:rPr>
              <w:t>　　</w:t>
            </w:r>
          </w:p>
        </w:tc>
        <w:tc>
          <w:tcPr>
            <w:tcW w:w="30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pPr>
              <w:spacing w:line="0" w:lineRule="atLeast"/>
              <w:jc w:val="center"/>
              <w:rPr>
                <w:color w:val="000000"/>
                <w:kern w:val="0"/>
                <w:sz w:val="22"/>
                <w:szCs w:val="22"/>
              </w:rPr>
            </w:pPr>
          </w:p>
        </w:tc>
        <w:tc>
          <w:tcPr>
            <w:tcW w:w="301" w:type="pct"/>
            <w:vMerge w:val="continue"/>
            <w:shd w:val="clear" w:color="auto" w:fill="FFFFFF"/>
            <w:vAlign w:val="center"/>
          </w:tcPr>
          <w:p>
            <w:pPr>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8" w:type="pct"/>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spacing w:line="0" w:lineRule="atLeast"/>
              <w:jc w:val="center"/>
              <w:rPr>
                <w:color w:val="000000"/>
                <w:kern w:val="0"/>
                <w:sz w:val="22"/>
                <w:szCs w:val="22"/>
              </w:rPr>
            </w:pPr>
          </w:p>
        </w:tc>
        <w:tc>
          <w:tcPr>
            <w:tcW w:w="30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pPr>
              <w:spacing w:line="0" w:lineRule="atLeast"/>
              <w:jc w:val="center"/>
              <w:rPr>
                <w:color w:val="000000"/>
                <w:kern w:val="0"/>
                <w:sz w:val="22"/>
                <w:szCs w:val="22"/>
              </w:rPr>
            </w:pPr>
          </w:p>
        </w:tc>
        <w:tc>
          <w:tcPr>
            <w:tcW w:w="30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rPr>
            </w:pPr>
          </w:p>
        </w:tc>
        <w:tc>
          <w:tcPr>
            <w:tcW w:w="301"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rPr>
            </w:pPr>
          </w:p>
        </w:tc>
        <w:tc>
          <w:tcPr>
            <w:tcW w:w="30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pPr>
              <w:spacing w:line="0" w:lineRule="atLeast"/>
              <w:jc w:val="center"/>
              <w:rPr>
                <w:color w:val="000000"/>
                <w:kern w:val="0"/>
                <w:sz w:val="22"/>
                <w:szCs w:val="22"/>
              </w:rPr>
            </w:pPr>
          </w:p>
        </w:tc>
        <w:tc>
          <w:tcPr>
            <w:tcW w:w="301" w:type="pct"/>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rPr>
            </w:pPr>
          </w:p>
        </w:tc>
        <w:tc>
          <w:tcPr>
            <w:tcW w:w="30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30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2048" w:type="pct"/>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rPr>
            </w:pPr>
          </w:p>
        </w:tc>
        <w:tc>
          <w:tcPr>
            <w:tcW w:w="301"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altName w:val="仿宋_GB2312"/>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NTU0MWNlMTdmZDllOTYxYjJiZGVlZTI3NjFlNmQifQ=="/>
  </w:docVars>
  <w:rsids>
    <w:rsidRoot w:val="FF6C4049"/>
    <w:rsid w:val="000621FA"/>
    <w:rsid w:val="00067C5F"/>
    <w:rsid w:val="000B5EF1"/>
    <w:rsid w:val="001030C6"/>
    <w:rsid w:val="00115C21"/>
    <w:rsid w:val="001202CC"/>
    <w:rsid w:val="00143063"/>
    <w:rsid w:val="001C13A2"/>
    <w:rsid w:val="001E31EF"/>
    <w:rsid w:val="00223359"/>
    <w:rsid w:val="002B0217"/>
    <w:rsid w:val="002D7A4C"/>
    <w:rsid w:val="0031344B"/>
    <w:rsid w:val="00363DE6"/>
    <w:rsid w:val="003E7058"/>
    <w:rsid w:val="00416D13"/>
    <w:rsid w:val="00456D94"/>
    <w:rsid w:val="004C125E"/>
    <w:rsid w:val="004E195C"/>
    <w:rsid w:val="004F61B6"/>
    <w:rsid w:val="00527999"/>
    <w:rsid w:val="00576EF8"/>
    <w:rsid w:val="005806E7"/>
    <w:rsid w:val="00634D6E"/>
    <w:rsid w:val="006E0CA4"/>
    <w:rsid w:val="006F7242"/>
    <w:rsid w:val="00705495"/>
    <w:rsid w:val="0071497D"/>
    <w:rsid w:val="0072480C"/>
    <w:rsid w:val="00744D89"/>
    <w:rsid w:val="007756FE"/>
    <w:rsid w:val="007B168A"/>
    <w:rsid w:val="007F4DC7"/>
    <w:rsid w:val="00833718"/>
    <w:rsid w:val="00837C92"/>
    <w:rsid w:val="00874E42"/>
    <w:rsid w:val="008B2CFE"/>
    <w:rsid w:val="00906FD4"/>
    <w:rsid w:val="0092011D"/>
    <w:rsid w:val="00927273"/>
    <w:rsid w:val="009A2C4D"/>
    <w:rsid w:val="009E74B5"/>
    <w:rsid w:val="00A1718F"/>
    <w:rsid w:val="00A36EA5"/>
    <w:rsid w:val="00A538C1"/>
    <w:rsid w:val="00A86E5A"/>
    <w:rsid w:val="00A93AF3"/>
    <w:rsid w:val="00BC2A91"/>
    <w:rsid w:val="00C25D44"/>
    <w:rsid w:val="00C26389"/>
    <w:rsid w:val="00C44774"/>
    <w:rsid w:val="00CA6771"/>
    <w:rsid w:val="00CC713F"/>
    <w:rsid w:val="00CD567F"/>
    <w:rsid w:val="00D61312"/>
    <w:rsid w:val="00D6221C"/>
    <w:rsid w:val="00DD2B09"/>
    <w:rsid w:val="00DF0BB9"/>
    <w:rsid w:val="00E44163"/>
    <w:rsid w:val="00EA24DA"/>
    <w:rsid w:val="00ED458F"/>
    <w:rsid w:val="00F26FF6"/>
    <w:rsid w:val="00F67CB6"/>
    <w:rsid w:val="00FA78FC"/>
    <w:rsid w:val="00FE3740"/>
    <w:rsid w:val="037729AD"/>
    <w:rsid w:val="07397B77"/>
    <w:rsid w:val="13471461"/>
    <w:rsid w:val="13B90F01"/>
    <w:rsid w:val="181066D2"/>
    <w:rsid w:val="1C671E73"/>
    <w:rsid w:val="38CA40DD"/>
    <w:rsid w:val="395F2B56"/>
    <w:rsid w:val="3BECE841"/>
    <w:rsid w:val="3BF14D1D"/>
    <w:rsid w:val="3FF7797D"/>
    <w:rsid w:val="55987366"/>
    <w:rsid w:val="57460F16"/>
    <w:rsid w:val="5BFF6039"/>
    <w:rsid w:val="5D76A616"/>
    <w:rsid w:val="5D7F20B9"/>
    <w:rsid w:val="5D812EB1"/>
    <w:rsid w:val="5DAC7D0E"/>
    <w:rsid w:val="5F98B5AF"/>
    <w:rsid w:val="5FFE8511"/>
    <w:rsid w:val="5FFEACE2"/>
    <w:rsid w:val="643EE26D"/>
    <w:rsid w:val="6F5C41AC"/>
    <w:rsid w:val="6FAF6C78"/>
    <w:rsid w:val="7317C656"/>
    <w:rsid w:val="734ED73F"/>
    <w:rsid w:val="77FD8BE9"/>
    <w:rsid w:val="79A9BD3F"/>
    <w:rsid w:val="7A277020"/>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autoRedefine/>
    <w:qFormat/>
    <w:uiPriority w:val="0"/>
    <w:pPr>
      <w:jc w:val="left"/>
    </w:pPr>
  </w:style>
  <w:style w:type="paragraph" w:styleId="5">
    <w:name w:val="Body Text"/>
    <w:basedOn w:val="1"/>
    <w:autoRedefine/>
    <w:qFormat/>
    <w:uiPriority w:val="0"/>
    <w:pPr>
      <w:spacing w:after="120"/>
    </w:pPr>
  </w:style>
  <w:style w:type="paragraph" w:styleId="6">
    <w:name w:val="Body Text Indent"/>
    <w:basedOn w:val="1"/>
    <w:autoRedefine/>
    <w:qFormat/>
    <w:uiPriority w:val="0"/>
    <w:pPr>
      <w:spacing w:after="120"/>
      <w:ind w:left="420" w:leftChars="200"/>
    </w:pPr>
    <w:rPr>
      <w:rFonts w:ascii="Calibri" w:hAnsi="Calibri"/>
    </w:rPr>
  </w:style>
  <w:style w:type="paragraph" w:styleId="7">
    <w:name w:val="Balloon Text"/>
    <w:basedOn w:val="1"/>
    <w:link w:val="19"/>
    <w:autoRedefine/>
    <w:qFormat/>
    <w:uiPriority w:val="0"/>
    <w:rPr>
      <w:sz w:val="18"/>
      <w:szCs w:val="18"/>
    </w:rPr>
  </w:style>
  <w:style w:type="paragraph" w:styleId="8">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autoRedefine/>
    <w:qFormat/>
    <w:uiPriority w:val="0"/>
    <w:rPr>
      <w:b/>
      <w:bCs/>
    </w:rPr>
  </w:style>
  <w:style w:type="paragraph" w:styleId="11">
    <w:name w:val="Body Text First Indent"/>
    <w:basedOn w:val="5"/>
    <w:autoRedefine/>
    <w:qFormat/>
    <w:uiPriority w:val="0"/>
    <w:pPr>
      <w:spacing w:after="0"/>
      <w:ind w:firstLine="200" w:firstLineChars="200"/>
    </w:pPr>
  </w:style>
  <w:style w:type="paragraph" w:styleId="12">
    <w:name w:val="Body Text First Indent 2"/>
    <w:basedOn w:val="6"/>
    <w:autoRedefine/>
    <w:qFormat/>
    <w:uiPriority w:val="0"/>
    <w:pPr>
      <w:ind w:firstLine="420" w:firstLineChars="200"/>
    </w:p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autoRedefine/>
    <w:qFormat/>
    <w:uiPriority w:val="3"/>
    <w:pPr>
      <w:spacing w:line="500" w:lineRule="exact"/>
      <w:ind w:firstLine="200"/>
    </w:pPr>
    <w:rPr>
      <w:kern w:val="0"/>
      <w:szCs w:val="28"/>
    </w:rPr>
  </w:style>
  <w:style w:type="character" w:customStyle="1" w:styleId="19">
    <w:name w:val="批注框文本 字符"/>
    <w:basedOn w:val="14"/>
    <w:link w:val="7"/>
    <w:autoRedefine/>
    <w:qFormat/>
    <w:uiPriority w:val="0"/>
    <w:rPr>
      <w:rFonts w:ascii="Times New Roman" w:hAnsi="Times New Roman" w:eastAsia="宋体" w:cs="Times New Roman"/>
      <w:kern w:val="2"/>
      <w:sz w:val="18"/>
      <w:szCs w:val="18"/>
    </w:rPr>
  </w:style>
  <w:style w:type="character" w:customStyle="1" w:styleId="20">
    <w:name w:val="页眉 字符"/>
    <w:basedOn w:val="14"/>
    <w:link w:val="9"/>
    <w:autoRedefine/>
    <w:qFormat/>
    <w:uiPriority w:val="0"/>
    <w:rPr>
      <w:rFonts w:ascii="Times New Roman" w:hAnsi="Times New Roman" w:eastAsia="宋体" w:cs="Times New Roman"/>
      <w:kern w:val="2"/>
      <w:sz w:val="18"/>
      <w:szCs w:val="18"/>
    </w:rPr>
  </w:style>
  <w:style w:type="character" w:customStyle="1" w:styleId="21">
    <w:name w:val="批注文字 字符"/>
    <w:basedOn w:val="14"/>
    <w:link w:val="4"/>
    <w:autoRedefine/>
    <w:qFormat/>
    <w:uiPriority w:val="0"/>
    <w:rPr>
      <w:rFonts w:ascii="Times New Roman" w:hAnsi="Times New Roman" w:eastAsia="宋体" w:cs="Times New Roman"/>
      <w:kern w:val="2"/>
      <w:sz w:val="21"/>
      <w:szCs w:val="24"/>
    </w:rPr>
  </w:style>
  <w:style w:type="character" w:customStyle="1" w:styleId="22">
    <w:name w:val="批注主题 字符"/>
    <w:basedOn w:val="21"/>
    <w:link w:val="10"/>
    <w:autoRedefine/>
    <w:qFormat/>
    <w:uiPriority w:val="0"/>
    <w:rPr>
      <w:rFonts w:ascii="Times New Roman" w:hAnsi="Times New Roman" w:eastAsia="宋体" w:cs="Times New Roman"/>
      <w:b/>
      <w:bCs/>
      <w:kern w:val="2"/>
      <w:sz w:val="21"/>
      <w:szCs w:val="24"/>
    </w:rPr>
  </w:style>
  <w:style w:type="character" w:customStyle="1" w:styleId="23">
    <w:name w:val="NormalCharacter"/>
    <w:autoRedefine/>
    <w:qFormat/>
    <w:uiPriority w:val="0"/>
    <w:rPr>
      <w:rFonts w:ascii="Times New Roman" w:hAnsi="Times New Roman" w:eastAsia="仿宋_GB2312" w:cs="Times New Roman"/>
      <w:kern w:val="2"/>
      <w:sz w:val="30"/>
      <w:szCs w:val="24"/>
      <w:lang w:val="en-US" w:eastAsia="zh-CN" w:bidi="ar-SA"/>
    </w:rPr>
  </w:style>
  <w:style w:type="paragraph" w:styleId="24">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1845</Words>
  <Characters>10518</Characters>
  <Lines>87</Lines>
  <Paragraphs>24</Paragraphs>
  <TotalTime>60</TotalTime>
  <ScaleCrop>false</ScaleCrop>
  <LinksUpToDate>false</LinksUpToDate>
  <CharactersWithSpaces>12339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Aurora</cp:lastModifiedBy>
  <dcterms:modified xsi:type="dcterms:W3CDTF">2024-03-14T10:38:23Z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DEB37354E36D40D48F20A3DAB18895C3</vt:lpwstr>
  </property>
</Properties>
</file>