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2FCD1">
      <w:pPr>
        <w:spacing w:line="540" w:lineRule="exact"/>
        <w:jc w:val="center"/>
        <w:rPr>
          <w:rFonts w:eastAsia="华文中宋"/>
          <w:b/>
          <w:kern w:val="0"/>
          <w:sz w:val="52"/>
          <w:szCs w:val="52"/>
        </w:rPr>
      </w:pPr>
    </w:p>
    <w:p w14:paraId="31C99A65">
      <w:pPr>
        <w:spacing w:line="540" w:lineRule="exact"/>
        <w:rPr>
          <w:rFonts w:eastAsia="华文中宋"/>
          <w:b/>
          <w:kern w:val="0"/>
          <w:sz w:val="52"/>
          <w:szCs w:val="52"/>
        </w:rPr>
      </w:pPr>
    </w:p>
    <w:p w14:paraId="1E34DE93">
      <w:pPr>
        <w:spacing w:line="540" w:lineRule="exact"/>
        <w:jc w:val="center"/>
        <w:rPr>
          <w:rFonts w:eastAsia="华文中宋"/>
          <w:b/>
          <w:kern w:val="0"/>
          <w:sz w:val="52"/>
          <w:szCs w:val="52"/>
        </w:rPr>
      </w:pPr>
    </w:p>
    <w:p w14:paraId="6D4B649F">
      <w:pPr>
        <w:spacing w:line="540" w:lineRule="exact"/>
        <w:jc w:val="center"/>
        <w:rPr>
          <w:rFonts w:eastAsia="华文中宋"/>
          <w:b/>
          <w:kern w:val="0"/>
          <w:sz w:val="52"/>
          <w:szCs w:val="52"/>
        </w:rPr>
      </w:pPr>
    </w:p>
    <w:p w14:paraId="006022F3">
      <w:pPr>
        <w:spacing w:line="540" w:lineRule="exact"/>
        <w:jc w:val="center"/>
        <w:rPr>
          <w:rFonts w:eastAsia="方正小标宋_GBK"/>
          <w:kern w:val="0"/>
          <w:sz w:val="48"/>
          <w:szCs w:val="48"/>
        </w:rPr>
      </w:pPr>
      <w:r>
        <w:rPr>
          <w:rFonts w:hint="eastAsia" w:eastAsia="方正小标宋_GBK"/>
          <w:kern w:val="0"/>
          <w:sz w:val="48"/>
          <w:szCs w:val="48"/>
        </w:rPr>
        <w:t>生态环境厅环境监察专员办环境监察专项</w:t>
      </w:r>
      <w:r>
        <w:rPr>
          <w:rFonts w:eastAsia="方正小标宋_GBK"/>
          <w:kern w:val="0"/>
          <w:sz w:val="48"/>
          <w:szCs w:val="48"/>
        </w:rPr>
        <w:t>资金项目支出绩效评价</w:t>
      </w:r>
    </w:p>
    <w:p w14:paraId="03296912">
      <w:pPr>
        <w:spacing w:line="540" w:lineRule="exact"/>
        <w:jc w:val="center"/>
        <w:rPr>
          <w:rFonts w:eastAsia="方正小标宋_GBK"/>
          <w:kern w:val="0"/>
          <w:sz w:val="48"/>
          <w:szCs w:val="48"/>
        </w:rPr>
      </w:pPr>
      <w:r>
        <w:rPr>
          <w:rFonts w:eastAsia="方正小标宋_GBK"/>
          <w:kern w:val="0"/>
          <w:sz w:val="48"/>
          <w:szCs w:val="48"/>
        </w:rPr>
        <w:t>报告</w:t>
      </w:r>
    </w:p>
    <w:p w14:paraId="66B09222">
      <w:pPr>
        <w:spacing w:line="540" w:lineRule="exact"/>
        <w:jc w:val="center"/>
        <w:rPr>
          <w:rFonts w:eastAsia="华文中宋"/>
          <w:b/>
          <w:kern w:val="0"/>
          <w:sz w:val="52"/>
          <w:szCs w:val="52"/>
        </w:rPr>
      </w:pPr>
    </w:p>
    <w:p w14:paraId="1EE30C37">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075866C9">
      <w:pPr>
        <w:spacing w:line="540" w:lineRule="exact"/>
        <w:jc w:val="center"/>
        <w:rPr>
          <w:rFonts w:eastAsia="仿宋_GB2312"/>
          <w:kern w:val="0"/>
          <w:sz w:val="30"/>
          <w:szCs w:val="30"/>
        </w:rPr>
      </w:pPr>
    </w:p>
    <w:p w14:paraId="656BE776">
      <w:pPr>
        <w:spacing w:line="540" w:lineRule="exact"/>
        <w:jc w:val="center"/>
        <w:rPr>
          <w:rFonts w:eastAsia="仿宋_GB2312"/>
          <w:kern w:val="0"/>
          <w:sz w:val="30"/>
          <w:szCs w:val="30"/>
        </w:rPr>
      </w:pPr>
    </w:p>
    <w:p w14:paraId="779B8DC7">
      <w:pPr>
        <w:spacing w:line="540" w:lineRule="exact"/>
        <w:jc w:val="center"/>
        <w:rPr>
          <w:rFonts w:eastAsia="仿宋_GB2312"/>
          <w:kern w:val="0"/>
          <w:sz w:val="30"/>
          <w:szCs w:val="30"/>
        </w:rPr>
      </w:pPr>
    </w:p>
    <w:p w14:paraId="259B0B6C">
      <w:pPr>
        <w:pStyle w:val="10"/>
      </w:pPr>
    </w:p>
    <w:p w14:paraId="4811F916">
      <w:pPr>
        <w:spacing w:line="540" w:lineRule="exact"/>
        <w:jc w:val="center"/>
        <w:rPr>
          <w:rFonts w:eastAsia="仿宋_GB2312"/>
          <w:kern w:val="0"/>
          <w:sz w:val="30"/>
          <w:szCs w:val="30"/>
        </w:rPr>
      </w:pPr>
    </w:p>
    <w:p w14:paraId="748DAC70">
      <w:pPr>
        <w:spacing w:line="540" w:lineRule="exact"/>
        <w:rPr>
          <w:rFonts w:eastAsia="仿宋_GB2312"/>
          <w:kern w:val="0"/>
          <w:sz w:val="30"/>
          <w:szCs w:val="30"/>
        </w:rPr>
      </w:pPr>
    </w:p>
    <w:p w14:paraId="7A1D30A8">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28"/>
          <w:szCs w:val="28"/>
        </w:rPr>
        <w:t>生态环境厅环境监察专员办环境监察专项</w:t>
      </w:r>
    </w:p>
    <w:p w14:paraId="4CE0937E">
      <w:pPr>
        <w:spacing w:line="700" w:lineRule="exact"/>
        <w:ind w:firstLine="1440" w:firstLineChars="400"/>
        <w:jc w:val="left"/>
        <w:rPr>
          <w:rFonts w:eastAsia="仿宋_GB2312"/>
          <w:kern w:val="0"/>
          <w:sz w:val="28"/>
          <w:szCs w:val="28"/>
        </w:rPr>
      </w:pPr>
      <w:r>
        <w:rPr>
          <w:rFonts w:eastAsia="仿宋_GB2312"/>
          <w:kern w:val="0"/>
          <w:sz w:val="36"/>
          <w:szCs w:val="36"/>
        </w:rPr>
        <w:t>实施单位（公章）：</w:t>
      </w:r>
      <w:r>
        <w:rPr>
          <w:rFonts w:hint="eastAsia" w:eastAsia="仿宋_GB2312"/>
          <w:kern w:val="0"/>
          <w:sz w:val="28"/>
          <w:szCs w:val="28"/>
        </w:rPr>
        <w:t>自治区生态环境厅第五生态环境监察专员办公室</w:t>
      </w:r>
    </w:p>
    <w:p w14:paraId="5E87295B">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自治区生态环境厅</w:t>
      </w:r>
    </w:p>
    <w:p w14:paraId="024A6712">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张启东</w:t>
      </w:r>
    </w:p>
    <w:p w14:paraId="7B60DD4D">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18</w:t>
      </w:r>
      <w:r>
        <w:rPr>
          <w:rFonts w:eastAsia="仿宋_GB2312"/>
          <w:kern w:val="0"/>
          <w:sz w:val="36"/>
          <w:szCs w:val="36"/>
        </w:rPr>
        <w:t>日</w:t>
      </w:r>
    </w:p>
    <w:p w14:paraId="4E16C2EB">
      <w:pPr>
        <w:spacing w:line="540" w:lineRule="exact"/>
        <w:jc w:val="center"/>
        <w:rPr>
          <w:rFonts w:eastAsia="仿宋_GB2312"/>
          <w:kern w:val="0"/>
          <w:sz w:val="30"/>
          <w:szCs w:val="30"/>
        </w:rPr>
      </w:pPr>
    </w:p>
    <w:p w14:paraId="5A408A29">
      <w:pPr>
        <w:spacing w:line="540" w:lineRule="exact"/>
        <w:rPr>
          <w:rStyle w:val="16"/>
          <w:rFonts w:eastAsia="黑体"/>
          <w:b w:val="0"/>
          <w:spacing w:val="-4"/>
          <w:sz w:val="32"/>
          <w:szCs w:val="32"/>
        </w:rPr>
      </w:pPr>
    </w:p>
    <w:p w14:paraId="79012A19">
      <w:pPr>
        <w:spacing w:line="540" w:lineRule="exact"/>
        <w:ind w:firstLine="640"/>
        <w:rPr>
          <w:rStyle w:val="16"/>
          <w:rFonts w:eastAsia="黑体"/>
          <w:b w:val="0"/>
          <w:spacing w:val="-4"/>
          <w:sz w:val="32"/>
          <w:szCs w:val="32"/>
        </w:rPr>
      </w:pPr>
    </w:p>
    <w:p w14:paraId="597941C5">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BFFC87C">
      <w:pPr>
        <w:spacing w:line="560" w:lineRule="exact"/>
        <w:ind w:firstLine="640" w:firstLineChars="200"/>
        <w:rPr>
          <w:rFonts w:eastAsia="黑体"/>
          <w:bCs/>
          <w:sz w:val="32"/>
          <w:szCs w:val="32"/>
        </w:rPr>
      </w:pPr>
      <w:r>
        <w:rPr>
          <w:rFonts w:eastAsia="黑体"/>
          <w:bCs/>
          <w:sz w:val="32"/>
          <w:szCs w:val="32"/>
        </w:rPr>
        <w:t>一、基本情况</w:t>
      </w:r>
    </w:p>
    <w:p w14:paraId="1EBB3F33">
      <w:pPr>
        <w:spacing w:line="560" w:lineRule="exact"/>
        <w:ind w:firstLine="643" w:firstLineChars="200"/>
        <w:rPr>
          <w:rFonts w:eastAsia="楷体_GB2312"/>
          <w:b/>
          <w:bCs/>
          <w:sz w:val="32"/>
          <w:szCs w:val="32"/>
        </w:rPr>
      </w:pPr>
      <w:r>
        <w:rPr>
          <w:rFonts w:eastAsia="楷体_GB2312"/>
          <w:b/>
          <w:bCs/>
          <w:sz w:val="32"/>
          <w:szCs w:val="32"/>
        </w:rPr>
        <w:t>（一）项目概况</w:t>
      </w:r>
    </w:p>
    <w:p w14:paraId="10744EA3">
      <w:pPr>
        <w:spacing w:line="560" w:lineRule="exact"/>
        <w:ind w:firstLine="643" w:firstLineChars="200"/>
        <w:rPr>
          <w:rFonts w:eastAsia="仿宋_GB2312"/>
          <w:b/>
          <w:bCs/>
          <w:sz w:val="32"/>
          <w:szCs w:val="32"/>
        </w:rPr>
      </w:pPr>
      <w:r>
        <w:rPr>
          <w:rFonts w:eastAsia="仿宋_GB2312"/>
          <w:b/>
          <w:bCs/>
          <w:sz w:val="32"/>
          <w:szCs w:val="32"/>
        </w:rPr>
        <w:t>1、项目背景</w:t>
      </w:r>
    </w:p>
    <w:p w14:paraId="58F98527">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7775FD02">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新疆维吾尔自治区生态环境厅职能配置内设机构和人员编制规定〉的通知》（新党厅字〔2018〕154号），2019年我区应建立健全生态环境保护督察制度，跨区域设立6个生态环境监察专员办公室，作为自治区生态环境厅派出机构，承担所辖区域的生态环境保护监察和督察工作。第五生态环境监察专员办公室负责巴音郭楞蒙古自治州、阿克苏地区区域生态环境监察工作，办公地点设在库尔勒市。</w:t>
      </w:r>
    </w:p>
    <w:p w14:paraId="04783FC0">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14324C58">
      <w:pPr>
        <w:spacing w:line="560" w:lineRule="exact"/>
        <w:ind w:firstLine="640" w:firstLineChars="200"/>
        <w:rPr>
          <w:rFonts w:eastAsia="仿宋_GB2312"/>
          <w:sz w:val="32"/>
          <w:szCs w:val="32"/>
        </w:rPr>
      </w:pPr>
      <w:r>
        <w:rPr>
          <w:rFonts w:hint="eastAsia" w:eastAsia="仿宋_GB2312"/>
          <w:sz w:val="32"/>
          <w:szCs w:val="32"/>
        </w:rPr>
        <w:t>项目主要内容：根据中央生态环境保护督察涉及到的整改任务，按照自治区党委、人民政府及生态环境厅统一部署，开展对辖区内地州市区域生态环境监察工作，通过日常监察、现场巡查等方式，督促当地生态环境保护工作持续改善。</w:t>
      </w:r>
    </w:p>
    <w:p w14:paraId="68A78A28">
      <w:pPr>
        <w:spacing w:line="560" w:lineRule="exact"/>
        <w:ind w:firstLine="640" w:firstLineChars="200"/>
      </w:pPr>
      <w:r>
        <w:rPr>
          <w:rFonts w:eastAsia="仿宋_GB2312"/>
          <w:sz w:val="32"/>
          <w:szCs w:val="32"/>
        </w:rPr>
        <w:t>项目实施情况：</w:t>
      </w:r>
      <w:r>
        <w:rPr>
          <w:rFonts w:hint="eastAsia" w:eastAsia="仿宋_GB2312"/>
          <w:sz w:val="32"/>
          <w:szCs w:val="32"/>
        </w:rPr>
        <w:t>生态环境厅环境监察专员办环境监察专项</w:t>
      </w:r>
      <w:r>
        <w:rPr>
          <w:rFonts w:eastAsia="仿宋_GB2312"/>
          <w:sz w:val="32"/>
          <w:szCs w:val="32"/>
        </w:rPr>
        <w:t>目前已经完成实际设立的目标，</w:t>
      </w:r>
      <w:r>
        <w:rPr>
          <w:rFonts w:hint="eastAsia" w:eastAsia="仿宋_GB2312"/>
          <w:sz w:val="32"/>
          <w:szCs w:val="32"/>
        </w:rPr>
        <w:t>生态环境厅环境监察专员办环境监察专项</w:t>
      </w:r>
      <w:r>
        <w:rPr>
          <w:rFonts w:eastAsia="仿宋_GB2312"/>
          <w:sz w:val="32"/>
          <w:szCs w:val="32"/>
        </w:rPr>
        <w:t>在实施过程中严格按照目标设立的各阶段任务进行开展工作，在前期立项过程中严格把质量关，建立安全防护机制，保证项目实施各阶段安全顺利进行。</w:t>
      </w:r>
    </w:p>
    <w:p w14:paraId="7E6C1797">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3D1EDC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779A95D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该项目年初预算数90万元，全年预算数90万元，实际总投入90万元，该项目资金已全部落实到位，资金来源为一般公共预算。</w:t>
      </w:r>
    </w:p>
    <w:p w14:paraId="0072868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44A0095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该项目年初预算数90万元，全年预算数90万元，全年执行数90万元，预算执行率为100%，主要用于：支付项目实施进程中的各项费用。</w:t>
      </w:r>
    </w:p>
    <w:p w14:paraId="4A923035">
      <w:pPr>
        <w:spacing w:line="560" w:lineRule="exact"/>
        <w:ind w:firstLine="643" w:firstLineChars="200"/>
        <w:rPr>
          <w:rFonts w:eastAsia="楷体_GB2312"/>
          <w:b/>
          <w:bCs/>
          <w:sz w:val="32"/>
          <w:szCs w:val="32"/>
        </w:rPr>
      </w:pPr>
      <w:r>
        <w:rPr>
          <w:rFonts w:eastAsia="楷体_GB2312"/>
          <w:b/>
          <w:bCs/>
          <w:sz w:val="32"/>
          <w:szCs w:val="32"/>
        </w:rPr>
        <w:t>（二）项目绩效目标</w:t>
      </w:r>
    </w:p>
    <w:p w14:paraId="65504701">
      <w:pPr>
        <w:spacing w:line="560" w:lineRule="exact"/>
        <w:ind w:firstLine="640" w:firstLineChars="200"/>
        <w:rPr>
          <w:rFonts w:eastAsia="仿宋_GB2312"/>
          <w:sz w:val="32"/>
          <w:szCs w:val="32"/>
        </w:rPr>
      </w:pPr>
      <w:r>
        <w:rPr>
          <w:rFonts w:eastAsia="仿宋_GB2312"/>
          <w:sz w:val="32"/>
          <w:szCs w:val="32"/>
        </w:rPr>
        <w:t>1、总体目标</w:t>
      </w:r>
    </w:p>
    <w:p w14:paraId="53C0E4D4">
      <w:pPr>
        <w:spacing w:line="600" w:lineRule="exact"/>
        <w:ind w:firstLine="640" w:firstLineChars="200"/>
        <w:rPr>
          <w:rFonts w:eastAsia="仿宋_GB2312"/>
          <w:sz w:val="32"/>
          <w:szCs w:val="32"/>
        </w:rPr>
      </w:pPr>
      <w:r>
        <w:rPr>
          <w:rFonts w:hint="eastAsia" w:eastAsia="仿宋_GB2312"/>
          <w:sz w:val="32"/>
          <w:szCs w:val="32"/>
        </w:rPr>
        <w:t>根据中央生态环境保护督察涉及到的整改任务，按照自治区党委、人民政府及生态环境厅统一部署，开展对辖区内地州市区域生态环境监察工作，通过日常监察、现场巡查等方式，督促当地生态环境保护工作持续改善。</w:t>
      </w:r>
    </w:p>
    <w:p w14:paraId="2A176F56">
      <w:pPr>
        <w:spacing w:line="560" w:lineRule="exact"/>
        <w:ind w:firstLine="640" w:firstLineChars="200"/>
        <w:rPr>
          <w:rFonts w:hint="eastAsia" w:ascii="仿宋_GB2312" w:hAnsi="仿宋_GB2312" w:eastAsia="仿宋_GB2312" w:cs="仿宋_GB2312"/>
          <w:color w:val="FF0000"/>
          <w:sz w:val="30"/>
          <w:szCs w:val="30"/>
        </w:rPr>
      </w:pPr>
      <w:r>
        <w:rPr>
          <w:rFonts w:eastAsia="仿宋_GB2312"/>
          <w:sz w:val="32"/>
          <w:szCs w:val="32"/>
        </w:rPr>
        <w:t>2、阶段性目标</w:t>
      </w:r>
    </w:p>
    <w:p w14:paraId="6016F34F">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6B80F8F6">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4DDBD859">
      <w:pPr>
        <w:spacing w:line="560" w:lineRule="exact"/>
        <w:ind w:firstLine="640" w:firstLineChars="200"/>
        <w:rPr>
          <w:rFonts w:eastAsia="黑体"/>
          <w:sz w:val="32"/>
          <w:szCs w:val="32"/>
        </w:rPr>
      </w:pPr>
      <w:r>
        <w:rPr>
          <w:rFonts w:eastAsia="黑体"/>
          <w:sz w:val="32"/>
          <w:szCs w:val="32"/>
        </w:rPr>
        <w:t>二、绩效评价工作开展情况</w:t>
      </w:r>
    </w:p>
    <w:p w14:paraId="0607A63A">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6E80B50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AAD5243">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639BF43">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306B4EE6">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FBE9411">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D4300BA">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3E7FD462">
      <w:pPr>
        <w:spacing w:line="56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生态环境厅环境监察专员办环境监察专项</w:t>
      </w:r>
      <w:r>
        <w:rPr>
          <w:rFonts w:hint="eastAsia" w:ascii="仿宋_GB2312" w:hAnsi="仿宋_GB2312" w:eastAsia="仿宋_GB2312" w:cs="仿宋_GB2312"/>
          <w:sz w:val="32"/>
          <w:szCs w:val="32"/>
        </w:rPr>
        <w:t>项目所包含的全部项目内容。</w:t>
      </w:r>
    </w:p>
    <w:p w14:paraId="49039455">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295E6DD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sz w:val="32"/>
          <w:szCs w:val="32"/>
        </w:rPr>
        <w:t>生态环境厅环境监察专员办环境监察专项</w:t>
      </w:r>
      <w:r>
        <w:rPr>
          <w:rFonts w:hint="eastAsia" w:ascii="仿宋_GB2312" w:hAnsi="仿宋_GB2312" w:eastAsia="仿宋_GB2312" w:cs="仿宋_GB2312"/>
          <w:sz w:val="32"/>
          <w:szCs w:val="32"/>
        </w:rPr>
        <w:t>进行评价，评价核心为专项资金的支出完成情况和效果。</w:t>
      </w:r>
    </w:p>
    <w:p w14:paraId="26A8158A">
      <w:pPr>
        <w:spacing w:line="560" w:lineRule="exact"/>
        <w:ind w:firstLine="643" w:firstLineChars="200"/>
      </w:pPr>
      <w:r>
        <w:rPr>
          <w:rFonts w:eastAsia="楷体_GB2312"/>
          <w:b/>
          <w:bCs/>
          <w:sz w:val="32"/>
          <w:szCs w:val="32"/>
        </w:rPr>
        <w:t>（二）绩效评价原则、评价指标体系（详情见表1）、评价方法、评价标准。</w:t>
      </w:r>
    </w:p>
    <w:p w14:paraId="194F197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0A90A4E7">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6A12EE02">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7341B67D">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3B02CB9A">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7549A5E3">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256DF89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06E68DE7">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55DE909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65EABA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8EB1C1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EA1D86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1F7C1C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78D1F1B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933E8EE">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77BC34F">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72008729">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94E2B7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6E5C8D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857002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5CADB16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E7BC97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DEB7B5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0DE6C405">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68FAB560">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w:t>
      </w:r>
      <w:r>
        <w:rPr>
          <w:rFonts w:eastAsia="仿宋_GB2312"/>
          <w:color w:val="000000"/>
          <w:spacing w:val="17"/>
          <w:sz w:val="32"/>
          <w:szCs w:val="32"/>
        </w:rPr>
        <w:t>本次评价主要采用了计划标准和</w:t>
      </w:r>
      <w:r>
        <w:rPr>
          <w:rFonts w:hint="eastAsia" w:eastAsia="仿宋_GB2312"/>
          <w:color w:val="000000"/>
          <w:spacing w:val="17"/>
          <w:sz w:val="32"/>
          <w:szCs w:val="32"/>
        </w:rPr>
        <w:t>历史</w:t>
      </w:r>
      <w:r>
        <w:rPr>
          <w:rFonts w:eastAsia="仿宋_GB2312"/>
          <w:color w:val="000000"/>
          <w:spacing w:val="17"/>
          <w:sz w:val="32"/>
          <w:szCs w:val="32"/>
        </w:rPr>
        <w:t>标准</w:t>
      </w:r>
      <w:r>
        <w:rPr>
          <w:rFonts w:hint="eastAsia" w:eastAsia="仿宋_GB2312"/>
          <w:color w:val="000000"/>
          <w:spacing w:val="17"/>
          <w:sz w:val="32"/>
          <w:szCs w:val="32"/>
        </w:rPr>
        <w:t>。</w:t>
      </w:r>
    </w:p>
    <w:p w14:paraId="750D219A">
      <w:pPr>
        <w:spacing w:line="560" w:lineRule="exact"/>
        <w:ind w:firstLine="711" w:firstLineChars="200"/>
        <w:rPr>
          <w:rFonts w:hint="eastAsia" w:eastAsia="仿宋_GB2312"/>
          <w:color w:val="000000"/>
          <w:spacing w:val="17"/>
          <w:sz w:val="32"/>
          <w:szCs w:val="32"/>
        </w:rPr>
      </w:pPr>
      <w:bookmarkStart w:id="0" w:name="_Toc31464"/>
      <w:bookmarkStart w:id="1" w:name="_Toc17882"/>
      <w:r>
        <w:rPr>
          <w:rFonts w:hint="eastAsia" w:eastAsia="仿宋_GB2312"/>
          <w:b/>
          <w:bCs/>
          <w:color w:val="000000"/>
          <w:spacing w:val="17"/>
          <w:sz w:val="32"/>
          <w:szCs w:val="32"/>
        </w:rPr>
        <w:t>计划标准：</w:t>
      </w:r>
      <w:r>
        <w:rPr>
          <w:rFonts w:hint="eastAsia" w:eastAsia="仿宋_GB2312"/>
          <w:color w:val="000000"/>
          <w:spacing w:val="17"/>
          <w:sz w:val="32"/>
          <w:szCs w:val="32"/>
        </w:rPr>
        <w:t>指以预先制定的目标、计划、预算、定额等作为评价标准。</w:t>
      </w:r>
      <w:bookmarkEnd w:id="0"/>
      <w:bookmarkEnd w:id="1"/>
    </w:p>
    <w:p w14:paraId="13CF0935">
      <w:pPr>
        <w:spacing w:line="560" w:lineRule="exact"/>
        <w:ind w:firstLine="708" w:firstLineChars="200"/>
        <w:rPr>
          <w:rFonts w:hint="eastAsia"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14:paraId="08A0FE44">
      <w:pPr>
        <w:spacing w:line="560" w:lineRule="exact"/>
        <w:ind w:firstLine="711" w:firstLineChars="200"/>
        <w:rPr>
          <w:rFonts w:hint="eastAsia" w:eastAsia="仿宋_GB2312"/>
          <w:color w:val="000000"/>
          <w:spacing w:val="17"/>
          <w:sz w:val="32"/>
          <w:szCs w:val="32"/>
        </w:rPr>
      </w:pPr>
      <w:bookmarkStart w:id="4" w:name="_Toc16028"/>
      <w:bookmarkStart w:id="5" w:name="_Toc430"/>
      <w:r>
        <w:rPr>
          <w:rFonts w:hint="eastAsia" w:eastAsia="仿宋_GB2312"/>
          <w:b/>
          <w:bCs/>
          <w:color w:val="000000"/>
          <w:spacing w:val="17"/>
          <w:sz w:val="32"/>
          <w:szCs w:val="32"/>
        </w:rPr>
        <w:t>历史标准：</w:t>
      </w:r>
      <w:r>
        <w:rPr>
          <w:rFonts w:hint="eastAsia" w:eastAsia="仿宋_GB2312"/>
          <w:color w:val="000000"/>
          <w:spacing w:val="17"/>
          <w:sz w:val="32"/>
          <w:szCs w:val="32"/>
        </w:rPr>
        <w:t>指参照历史数据制定的评价标准，为体现绩效改进的原则，在可实现的条件下应当确定相对较高的评价标准。</w:t>
      </w:r>
      <w:bookmarkEnd w:id="4"/>
      <w:bookmarkEnd w:id="5"/>
    </w:p>
    <w:p w14:paraId="2347192C">
      <w:pPr>
        <w:pStyle w:val="10"/>
        <w:numPr>
          <w:ilvl w:val="0"/>
          <w:numId w:val="3"/>
        </w:numPr>
        <w:spacing w:before="0" w:after="0" w:line="560" w:lineRule="exact"/>
        <w:ind w:firstLine="711" w:firstLineChars="200"/>
        <w:jc w:val="both"/>
        <w:rPr>
          <w:rFonts w:hint="eastAsia" w:ascii="楷体" w:hAnsi="楷体" w:eastAsia="楷体" w:cs="楷体"/>
          <w:color w:val="000000"/>
          <w:spacing w:val="17"/>
        </w:rPr>
      </w:pPr>
      <w:r>
        <w:rPr>
          <w:rFonts w:hint="eastAsia" w:ascii="楷体" w:hAnsi="楷体" w:eastAsia="楷体" w:cs="楷体"/>
          <w:color w:val="000000"/>
          <w:spacing w:val="17"/>
        </w:rPr>
        <w:t>绩效评价工作过程</w:t>
      </w:r>
    </w:p>
    <w:p w14:paraId="799D75BD">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28BABBD0">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1EC3E09F">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B8D073B">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C5B499C">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6523C414">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8262E60">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5BCDDD0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rPr>
        <w:t xml:space="preserve">总得分为 </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r>
        <w:rPr>
          <w:rFonts w:hint="eastAsia" w:ascii="Times New Roman" w:hAnsi="Times New Roman" w:eastAsia="仿宋_GB2312"/>
          <w:b w:val="0"/>
          <w:bCs w:val="0"/>
        </w:rPr>
        <w:t>具体打分情况详见：附件1综合评分表。</w:t>
      </w:r>
    </w:p>
    <w:p w14:paraId="03A66D88">
      <w:pPr>
        <w:pStyle w:val="10"/>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4D34849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2C4AF28">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E806693">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EEBF576">
            <w:pPr>
              <w:jc w:val="center"/>
              <w:rPr>
                <w:b/>
                <w:bCs/>
                <w:color w:val="000000"/>
                <w:sz w:val="22"/>
              </w:rPr>
            </w:pPr>
            <w:r>
              <w:rPr>
                <w:rFonts w:hint="eastAsia"/>
                <w:b/>
                <w:bCs/>
                <w:color w:val="000000"/>
                <w:sz w:val="22"/>
              </w:rPr>
              <w:t>得分</w:t>
            </w:r>
          </w:p>
        </w:tc>
      </w:tr>
      <w:tr w14:paraId="120A39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D03F38">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A162C6C">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FB3066B">
            <w:pPr>
              <w:jc w:val="center"/>
              <w:rPr>
                <w:color w:val="000000"/>
                <w:sz w:val="22"/>
              </w:rPr>
            </w:pPr>
            <w:r>
              <w:rPr>
                <w:rFonts w:hint="eastAsia"/>
                <w:color w:val="000000"/>
                <w:sz w:val="22"/>
              </w:rPr>
              <w:t>20</w:t>
            </w:r>
          </w:p>
        </w:tc>
      </w:tr>
      <w:tr w14:paraId="6AEC4FF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4301D3">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EA9D09E">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3B53CDA">
            <w:pPr>
              <w:jc w:val="center"/>
              <w:rPr>
                <w:color w:val="000000"/>
                <w:sz w:val="22"/>
              </w:rPr>
            </w:pPr>
            <w:r>
              <w:rPr>
                <w:rFonts w:hint="eastAsia"/>
                <w:color w:val="000000"/>
                <w:sz w:val="22"/>
              </w:rPr>
              <w:t>20</w:t>
            </w:r>
          </w:p>
        </w:tc>
      </w:tr>
      <w:tr w14:paraId="20B14EE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C559C1">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C110778">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145875F1">
            <w:pPr>
              <w:jc w:val="center"/>
              <w:rPr>
                <w:color w:val="000000"/>
                <w:sz w:val="22"/>
              </w:rPr>
            </w:pPr>
            <w:r>
              <w:rPr>
                <w:rFonts w:hint="eastAsia"/>
                <w:color w:val="000000"/>
                <w:sz w:val="22"/>
              </w:rPr>
              <w:t>40</w:t>
            </w:r>
          </w:p>
        </w:tc>
      </w:tr>
      <w:tr w14:paraId="7F15C1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2BEDA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948BFF7">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6F92538">
            <w:pPr>
              <w:jc w:val="center"/>
              <w:rPr>
                <w:color w:val="000000"/>
                <w:sz w:val="22"/>
              </w:rPr>
            </w:pPr>
            <w:r>
              <w:rPr>
                <w:rFonts w:hint="eastAsia"/>
                <w:color w:val="000000"/>
                <w:sz w:val="22"/>
              </w:rPr>
              <w:t>20</w:t>
            </w:r>
          </w:p>
        </w:tc>
      </w:tr>
      <w:tr w14:paraId="78F69AD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0BD0F6B">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0053470">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12B9B237">
            <w:pPr>
              <w:jc w:val="center"/>
              <w:rPr>
                <w:b/>
                <w:bCs/>
                <w:color w:val="000000"/>
                <w:sz w:val="22"/>
              </w:rPr>
            </w:pPr>
            <w:r>
              <w:rPr>
                <w:rFonts w:hint="eastAsia"/>
                <w:b/>
                <w:bCs/>
                <w:color w:val="000000"/>
                <w:sz w:val="22"/>
              </w:rPr>
              <w:t>100</w:t>
            </w:r>
          </w:p>
        </w:tc>
      </w:tr>
    </w:tbl>
    <w:p w14:paraId="279FAA36">
      <w:pPr>
        <w:spacing w:line="560" w:lineRule="exact"/>
        <w:ind w:firstLine="640" w:firstLineChars="200"/>
        <w:rPr>
          <w:rFonts w:eastAsia="黑体"/>
          <w:sz w:val="32"/>
          <w:szCs w:val="32"/>
        </w:rPr>
      </w:pPr>
      <w:r>
        <w:rPr>
          <w:rFonts w:eastAsia="黑体"/>
          <w:sz w:val="32"/>
          <w:szCs w:val="32"/>
        </w:rPr>
        <w:t>四、绩效评价指标分析</w:t>
      </w:r>
    </w:p>
    <w:p w14:paraId="3351ADC3">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5F83EB0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14:paraId="62DB650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15C0557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0E9BF42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FF3276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7E3C92E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4DDAAD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76F0205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7516B8B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3BA684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214047F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3A166B9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092B0A1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532E62E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3595164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3383896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583A89A2">
      <w:pPr>
        <w:pStyle w:val="10"/>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14:paraId="58BEF08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14:paraId="301F563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D3B8BFE">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30766D7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4A5207B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本项目总投资90万元，财政资金及时足额到位，到位率100%，预算资金按计划进度执行。</w:t>
      </w:r>
    </w:p>
    <w:p w14:paraId="47FE7B4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08CD1CE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预算编制较为详细，项目资金支出总体能够按照预算执行，预算资金支出90万元，预算执行率为100%。</w:t>
      </w:r>
    </w:p>
    <w:p w14:paraId="3FDB95C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660DB96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78F650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1323ED5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645467E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524336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8D5191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123047F2">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6144D86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项目产出类指标包括产出数量、产出质量、产出时效、产出成本四方面的内容，由12个三级指标构成，权重分为40分，实际得分40分，得分率为100%。具体产出指标完成情况如下：</w:t>
      </w:r>
    </w:p>
    <w:p w14:paraId="292F61F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19CE9D3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指标1：覆盖生态环境监察区域，指标值：2个 ，实际完成值：2个 ，指标完成率100%。</w:t>
      </w:r>
    </w:p>
    <w:p w14:paraId="2673432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指标2：形成督察检查专项报告，指标值：6个 ，实际完成值：6个 ，指标完成率100%。</w:t>
      </w:r>
    </w:p>
    <w:p w14:paraId="2EE494D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指标3：形成环保督察整改情况报告，指标值：6个 ，实际完成值：6个 ，指标完成率100%。</w:t>
      </w:r>
    </w:p>
    <w:p w14:paraId="122E321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指标4：监察频次，指标值：8个 ，实际完成值：8个 ，指标完成率100%。</w:t>
      </w:r>
    </w:p>
    <w:p w14:paraId="1143F16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指标5：购置设备数量，指标值：1个 ，实际完成值：1个 ，指标完成率100%。</w:t>
      </w:r>
    </w:p>
    <w:p w14:paraId="7691930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49C14DE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指标1：报告质量通过率，指标值：100%，实际完成值：100%，指标完成率100%。</w:t>
      </w:r>
    </w:p>
    <w:p w14:paraId="17D5735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指标2：设备质量合格率，指标值：100%，实际完成值：100%，指标完成率100%。</w:t>
      </w:r>
    </w:p>
    <w:p w14:paraId="72B70987">
      <w:pPr>
        <w:spacing w:line="600" w:lineRule="exact"/>
        <w:ind w:firstLine="640" w:firstLineChars="200"/>
        <w:outlineLvl w:val="0"/>
      </w:pPr>
      <w:r>
        <w:rPr>
          <w:rFonts w:hint="eastAsia" w:ascii="仿宋_GB2312" w:hAnsi="仿宋_GB2312" w:eastAsia="仿宋_GB2312" w:cs="仿宋_GB2312"/>
          <w:sz w:val="32"/>
          <w:szCs w:val="32"/>
        </w:rPr>
        <w:t>指标3：区域覆盖率，指标值：100%，实际完成值：100%，指标完成率100%。</w:t>
      </w:r>
    </w:p>
    <w:p w14:paraId="72F564F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4B2F71B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指标1：年度督察任务按时完成率，指标值：100%，实际完成值：100%，指标完成率100%。</w:t>
      </w:r>
    </w:p>
    <w:p w14:paraId="762A111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指标2：设备采购完成时间，指标值：2023年12月31日，实际完成值：2023年3月31日，指标完成率100%。</w:t>
      </w:r>
    </w:p>
    <w:p w14:paraId="46DE34C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559BDB0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指标1：监督检查工作，指标值：69.77万元，实际完成值：69.77万元，指标完成率100%。</w:t>
      </w:r>
    </w:p>
    <w:p w14:paraId="572FB8B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指标2：派驻监察期间费用，指标值：20.23万元，实际完成值：20.23万元，指标完成率100%。</w:t>
      </w:r>
    </w:p>
    <w:p w14:paraId="5CCD743B">
      <w:pPr>
        <w:pStyle w:val="12"/>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14:paraId="50F0E70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14:paraId="44DBF17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14:paraId="44CAB6E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14:paraId="2FD8560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指标1：构建新型生态环境保护监察体系，指标值：不断完善，实际完成值：不断完善，指标完成率100%。</w:t>
      </w:r>
    </w:p>
    <w:p w14:paraId="1968F94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14:paraId="6B30BFA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满意度指标：检查人员被投诉次数，指标值：大于等于2次，实际完成值：0次，指标完成率100%。</w:t>
      </w:r>
    </w:p>
    <w:p w14:paraId="4834A0B0">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14:paraId="26055D13">
      <w:pPr>
        <w:pStyle w:val="19"/>
        <w:spacing w:line="560" w:lineRule="exact"/>
        <w:ind w:firstLine="640"/>
        <w:rPr>
          <w:rFonts w:hint="eastAsia" w:ascii="仿宋_GB2312" w:hAnsi="仿宋_GB2312" w:eastAsia="仿宋_GB2312" w:cs="仿宋_GB2312"/>
          <w:kern w:val="2"/>
          <w:sz w:val="32"/>
          <w:szCs w:val="32"/>
          <w:lang w:val="en-US" w:eastAsia="zh-CN" w:bidi="ar-SA"/>
        </w:rPr>
      </w:pPr>
      <w:r>
        <w:rPr>
          <w:rFonts w:hint="eastAsia" w:eastAsia="仿宋_GB2312"/>
          <w:sz w:val="32"/>
          <w:szCs w:val="32"/>
        </w:rPr>
        <w:t>生态环境厅环境监察专员办环境监察专项</w:t>
      </w:r>
      <w:r>
        <w:rPr>
          <w:rFonts w:hint="eastAsia" w:ascii="仿宋_GB2312" w:hAnsi="仿宋_GB2312" w:eastAsia="仿宋_GB2312" w:cs="仿宋_GB2312"/>
          <w:kern w:val="2"/>
          <w:sz w:val="32"/>
          <w:szCs w:val="32"/>
          <w:lang w:val="en-US" w:eastAsia="zh-CN" w:bidi="ar-SA"/>
        </w:rPr>
        <w:t>年初预算90万元，全年预算90万元，实际支出90万元，预算执行率为100%，项目绩效指标总体完成率为100%，</w:t>
      </w:r>
      <w:r>
        <w:rPr>
          <w:rFonts w:hint="eastAsia" w:ascii="仿宋_GB2312" w:hAnsi="仿宋_GB2312" w:eastAsia="仿宋_GB2312" w:cs="仿宋_GB2312"/>
          <w:kern w:val="2"/>
          <w:sz w:val="32"/>
          <w:szCs w:val="32"/>
          <w:lang w:val="en-US" w:eastAsia="zh-Hans" w:bidi="ar-SA"/>
        </w:rPr>
        <w:t>总体</w:t>
      </w:r>
      <w:r>
        <w:rPr>
          <w:rFonts w:hint="eastAsia" w:ascii="仿宋_GB2312" w:hAnsi="仿宋_GB2312" w:eastAsia="仿宋_GB2312" w:cs="仿宋_GB2312"/>
          <w:kern w:val="2"/>
          <w:sz w:val="32"/>
          <w:szCs w:val="32"/>
          <w:lang w:val="en-US" w:eastAsia="zh-CN" w:bidi="ar-SA"/>
        </w:rPr>
        <w:t>偏差率为0%。</w:t>
      </w:r>
      <w:bookmarkStart w:id="9" w:name="_GoBack"/>
      <w:bookmarkEnd w:id="9"/>
    </w:p>
    <w:p w14:paraId="36D07346">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75E3284E">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68E3D69">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9D6AF66">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C13B61D">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B3E837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846AC6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5A51818D">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03E3E1A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58549EE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4161F37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5C50DDD">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53B1D2F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监察工作建立绩效工作考核制度，加大全局对全面实施预算绩效管理和绩效管理工作的学习力度，让“花钱必问效，无效必问责”的理念深入工作每个环节。</w:t>
      </w:r>
    </w:p>
    <w:p w14:paraId="67F82FD7">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37503594">
      <w:pPr>
        <w:pStyle w:val="13"/>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1B244CE1">
      <w:pPr>
        <w:pStyle w:val="13"/>
        <w:spacing w:after="0" w:line="560" w:lineRule="exact"/>
        <w:ind w:left="0" w:leftChars="0" w:firstLine="640"/>
        <w:rPr>
          <w:rFonts w:hint="eastAsia" w:ascii="仿宋_GB2312" w:hAnsi="仿宋_GB2312" w:eastAsia="仿宋_GB2312" w:cs="仿宋_GB2312"/>
          <w:sz w:val="32"/>
          <w:szCs w:val="32"/>
        </w:rPr>
      </w:pPr>
    </w:p>
    <w:p w14:paraId="5AA60C9C">
      <w:pPr>
        <w:pStyle w:val="13"/>
        <w:spacing w:after="0" w:line="560" w:lineRule="exact"/>
        <w:ind w:left="0" w:leftChars="0" w:firstLine="640"/>
        <w:rPr>
          <w:rFonts w:hint="eastAsia" w:ascii="仿宋_GB2312" w:hAnsi="仿宋_GB2312" w:eastAsia="仿宋_GB2312" w:cs="仿宋_GB2312"/>
          <w:sz w:val="32"/>
          <w:szCs w:val="32"/>
        </w:rPr>
      </w:pPr>
    </w:p>
    <w:p w14:paraId="2F3E9158">
      <w:pPr>
        <w:pStyle w:val="13"/>
        <w:spacing w:after="0" w:line="560" w:lineRule="exact"/>
        <w:ind w:left="0" w:leftChars="0" w:firstLine="0" w:firstLineChars="0"/>
        <w:rPr>
          <w:rFonts w:hint="eastAsia" w:ascii="仿宋_GB2312" w:hAnsi="仿宋_GB2312" w:eastAsia="仿宋_GB2312" w:cs="仿宋_GB2312"/>
          <w:sz w:val="32"/>
          <w:szCs w:val="32"/>
        </w:rPr>
      </w:pPr>
    </w:p>
    <w:p w14:paraId="2852487D">
      <w:pPr>
        <w:widowControl/>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p w14:paraId="44D9E646">
      <w:pPr>
        <w:spacing w:line="600" w:lineRule="exact"/>
        <w:jc w:val="center"/>
        <w:rPr>
          <w:rFonts w:hint="eastAsia" w:ascii="黑体" w:hAnsi="黑体" w:eastAsia="黑体" w:cs="黑体"/>
          <w:bCs/>
          <w:sz w:val="32"/>
          <w:szCs w:val="32"/>
        </w:rPr>
      </w:pPr>
      <w:r>
        <w:rPr>
          <w:rFonts w:hint="eastAsia" w:ascii="黑体" w:hAnsi="黑体" w:eastAsia="黑体" w:cs="黑体"/>
          <w:bCs/>
          <w:sz w:val="32"/>
          <w:szCs w:val="32"/>
        </w:rPr>
        <w:t>项目支出绩效自评表</w:t>
      </w:r>
    </w:p>
    <w:tbl>
      <w:tblPr>
        <w:tblStyle w:val="14"/>
        <w:tblW w:w="15120" w:type="dxa"/>
        <w:tblInd w:w="0" w:type="dxa"/>
        <w:tblLayout w:type="autofit"/>
        <w:tblCellMar>
          <w:top w:w="0" w:type="dxa"/>
          <w:left w:w="0" w:type="dxa"/>
          <w:bottom w:w="0" w:type="dxa"/>
          <w:right w:w="0" w:type="dxa"/>
        </w:tblCellMar>
      </w:tblPr>
      <w:tblGrid>
        <w:gridCol w:w="1080"/>
        <w:gridCol w:w="1080"/>
        <w:gridCol w:w="1080"/>
        <w:gridCol w:w="1080"/>
        <w:gridCol w:w="1080"/>
        <w:gridCol w:w="1080"/>
        <w:gridCol w:w="1080"/>
        <w:gridCol w:w="1080"/>
        <w:gridCol w:w="1080"/>
        <w:gridCol w:w="1080"/>
        <w:gridCol w:w="1080"/>
        <w:gridCol w:w="1080"/>
        <w:gridCol w:w="1080"/>
        <w:gridCol w:w="1080"/>
      </w:tblGrid>
      <w:tr w14:paraId="7181D82F">
        <w:tblPrEx>
          <w:tblCellMar>
            <w:top w:w="0" w:type="dxa"/>
            <w:left w:w="0" w:type="dxa"/>
            <w:bottom w:w="0" w:type="dxa"/>
            <w:right w:w="0" w:type="dxa"/>
          </w:tblCellMar>
        </w:tblPrEx>
        <w:trPr>
          <w:trHeight w:val="100" w:hRule="atLeast"/>
        </w:trPr>
        <w:tc>
          <w:tcPr>
            <w:tcW w:w="15120"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3E62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(2023年度)</w:t>
            </w:r>
          </w:p>
        </w:tc>
      </w:tr>
      <w:tr w14:paraId="685B0B1C">
        <w:tblPrEx>
          <w:tblCellMar>
            <w:top w:w="0" w:type="dxa"/>
            <w:left w:w="0" w:type="dxa"/>
            <w:bottom w:w="0" w:type="dxa"/>
            <w:right w:w="0" w:type="dxa"/>
          </w:tblCellMar>
        </w:tblPrEx>
        <w:trPr>
          <w:trHeight w:val="1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F77E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项目名称</w:t>
            </w:r>
          </w:p>
        </w:tc>
        <w:tc>
          <w:tcPr>
            <w:tcW w:w="1296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7203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生态环境厅环境监察专员办环境监察专项</w:t>
            </w:r>
          </w:p>
        </w:tc>
      </w:tr>
      <w:tr w14:paraId="373EEF13">
        <w:tblPrEx>
          <w:tblCellMar>
            <w:top w:w="0" w:type="dxa"/>
            <w:left w:w="0" w:type="dxa"/>
            <w:bottom w:w="0" w:type="dxa"/>
            <w:right w:w="0" w:type="dxa"/>
          </w:tblCellMar>
        </w:tblPrEx>
        <w:trPr>
          <w:trHeight w:val="1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60F10">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7CC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新疆维吾尔自治区生态环境厅第五生态环境监察专员办公室</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BBF5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实施单位</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7B59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新疆维吾尔自治区生态环境厅第五生态环境监察专员办公室</w:t>
            </w:r>
          </w:p>
        </w:tc>
      </w:tr>
      <w:tr w14:paraId="6F330BF6">
        <w:tblPrEx>
          <w:tblCellMar>
            <w:top w:w="0" w:type="dxa"/>
            <w:left w:w="0" w:type="dxa"/>
            <w:bottom w:w="0" w:type="dxa"/>
            <w:right w:w="0" w:type="dxa"/>
          </w:tblCellMar>
        </w:tblPrEx>
        <w:trPr>
          <w:trHeight w:val="10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677BC">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项目资金</w:t>
            </w:r>
            <w:r>
              <w:rPr>
                <w:rFonts w:hint="eastAsia" w:ascii="宋体" w:hAnsi="宋体" w:cs="宋体"/>
                <w:b/>
                <w:color w:val="000000"/>
                <w:kern w:val="0"/>
                <w:sz w:val="18"/>
                <w:szCs w:val="18"/>
                <w:lang w:bidi="ar"/>
              </w:rPr>
              <w:br w:type="textWrapping"/>
            </w:r>
            <w:r>
              <w:rPr>
                <w:rFonts w:hint="eastAsia" w:ascii="宋体" w:hAnsi="宋体" w:cs="宋体"/>
                <w:b/>
                <w:color w:val="000000"/>
                <w:kern w:val="0"/>
                <w:sz w:val="18"/>
                <w:szCs w:val="18"/>
                <w:lang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C13E1">
            <w:pPr>
              <w:jc w:val="center"/>
              <w:rPr>
                <w:rFonts w:hint="eastAsia" w:ascii="宋体" w:hAnsi="宋体" w:cs="宋体"/>
                <w:b/>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37B7F">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5B26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99EE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14E4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分值</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484CF">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7C7A6">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得分</w:t>
            </w:r>
          </w:p>
        </w:tc>
      </w:tr>
      <w:tr w14:paraId="0EE775B1">
        <w:tblPrEx>
          <w:tblCellMar>
            <w:top w:w="0" w:type="dxa"/>
            <w:left w:w="0" w:type="dxa"/>
            <w:bottom w:w="0" w:type="dxa"/>
            <w:right w:w="0" w:type="dxa"/>
          </w:tblCellMar>
        </w:tblPrEx>
        <w:trPr>
          <w:trHeight w:val="10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EC259">
            <w:pPr>
              <w:jc w:val="center"/>
              <w:rPr>
                <w:rFonts w:hint="eastAsia" w:ascii="宋体" w:hAnsi="宋体" w:cs="宋体"/>
                <w:b/>
                <w:color w:val="00000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8C0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39FA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05D5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AFCF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6BE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EBF6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2886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10.00分</w:t>
            </w:r>
          </w:p>
        </w:tc>
      </w:tr>
      <w:tr w14:paraId="6C4113F3">
        <w:tblPrEx>
          <w:tblCellMar>
            <w:top w:w="0" w:type="dxa"/>
            <w:left w:w="0" w:type="dxa"/>
            <w:bottom w:w="0" w:type="dxa"/>
            <w:right w:w="0" w:type="dxa"/>
          </w:tblCellMar>
        </w:tblPrEx>
        <w:trPr>
          <w:trHeight w:val="10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AC976">
            <w:pPr>
              <w:jc w:val="center"/>
              <w:rPr>
                <w:rFonts w:hint="eastAsia" w:ascii="宋体" w:hAnsi="宋体" w:cs="宋体"/>
                <w:b/>
                <w:color w:val="00000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F9C9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830B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C13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1C07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23CE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713F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54DA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14:paraId="4ED615D1">
        <w:tblPrEx>
          <w:tblCellMar>
            <w:top w:w="0" w:type="dxa"/>
            <w:left w:w="0" w:type="dxa"/>
            <w:bottom w:w="0" w:type="dxa"/>
            <w:right w:w="0" w:type="dxa"/>
          </w:tblCellMar>
        </w:tblPrEx>
        <w:trPr>
          <w:trHeight w:val="10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73D07">
            <w:pPr>
              <w:jc w:val="center"/>
              <w:rPr>
                <w:rFonts w:hint="eastAsia" w:ascii="宋体" w:hAnsi="宋体" w:cs="宋体"/>
                <w:b/>
                <w:color w:val="00000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CF0D1">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F290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6376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945C9">
            <w:pPr>
              <w:jc w:val="center"/>
              <w:rPr>
                <w:rFonts w:hint="eastAsia" w:ascii="宋体" w:hAnsi="宋体" w:cs="宋体"/>
                <w:color w:val="00000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70D2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088E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E9C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14:paraId="2CA09912">
        <w:tblPrEx>
          <w:tblCellMar>
            <w:top w:w="0" w:type="dxa"/>
            <w:left w:w="0" w:type="dxa"/>
            <w:bottom w:w="0" w:type="dxa"/>
            <w:right w:w="0" w:type="dxa"/>
          </w:tblCellMar>
        </w:tblPrEx>
        <w:trPr>
          <w:trHeight w:val="1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FE38C">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92590">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预期目标</w:t>
            </w:r>
          </w:p>
        </w:tc>
        <w:tc>
          <w:tcPr>
            <w:tcW w:w="756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2C586">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实际完成情况</w:t>
            </w:r>
          </w:p>
        </w:tc>
      </w:tr>
      <w:tr w14:paraId="2209CE2F">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16E4">
            <w:pPr>
              <w:jc w:val="center"/>
              <w:rPr>
                <w:rFonts w:hint="eastAsia" w:ascii="宋体" w:hAnsi="宋体" w:cs="宋体"/>
                <w:b/>
                <w:color w:val="000000"/>
                <w:sz w:val="18"/>
                <w:szCs w:val="18"/>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3EA0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根据生态环境监察专员办公室职责，2023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2个，形成督察检查专项报告及整改情况报告6次，监察频次8次，报告质量通过率和区域覆盖率达到100%。持续开展生态环境保护监察、督察工作，不断构建新型生态环境保护监察体系。</w:t>
            </w:r>
          </w:p>
        </w:tc>
        <w:tc>
          <w:tcPr>
            <w:tcW w:w="756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5765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根据生态环境监察专员办公室职责，2023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2个，形成督察检查专项报告及整改情况报告6次，监察频次8次，报告质量通过率和区域覆盖率达到100%。持续开展生态环境保护监察、督察工作，不断构建新型生态环境保护监察体系。</w:t>
            </w:r>
          </w:p>
        </w:tc>
      </w:tr>
      <w:tr w14:paraId="1C1E677E">
        <w:tblPrEx>
          <w:tblCellMar>
            <w:top w:w="0" w:type="dxa"/>
            <w:left w:w="0" w:type="dxa"/>
            <w:bottom w:w="0" w:type="dxa"/>
            <w:right w:w="0" w:type="dxa"/>
          </w:tblCellMar>
        </w:tblPrEx>
        <w:trPr>
          <w:trHeight w:val="1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7AE19">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EEACC">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2556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1FF5E">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E9B87">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176D8">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8E60F">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E79AA">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E195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DDF5F">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F0C3C">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55A0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A83C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D16BF">
            <w:pPr>
              <w:jc w:val="center"/>
              <w:rPr>
                <w:rFonts w:hint="eastAsia" w:ascii="宋体" w:hAnsi="宋体" w:cs="宋体"/>
                <w:color w:val="000000"/>
                <w:sz w:val="18"/>
                <w:szCs w:val="18"/>
              </w:rPr>
            </w:pPr>
          </w:p>
        </w:tc>
      </w:tr>
      <w:tr w14:paraId="250E150E">
        <w:tblPrEx>
          <w:tblCellMar>
            <w:top w:w="0" w:type="dxa"/>
            <w:left w:w="0" w:type="dxa"/>
            <w:bottom w:w="0" w:type="dxa"/>
            <w:right w:w="0" w:type="dxa"/>
          </w:tblCellMar>
        </w:tblPrEx>
        <w:trPr>
          <w:trHeight w:val="31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518E6">
            <w:pPr>
              <w:jc w:val="center"/>
              <w:rPr>
                <w:rFonts w:hint="eastAsia" w:ascii="宋体" w:hAnsi="宋体" w:cs="宋体"/>
                <w:color w:val="000000"/>
                <w:sz w:val="18"/>
                <w:szCs w:val="18"/>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91E61">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F1526">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B4F8F">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三级指标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80B6D">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权重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B0C58">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目标值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56B3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业绩值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E7E8F">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完成率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A1788">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指标得分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57F3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指标值设定依据</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F4843">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上年完成情况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40AE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赋分规则</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3349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佐证资料</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50ADA">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偏差原因分析及改进措施</w:t>
            </w:r>
          </w:p>
        </w:tc>
      </w:tr>
      <w:tr w14:paraId="15B1AAE0">
        <w:tblPrEx>
          <w:tblCellMar>
            <w:top w:w="0" w:type="dxa"/>
            <w:left w:w="0" w:type="dxa"/>
            <w:bottom w:w="0" w:type="dxa"/>
            <w:right w:w="0"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A74FB">
            <w:pPr>
              <w:jc w:val="center"/>
              <w:rPr>
                <w:rFonts w:hint="eastAsia" w:ascii="宋体" w:hAnsi="宋体" w:cs="宋体"/>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6922E">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2D61D">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CE37D">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FACC">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5030E">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0A99">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A8511">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FD630">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8B067">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42567">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BACEC">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59EAA">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E428">
            <w:pPr>
              <w:jc w:val="center"/>
              <w:rPr>
                <w:rFonts w:hint="eastAsia" w:ascii="宋体" w:hAnsi="宋体" w:cs="宋体"/>
                <w:b/>
                <w:color w:val="000000"/>
                <w:sz w:val="18"/>
                <w:szCs w:val="18"/>
              </w:rPr>
            </w:pPr>
          </w:p>
        </w:tc>
      </w:tr>
      <w:tr w14:paraId="00715FB4">
        <w:tblPrEx>
          <w:tblCellMar>
            <w:top w:w="0" w:type="dxa"/>
            <w:left w:w="0" w:type="dxa"/>
            <w:bottom w:w="0" w:type="dxa"/>
            <w:right w:w="0" w:type="dxa"/>
          </w:tblCellMar>
        </w:tblPrEx>
        <w:trPr>
          <w:trHeight w:val="1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50CC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7C0A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68D6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B6DE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覆盖生态环境监察区域</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312D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60A9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0DF7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33F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98E0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AC54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F6F7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3076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10EC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1DABD">
            <w:pPr>
              <w:jc w:val="center"/>
              <w:rPr>
                <w:rFonts w:hint="eastAsia" w:ascii="宋体" w:hAnsi="宋体" w:cs="宋体"/>
                <w:color w:val="000000"/>
                <w:sz w:val="18"/>
                <w:szCs w:val="18"/>
              </w:rPr>
            </w:pPr>
          </w:p>
        </w:tc>
      </w:tr>
      <w:tr w14:paraId="5EF4C9E7">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241B">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2DDA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D22D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EA73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形成督察检查专项报告</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1AE4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83E6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EB00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33E9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854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335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040B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F5EC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0DD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606EF">
            <w:pPr>
              <w:jc w:val="center"/>
              <w:rPr>
                <w:rFonts w:hint="eastAsia" w:ascii="宋体" w:hAnsi="宋体" w:cs="宋体"/>
                <w:color w:val="000000"/>
                <w:sz w:val="18"/>
                <w:szCs w:val="18"/>
              </w:rPr>
            </w:pPr>
          </w:p>
        </w:tc>
      </w:tr>
      <w:tr w14:paraId="0FA13496">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27CE7">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EAFE4">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E8EF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FDBC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形成环保督察整改情况报告</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E5F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6322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F2B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419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C64C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28E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7AE9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207C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982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3774">
            <w:pPr>
              <w:jc w:val="center"/>
              <w:rPr>
                <w:rFonts w:hint="eastAsia" w:ascii="宋体" w:hAnsi="宋体" w:cs="宋体"/>
                <w:color w:val="000000"/>
                <w:sz w:val="18"/>
                <w:szCs w:val="18"/>
              </w:rPr>
            </w:pPr>
          </w:p>
        </w:tc>
      </w:tr>
      <w:tr w14:paraId="2F2BDC65">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B10FF">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7CA72">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E600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642C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监察频次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DD25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C51D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&gt;=8次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B877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866C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AA60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FF89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计划标准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08C7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9F31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ECFB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283F">
            <w:pPr>
              <w:jc w:val="center"/>
              <w:rPr>
                <w:rFonts w:hint="eastAsia" w:ascii="宋体" w:hAnsi="宋体" w:cs="宋体"/>
                <w:color w:val="000000"/>
                <w:sz w:val="18"/>
                <w:szCs w:val="18"/>
              </w:rPr>
            </w:pPr>
          </w:p>
        </w:tc>
      </w:tr>
      <w:tr w14:paraId="3207EE9E">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2CA8F">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1AECF">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C136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0B52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购置设备数量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25A2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8905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&gt;=1台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5FFB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1075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2B2D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320E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计划标准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2B02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F81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6C3C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27ED1">
            <w:pPr>
              <w:jc w:val="center"/>
              <w:rPr>
                <w:rFonts w:hint="eastAsia" w:ascii="宋体" w:hAnsi="宋体" w:cs="宋体"/>
                <w:color w:val="000000"/>
                <w:sz w:val="18"/>
                <w:szCs w:val="18"/>
              </w:rPr>
            </w:pPr>
          </w:p>
        </w:tc>
      </w:tr>
      <w:tr w14:paraId="3CC8EFEF">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A034E">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DB45C">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CEBF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6161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报告质量通过率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A276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76DD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DCAD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C607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EA44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218B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A9F7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4453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32A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81ACC">
            <w:pPr>
              <w:jc w:val="center"/>
              <w:rPr>
                <w:rFonts w:hint="eastAsia" w:ascii="宋体" w:hAnsi="宋体" w:cs="宋体"/>
                <w:color w:val="000000"/>
                <w:sz w:val="18"/>
                <w:szCs w:val="18"/>
              </w:rPr>
            </w:pPr>
          </w:p>
        </w:tc>
      </w:tr>
      <w:tr w14:paraId="5F94E906">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965EA">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77D6E">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9A0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82FA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区域覆盖率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89C8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94A0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A7CE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5D1B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BAE6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F6DF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AFC9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A095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56DE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61733">
            <w:pPr>
              <w:jc w:val="center"/>
              <w:rPr>
                <w:rFonts w:hint="eastAsia" w:ascii="宋体" w:hAnsi="宋体" w:cs="宋体"/>
                <w:color w:val="000000"/>
                <w:sz w:val="18"/>
                <w:szCs w:val="18"/>
              </w:rPr>
            </w:pPr>
          </w:p>
        </w:tc>
      </w:tr>
      <w:tr w14:paraId="4E1AA3AD">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C81CA">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C10D4">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E64F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42A4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设备质量合格率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7AC4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8231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DFC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EA1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1B7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B08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计划标准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3C6D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00ED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6BED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47C20">
            <w:pPr>
              <w:jc w:val="center"/>
              <w:rPr>
                <w:rFonts w:hint="eastAsia" w:ascii="宋体" w:hAnsi="宋体" w:cs="宋体"/>
                <w:color w:val="000000"/>
                <w:sz w:val="18"/>
                <w:szCs w:val="18"/>
              </w:rPr>
            </w:pPr>
          </w:p>
        </w:tc>
      </w:tr>
      <w:tr w14:paraId="79DE0957">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0BB2">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BA26D">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305B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时效指标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E25D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年度督察任务按时完成率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DF7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440B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3E28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755C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F8D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482F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0E0F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28C2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0E0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21149">
            <w:pPr>
              <w:jc w:val="center"/>
              <w:rPr>
                <w:rFonts w:hint="eastAsia" w:ascii="宋体" w:hAnsi="宋体" w:cs="宋体"/>
                <w:color w:val="000000"/>
                <w:sz w:val="18"/>
                <w:szCs w:val="18"/>
              </w:rPr>
            </w:pPr>
          </w:p>
        </w:tc>
      </w:tr>
      <w:tr w14:paraId="44D62DBB">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9370E">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1F605">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7E0C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时效指标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8012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设备采购时效完成率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0DF2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CC40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97F5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5E51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1C88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750A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计划标准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D7CB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764B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F4BD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E74DE">
            <w:pPr>
              <w:jc w:val="center"/>
              <w:rPr>
                <w:rFonts w:hint="eastAsia" w:ascii="宋体" w:hAnsi="宋体" w:cs="宋体"/>
                <w:color w:val="000000"/>
                <w:sz w:val="18"/>
                <w:szCs w:val="18"/>
              </w:rPr>
            </w:pPr>
          </w:p>
        </w:tc>
      </w:tr>
      <w:tr w14:paraId="1A91B410">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54AE7">
            <w:pPr>
              <w:jc w:val="center"/>
              <w:rPr>
                <w:rFonts w:hint="eastAsia" w:ascii="宋体" w:hAnsi="宋体" w:cs="宋体"/>
                <w:b/>
                <w:color w:val="000000"/>
                <w:sz w:val="18"/>
                <w:szCs w:val="18"/>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7764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267E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经济成本指标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7D88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监督检查工作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AE9A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22BA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&lt;=69.77万元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218F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=69.77万元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4671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4A3E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0524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预算支出标准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1F9B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43.88万元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6901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39B2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4E3BE">
            <w:pPr>
              <w:jc w:val="center"/>
              <w:rPr>
                <w:rFonts w:hint="eastAsia" w:ascii="宋体" w:hAnsi="宋体" w:cs="宋体"/>
                <w:color w:val="000000"/>
                <w:sz w:val="18"/>
                <w:szCs w:val="18"/>
              </w:rPr>
            </w:pPr>
          </w:p>
        </w:tc>
      </w:tr>
      <w:tr w14:paraId="09A40FA3">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57A97">
            <w:pPr>
              <w:jc w:val="center"/>
              <w:rPr>
                <w:rFonts w:hint="eastAsia" w:ascii="宋体" w:hAnsi="宋体" w:cs="宋体"/>
                <w:b/>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CD635">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2A9E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经济成本指标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36B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派驻监察期间费用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A14D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DE1E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&lt;=20.33万元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5EE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=20.33万元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8F9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EAF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5B0B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预算支出标准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867F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46.12万元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95DB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C76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0F6AD">
            <w:pPr>
              <w:jc w:val="center"/>
              <w:rPr>
                <w:rFonts w:hint="eastAsia" w:ascii="宋体" w:hAnsi="宋体" w:cs="宋体"/>
                <w:color w:val="000000"/>
                <w:sz w:val="18"/>
                <w:szCs w:val="18"/>
              </w:rPr>
            </w:pPr>
          </w:p>
        </w:tc>
      </w:tr>
      <w:tr w14:paraId="2BC7F3D7">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889F2">
            <w:pPr>
              <w:jc w:val="center"/>
              <w:rPr>
                <w:rFonts w:hint="eastAsia" w:ascii="宋体" w:hAnsi="宋体" w:cs="宋体"/>
                <w:b/>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0FC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6A1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社会效益指标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ABB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构建新型生态环境保护监察体系</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3BB3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2B20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不断完善</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4B07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不断完善</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219E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94D2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740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A826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不断完善</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A141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1B2A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FE458">
            <w:pPr>
              <w:jc w:val="center"/>
              <w:rPr>
                <w:rFonts w:hint="eastAsia" w:ascii="宋体" w:hAnsi="宋体" w:cs="宋体"/>
                <w:color w:val="000000"/>
                <w:sz w:val="18"/>
                <w:szCs w:val="18"/>
              </w:rPr>
            </w:pPr>
          </w:p>
        </w:tc>
      </w:tr>
      <w:tr w14:paraId="32811CC5">
        <w:tblPrEx>
          <w:tblCellMar>
            <w:top w:w="0" w:type="dxa"/>
            <w:left w:w="0" w:type="dxa"/>
            <w:bottom w:w="0" w:type="dxa"/>
            <w:right w:w="0" w:type="dxa"/>
          </w:tblCellMar>
        </w:tblPrEx>
        <w:trPr>
          <w:trHeight w:val="1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39DA">
            <w:pPr>
              <w:jc w:val="center"/>
              <w:rPr>
                <w:rFonts w:hint="eastAsia" w:ascii="宋体" w:hAnsi="宋体" w:cs="宋体"/>
                <w:b/>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2234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F644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6045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检查人员被投诉次数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0E7E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C62C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&lt;=2次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737E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956B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84B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289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其他标准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612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81D7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E1DE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D8341">
            <w:pPr>
              <w:jc w:val="center"/>
              <w:rPr>
                <w:rFonts w:hint="eastAsia" w:ascii="宋体" w:hAnsi="宋体" w:cs="宋体"/>
                <w:color w:val="000000"/>
                <w:sz w:val="18"/>
                <w:szCs w:val="18"/>
              </w:rPr>
            </w:pPr>
          </w:p>
        </w:tc>
      </w:tr>
      <w:tr w14:paraId="2B4633E3">
        <w:tblPrEx>
          <w:tblCellMar>
            <w:top w:w="0" w:type="dxa"/>
            <w:left w:w="0" w:type="dxa"/>
            <w:bottom w:w="0" w:type="dxa"/>
            <w:right w:w="0" w:type="dxa"/>
          </w:tblCellMar>
        </w:tblPrEx>
        <w:trPr>
          <w:trHeight w:val="1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98856">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00BC2">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D403">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5C52">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3788D">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48CFE">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1C8F5">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534A">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33A7D">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A9F2">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F8F44">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80230">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8C726">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CE33B">
            <w:pPr>
              <w:jc w:val="center"/>
              <w:rPr>
                <w:rFonts w:hint="eastAsia" w:ascii="宋体" w:hAnsi="宋体" w:cs="宋体"/>
                <w:color w:val="000000"/>
                <w:sz w:val="18"/>
                <w:szCs w:val="18"/>
              </w:rPr>
            </w:pPr>
          </w:p>
        </w:tc>
      </w:tr>
      <w:tr w14:paraId="07997FCE">
        <w:tblPrEx>
          <w:tblCellMar>
            <w:top w:w="0" w:type="dxa"/>
            <w:left w:w="0" w:type="dxa"/>
            <w:bottom w:w="0" w:type="dxa"/>
            <w:right w:w="0" w:type="dxa"/>
          </w:tblCellMar>
        </w:tblPrEx>
        <w:trPr>
          <w:trHeight w:val="100" w:hRule="atLeast"/>
        </w:trPr>
        <w:tc>
          <w:tcPr>
            <w:tcW w:w="4320" w:type="dxa"/>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3F41633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总分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7B6A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376182D">
            <w:pPr>
              <w:rPr>
                <w:rFonts w:hint="eastAsia" w:ascii="宋体" w:hAnsi="宋体" w:cs="宋体"/>
                <w:b/>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A6071">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2D70B">
            <w:pPr>
              <w:jc w:val="cente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0B4E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100.00分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9287C">
            <w:pP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2EEB9">
            <w:pP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CE23B">
            <w:pP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FE606">
            <w:pPr>
              <w:rPr>
                <w:rFonts w:hint="eastAsia" w:ascii="宋体" w:hAnsi="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83FEE">
            <w:pPr>
              <w:rPr>
                <w:rFonts w:hint="eastAsia" w:ascii="宋体" w:hAnsi="宋体" w:cs="宋体"/>
                <w:color w:val="000000"/>
                <w:sz w:val="18"/>
                <w:szCs w:val="18"/>
              </w:rPr>
            </w:pPr>
          </w:p>
        </w:tc>
      </w:tr>
    </w:tbl>
    <w:p w14:paraId="26C8BC5B">
      <w:pPr>
        <w:spacing w:line="600" w:lineRule="exact"/>
        <w:rPr>
          <w:rFonts w:hint="eastAsia" w:ascii="黑体" w:hAnsi="黑体" w:eastAsia="黑体" w:cs="黑体"/>
          <w:bCs/>
          <w:sz w:val="32"/>
          <w:szCs w:val="32"/>
        </w:rPr>
      </w:pPr>
    </w:p>
    <w:p w14:paraId="7DEEC393">
      <w:pPr>
        <w:spacing w:line="600" w:lineRule="exact"/>
        <w:rPr>
          <w:rFonts w:hint="eastAsia" w:ascii="黑体" w:hAnsi="黑体" w:eastAsia="黑体" w:cs="黑体"/>
          <w:bCs/>
          <w:sz w:val="32"/>
          <w:szCs w:val="32"/>
        </w:rPr>
      </w:pPr>
    </w:p>
    <w:p w14:paraId="4BD1DA69">
      <w:pPr>
        <w:spacing w:line="600" w:lineRule="exact"/>
        <w:rPr>
          <w:rFonts w:hint="eastAsia" w:ascii="黑体" w:hAnsi="黑体" w:eastAsia="黑体" w:cs="黑体"/>
          <w:bCs/>
          <w:sz w:val="32"/>
          <w:szCs w:val="32"/>
        </w:rPr>
      </w:pPr>
    </w:p>
    <w:p w14:paraId="4CB4B94C">
      <w:pPr>
        <w:spacing w:line="600" w:lineRule="exact"/>
        <w:rPr>
          <w:rFonts w:hint="eastAsia" w:ascii="黑体" w:hAnsi="黑体" w:eastAsia="黑体" w:cs="黑体"/>
          <w:bCs/>
          <w:sz w:val="32"/>
          <w:szCs w:val="32"/>
        </w:rPr>
      </w:pPr>
    </w:p>
    <w:p w14:paraId="4C357991">
      <w:pPr>
        <w:spacing w:line="600" w:lineRule="exact"/>
        <w:rPr>
          <w:rFonts w:hint="eastAsia" w:ascii="黑体" w:hAnsi="黑体" w:eastAsia="黑体" w:cs="黑体"/>
          <w:bCs/>
          <w:sz w:val="32"/>
          <w:szCs w:val="32"/>
        </w:rPr>
      </w:pPr>
    </w:p>
    <w:p w14:paraId="3A858B2A">
      <w:pPr>
        <w:spacing w:line="600" w:lineRule="exact"/>
        <w:rPr>
          <w:rFonts w:hint="eastAsia" w:ascii="黑体" w:hAnsi="黑体" w:eastAsia="黑体" w:cs="黑体"/>
          <w:bCs/>
          <w:sz w:val="32"/>
          <w:szCs w:val="32"/>
        </w:rPr>
      </w:pPr>
    </w:p>
    <w:p w14:paraId="30389BC8">
      <w:pPr>
        <w:spacing w:line="600" w:lineRule="exact"/>
        <w:rPr>
          <w:rFonts w:hint="eastAsia" w:ascii="黑体" w:hAnsi="黑体" w:eastAsia="黑体" w:cs="黑体"/>
          <w:bCs/>
          <w:sz w:val="32"/>
          <w:szCs w:val="32"/>
        </w:rPr>
      </w:pPr>
    </w:p>
    <w:p w14:paraId="06BD131D">
      <w:pPr>
        <w:spacing w:line="600" w:lineRule="exact"/>
        <w:rPr>
          <w:rFonts w:hint="eastAsia" w:ascii="黑体" w:hAnsi="黑体" w:eastAsia="黑体" w:cs="黑体"/>
          <w:bCs/>
          <w:sz w:val="32"/>
          <w:szCs w:val="32"/>
        </w:rPr>
      </w:pPr>
    </w:p>
    <w:p w14:paraId="1E92EFA4">
      <w:pPr>
        <w:spacing w:line="600" w:lineRule="exact"/>
        <w:rPr>
          <w:rFonts w:hint="eastAsia" w:ascii="黑体" w:hAnsi="黑体" w:eastAsia="黑体" w:cs="黑体"/>
          <w:bCs/>
          <w:sz w:val="32"/>
          <w:szCs w:val="32"/>
        </w:rPr>
      </w:pPr>
    </w:p>
    <w:p w14:paraId="06003196">
      <w:pPr>
        <w:spacing w:line="600" w:lineRule="exact"/>
        <w:rPr>
          <w:rFonts w:hint="eastAsia" w:ascii="黑体" w:hAnsi="黑体" w:eastAsia="黑体" w:cs="黑体"/>
          <w:bCs/>
          <w:sz w:val="32"/>
          <w:szCs w:val="32"/>
        </w:rPr>
      </w:pPr>
    </w:p>
    <w:p w14:paraId="507AF426">
      <w:pPr>
        <w:spacing w:line="600" w:lineRule="exact"/>
        <w:rPr>
          <w:rFonts w:hint="eastAsia" w:ascii="黑体" w:hAnsi="黑体" w:eastAsia="黑体" w:cs="黑体"/>
          <w:bCs/>
          <w:sz w:val="32"/>
          <w:szCs w:val="32"/>
        </w:rPr>
      </w:pPr>
    </w:p>
    <w:p w14:paraId="17F53989">
      <w:pPr>
        <w:spacing w:line="600" w:lineRule="exact"/>
        <w:rPr>
          <w:rFonts w:hint="eastAsia" w:ascii="黑体" w:hAnsi="黑体" w:eastAsia="黑体" w:cs="黑体"/>
          <w:bCs/>
          <w:sz w:val="32"/>
          <w:szCs w:val="32"/>
        </w:rPr>
      </w:pPr>
    </w:p>
    <w:p w14:paraId="35AD0D8B">
      <w:pPr>
        <w:spacing w:line="600" w:lineRule="exact"/>
        <w:rPr>
          <w:rFonts w:hint="eastAsia" w:ascii="黑体" w:hAnsi="黑体" w:eastAsia="黑体" w:cs="黑体"/>
        </w:rPr>
      </w:pPr>
      <w:r>
        <w:rPr>
          <w:rFonts w:hint="eastAsia" w:ascii="黑体" w:hAnsi="黑体" w:eastAsia="黑体" w:cs="黑体"/>
          <w:bCs/>
          <w:sz w:val="32"/>
          <w:szCs w:val="32"/>
        </w:rPr>
        <w:t>附件1</w:t>
      </w:r>
    </w:p>
    <w:p w14:paraId="4AED5FFE">
      <w:pPr>
        <w:pStyle w:val="19"/>
        <w:ind w:firstLine="562"/>
        <w:jc w:val="center"/>
        <w:rPr>
          <w:sz w:val="28"/>
          <w:szCs w:val="40"/>
        </w:rPr>
      </w:pPr>
      <w:bookmarkStart w:id="7" w:name="_Toc30064_WPSOffice_Level1"/>
      <w:bookmarkStart w:id="8" w:name="_Toc26499_WPSOffice_Level2"/>
      <w:r>
        <w:rPr>
          <w:rFonts w:hint="eastAsia"/>
          <w:b/>
          <w:bCs/>
          <w:sz w:val="28"/>
          <w:szCs w:val="40"/>
        </w:rPr>
        <w:t>生态环境厅环境监察专员办环境监察专项项目绩效评价指标体系及综合评分表</w:t>
      </w:r>
      <w:bookmarkEnd w:id="7"/>
      <w:bookmarkEnd w:id="8"/>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49B0B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0F886C97">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7FBAA41C">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636BC69">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6CE6D3E5">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6E5BEA88">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5741447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7DEB5F37">
            <w:pPr>
              <w:widowControl/>
              <w:spacing w:line="0" w:lineRule="atLeast"/>
              <w:jc w:val="center"/>
              <w:rPr>
                <w:b/>
                <w:bCs/>
                <w:color w:val="000000"/>
                <w:kern w:val="0"/>
                <w:sz w:val="22"/>
                <w:szCs w:val="22"/>
              </w:rPr>
            </w:pPr>
            <w:r>
              <w:rPr>
                <w:b/>
                <w:bCs/>
                <w:color w:val="000000"/>
                <w:kern w:val="0"/>
                <w:sz w:val="22"/>
                <w:szCs w:val="22"/>
              </w:rPr>
              <w:t>得分</w:t>
            </w:r>
          </w:p>
        </w:tc>
      </w:tr>
      <w:tr w14:paraId="3174F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1C1E2357">
            <w:pPr>
              <w:widowControl/>
              <w:spacing w:line="0" w:lineRule="atLeast"/>
              <w:jc w:val="center"/>
              <w:rPr>
                <w:color w:val="000000"/>
                <w:kern w:val="0"/>
                <w:sz w:val="22"/>
                <w:szCs w:val="22"/>
              </w:rPr>
            </w:pPr>
          </w:p>
          <w:p w14:paraId="4B3E7B80">
            <w:pPr>
              <w:widowControl/>
              <w:spacing w:line="0" w:lineRule="atLeast"/>
              <w:jc w:val="center"/>
              <w:rPr>
                <w:color w:val="000000"/>
                <w:kern w:val="0"/>
                <w:sz w:val="22"/>
                <w:szCs w:val="22"/>
              </w:rPr>
            </w:pPr>
          </w:p>
          <w:p w14:paraId="3714AE80">
            <w:pPr>
              <w:widowControl/>
              <w:spacing w:line="0" w:lineRule="atLeast"/>
              <w:jc w:val="center"/>
              <w:rPr>
                <w:color w:val="000000"/>
                <w:kern w:val="0"/>
                <w:sz w:val="22"/>
                <w:szCs w:val="22"/>
              </w:rPr>
            </w:pPr>
          </w:p>
          <w:p w14:paraId="2F77258A">
            <w:pPr>
              <w:widowControl/>
              <w:spacing w:line="0" w:lineRule="atLeast"/>
              <w:jc w:val="center"/>
              <w:rPr>
                <w:color w:val="000000"/>
                <w:kern w:val="0"/>
                <w:sz w:val="22"/>
                <w:szCs w:val="22"/>
              </w:rPr>
            </w:pPr>
          </w:p>
          <w:p w14:paraId="08E7EC16">
            <w:pPr>
              <w:widowControl/>
              <w:spacing w:line="0" w:lineRule="atLeast"/>
              <w:jc w:val="center"/>
              <w:rPr>
                <w:color w:val="000000"/>
                <w:kern w:val="0"/>
                <w:sz w:val="22"/>
                <w:szCs w:val="22"/>
              </w:rPr>
            </w:pPr>
          </w:p>
          <w:p w14:paraId="4458D05F">
            <w:pPr>
              <w:widowControl/>
              <w:spacing w:line="0" w:lineRule="atLeast"/>
              <w:jc w:val="center"/>
              <w:rPr>
                <w:color w:val="000000"/>
                <w:kern w:val="0"/>
                <w:sz w:val="22"/>
                <w:szCs w:val="22"/>
              </w:rPr>
            </w:pPr>
          </w:p>
          <w:p w14:paraId="1E3EB830">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14:paraId="672CBD96">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3A720D84">
            <w:pPr>
              <w:widowControl/>
              <w:spacing w:line="0" w:lineRule="atLeast"/>
              <w:jc w:val="center"/>
              <w:rPr>
                <w:color w:val="000000"/>
                <w:kern w:val="0"/>
                <w:sz w:val="22"/>
                <w:szCs w:val="22"/>
              </w:rPr>
            </w:pPr>
            <w:r>
              <w:rPr>
                <w:color w:val="000000"/>
                <w:kern w:val="0"/>
                <w:sz w:val="22"/>
                <w:szCs w:val="22"/>
              </w:rPr>
              <w:t>立项依据</w:t>
            </w:r>
          </w:p>
          <w:p w14:paraId="447D5B9E">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18308E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19C4420F">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19270BC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09FC5C7E">
            <w:pPr>
              <w:widowControl/>
              <w:spacing w:line="0" w:lineRule="atLeast"/>
              <w:jc w:val="center"/>
              <w:rPr>
                <w:b/>
                <w:bCs/>
                <w:color w:val="000000"/>
                <w:kern w:val="0"/>
                <w:sz w:val="22"/>
                <w:szCs w:val="22"/>
              </w:rPr>
            </w:pPr>
            <w:r>
              <w:rPr>
                <w:rFonts w:hint="eastAsia"/>
                <w:b/>
                <w:bCs/>
                <w:color w:val="000000"/>
                <w:kern w:val="0"/>
                <w:sz w:val="22"/>
                <w:szCs w:val="22"/>
              </w:rPr>
              <w:t>3</w:t>
            </w:r>
          </w:p>
        </w:tc>
      </w:tr>
      <w:tr w14:paraId="3E982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6F3117C4">
            <w:pPr>
              <w:spacing w:line="0" w:lineRule="atLeast"/>
              <w:jc w:val="center"/>
              <w:rPr>
                <w:color w:val="000000"/>
                <w:kern w:val="0"/>
                <w:sz w:val="22"/>
                <w:szCs w:val="22"/>
              </w:rPr>
            </w:pPr>
          </w:p>
        </w:tc>
        <w:tc>
          <w:tcPr>
            <w:tcW w:w="301" w:type="pct"/>
            <w:vMerge w:val="continue"/>
            <w:shd w:val="clear" w:color="auto" w:fill="FFFFFF"/>
            <w:vAlign w:val="center"/>
          </w:tcPr>
          <w:p w14:paraId="4969B336">
            <w:pPr>
              <w:widowControl/>
              <w:spacing w:line="0" w:lineRule="atLeast"/>
              <w:jc w:val="center"/>
              <w:rPr>
                <w:color w:val="000000"/>
                <w:kern w:val="0"/>
                <w:sz w:val="22"/>
                <w:szCs w:val="22"/>
              </w:rPr>
            </w:pPr>
          </w:p>
        </w:tc>
        <w:tc>
          <w:tcPr>
            <w:tcW w:w="344" w:type="pct"/>
            <w:shd w:val="clear" w:color="auto" w:fill="FFFFFF"/>
            <w:vAlign w:val="center"/>
          </w:tcPr>
          <w:p w14:paraId="770D05F1">
            <w:pPr>
              <w:widowControl/>
              <w:spacing w:line="0" w:lineRule="atLeast"/>
              <w:jc w:val="center"/>
              <w:rPr>
                <w:color w:val="000000"/>
                <w:kern w:val="0"/>
                <w:sz w:val="22"/>
                <w:szCs w:val="22"/>
              </w:rPr>
            </w:pPr>
            <w:r>
              <w:rPr>
                <w:color w:val="000000"/>
                <w:kern w:val="0"/>
                <w:sz w:val="22"/>
                <w:szCs w:val="22"/>
              </w:rPr>
              <w:t>立项程序</w:t>
            </w:r>
          </w:p>
          <w:p w14:paraId="49A9DAE6">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143F7636">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61A6A21F">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50A67B6B">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1DD990E3">
            <w:pPr>
              <w:widowControl/>
              <w:spacing w:line="0" w:lineRule="atLeast"/>
              <w:jc w:val="center"/>
              <w:rPr>
                <w:b/>
                <w:bCs/>
                <w:color w:val="000000"/>
                <w:kern w:val="0"/>
                <w:sz w:val="22"/>
                <w:szCs w:val="22"/>
              </w:rPr>
            </w:pPr>
            <w:r>
              <w:rPr>
                <w:rFonts w:hint="eastAsia"/>
                <w:b/>
                <w:bCs/>
                <w:color w:val="000000"/>
                <w:kern w:val="0"/>
                <w:sz w:val="22"/>
                <w:szCs w:val="22"/>
              </w:rPr>
              <w:t>3</w:t>
            </w:r>
          </w:p>
        </w:tc>
      </w:tr>
      <w:tr w14:paraId="7EB87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6DFEC5F9">
            <w:pPr>
              <w:spacing w:line="0" w:lineRule="atLeast"/>
              <w:jc w:val="center"/>
              <w:rPr>
                <w:color w:val="000000"/>
                <w:kern w:val="0"/>
                <w:sz w:val="22"/>
                <w:szCs w:val="22"/>
              </w:rPr>
            </w:pPr>
          </w:p>
        </w:tc>
        <w:tc>
          <w:tcPr>
            <w:tcW w:w="301" w:type="pct"/>
            <w:vMerge w:val="restart"/>
            <w:shd w:val="clear" w:color="auto" w:fill="FFFFFF"/>
            <w:vAlign w:val="center"/>
          </w:tcPr>
          <w:p w14:paraId="61FDD1EC">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616B3D4C">
            <w:pPr>
              <w:widowControl/>
              <w:spacing w:line="0" w:lineRule="atLeast"/>
              <w:jc w:val="center"/>
              <w:rPr>
                <w:color w:val="000000"/>
                <w:kern w:val="0"/>
                <w:sz w:val="22"/>
                <w:szCs w:val="22"/>
              </w:rPr>
            </w:pPr>
            <w:r>
              <w:rPr>
                <w:color w:val="000000"/>
                <w:kern w:val="0"/>
                <w:sz w:val="22"/>
                <w:szCs w:val="22"/>
              </w:rPr>
              <w:t>绩效目标</w:t>
            </w:r>
          </w:p>
          <w:p w14:paraId="6A1B8265">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3C664B36">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B602D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73B9EF7A">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3F250438">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0A1FBD93">
            <w:pPr>
              <w:widowControl/>
              <w:spacing w:line="0" w:lineRule="atLeast"/>
              <w:jc w:val="center"/>
              <w:rPr>
                <w:b/>
                <w:bCs/>
                <w:color w:val="000000"/>
                <w:kern w:val="0"/>
                <w:sz w:val="22"/>
                <w:szCs w:val="22"/>
              </w:rPr>
            </w:pPr>
            <w:r>
              <w:rPr>
                <w:rFonts w:hint="eastAsia"/>
                <w:b/>
                <w:bCs/>
                <w:color w:val="000000"/>
                <w:kern w:val="0"/>
                <w:sz w:val="22"/>
                <w:szCs w:val="22"/>
              </w:rPr>
              <w:t>3</w:t>
            </w:r>
          </w:p>
        </w:tc>
      </w:tr>
      <w:tr w14:paraId="16D32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05240629">
            <w:pPr>
              <w:widowControl/>
              <w:spacing w:line="0" w:lineRule="atLeast"/>
              <w:jc w:val="center"/>
              <w:rPr>
                <w:color w:val="000000"/>
                <w:kern w:val="0"/>
                <w:sz w:val="22"/>
                <w:szCs w:val="22"/>
              </w:rPr>
            </w:pPr>
          </w:p>
        </w:tc>
        <w:tc>
          <w:tcPr>
            <w:tcW w:w="301" w:type="pct"/>
            <w:vMerge w:val="continue"/>
            <w:shd w:val="clear" w:color="auto" w:fill="FFFFFF"/>
            <w:vAlign w:val="center"/>
          </w:tcPr>
          <w:p w14:paraId="520D0D6A">
            <w:pPr>
              <w:widowControl/>
              <w:spacing w:line="0" w:lineRule="atLeast"/>
              <w:jc w:val="center"/>
              <w:rPr>
                <w:color w:val="000000"/>
                <w:kern w:val="0"/>
                <w:sz w:val="22"/>
                <w:szCs w:val="22"/>
              </w:rPr>
            </w:pPr>
          </w:p>
        </w:tc>
        <w:tc>
          <w:tcPr>
            <w:tcW w:w="344" w:type="pct"/>
            <w:shd w:val="clear" w:color="auto" w:fill="FFFFFF"/>
            <w:vAlign w:val="center"/>
          </w:tcPr>
          <w:p w14:paraId="59C87007">
            <w:pPr>
              <w:widowControl/>
              <w:spacing w:line="0" w:lineRule="atLeast"/>
              <w:jc w:val="center"/>
              <w:rPr>
                <w:color w:val="000000"/>
                <w:kern w:val="0"/>
                <w:sz w:val="22"/>
                <w:szCs w:val="22"/>
              </w:rPr>
            </w:pPr>
            <w:r>
              <w:rPr>
                <w:color w:val="000000"/>
                <w:kern w:val="0"/>
                <w:sz w:val="22"/>
                <w:szCs w:val="22"/>
              </w:rPr>
              <w:t>绩效指标</w:t>
            </w:r>
          </w:p>
          <w:p w14:paraId="797E922F">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07BB0685">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2CF5D01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6D3CEFE6">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55CC39D2">
            <w:pPr>
              <w:widowControl/>
              <w:spacing w:line="0" w:lineRule="atLeast"/>
              <w:jc w:val="center"/>
              <w:rPr>
                <w:b/>
                <w:bCs/>
                <w:color w:val="000000"/>
                <w:kern w:val="0"/>
                <w:sz w:val="22"/>
                <w:szCs w:val="22"/>
              </w:rPr>
            </w:pPr>
            <w:r>
              <w:rPr>
                <w:rFonts w:hint="eastAsia"/>
                <w:b/>
                <w:bCs/>
                <w:color w:val="000000"/>
                <w:kern w:val="0"/>
                <w:sz w:val="22"/>
                <w:szCs w:val="22"/>
              </w:rPr>
              <w:t>3</w:t>
            </w:r>
          </w:p>
        </w:tc>
      </w:tr>
      <w:tr w14:paraId="4008C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3D03DDC7">
            <w:pPr>
              <w:spacing w:line="0" w:lineRule="atLeast"/>
              <w:jc w:val="center"/>
              <w:rPr>
                <w:color w:val="000000"/>
                <w:kern w:val="0"/>
                <w:sz w:val="22"/>
                <w:szCs w:val="22"/>
              </w:rPr>
            </w:pPr>
          </w:p>
        </w:tc>
        <w:tc>
          <w:tcPr>
            <w:tcW w:w="301" w:type="pct"/>
            <w:vMerge w:val="restart"/>
            <w:shd w:val="clear" w:color="auto" w:fill="FFFFFF"/>
            <w:vAlign w:val="center"/>
          </w:tcPr>
          <w:p w14:paraId="585FDD74">
            <w:pPr>
              <w:widowControl/>
              <w:spacing w:line="0" w:lineRule="atLeast"/>
              <w:jc w:val="center"/>
              <w:rPr>
                <w:color w:val="000000"/>
                <w:kern w:val="0"/>
                <w:sz w:val="22"/>
                <w:szCs w:val="22"/>
              </w:rPr>
            </w:pPr>
            <w:r>
              <w:rPr>
                <w:color w:val="000000"/>
                <w:kern w:val="0"/>
                <w:sz w:val="22"/>
                <w:szCs w:val="22"/>
              </w:rPr>
              <w:t>资金投入</w:t>
            </w:r>
          </w:p>
          <w:p w14:paraId="70BF93E3">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00996920">
            <w:pPr>
              <w:widowControl/>
              <w:spacing w:line="0" w:lineRule="atLeast"/>
              <w:jc w:val="center"/>
              <w:rPr>
                <w:color w:val="000000"/>
                <w:kern w:val="0"/>
                <w:sz w:val="22"/>
                <w:szCs w:val="22"/>
              </w:rPr>
            </w:pPr>
            <w:r>
              <w:rPr>
                <w:color w:val="000000"/>
                <w:kern w:val="0"/>
                <w:sz w:val="22"/>
                <w:szCs w:val="22"/>
              </w:rPr>
              <w:t>预算编制</w:t>
            </w:r>
          </w:p>
          <w:p w14:paraId="18629545">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90524BA">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755EBC6F">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4E6FF41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37F4A91E">
            <w:pPr>
              <w:widowControl/>
              <w:spacing w:line="0" w:lineRule="atLeast"/>
              <w:jc w:val="center"/>
              <w:rPr>
                <w:b/>
                <w:bCs/>
                <w:color w:val="000000"/>
                <w:kern w:val="0"/>
                <w:sz w:val="22"/>
                <w:szCs w:val="22"/>
              </w:rPr>
            </w:pPr>
            <w:r>
              <w:rPr>
                <w:rFonts w:hint="eastAsia"/>
                <w:b/>
                <w:bCs/>
                <w:color w:val="000000"/>
                <w:kern w:val="0"/>
                <w:sz w:val="22"/>
                <w:szCs w:val="22"/>
              </w:rPr>
              <w:t>4</w:t>
            </w:r>
          </w:p>
        </w:tc>
      </w:tr>
      <w:tr w14:paraId="23693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2AD3E84A">
            <w:pPr>
              <w:widowControl/>
              <w:spacing w:line="0" w:lineRule="atLeast"/>
              <w:jc w:val="center"/>
              <w:rPr>
                <w:color w:val="000000"/>
                <w:kern w:val="0"/>
                <w:sz w:val="22"/>
                <w:szCs w:val="22"/>
              </w:rPr>
            </w:pPr>
          </w:p>
        </w:tc>
        <w:tc>
          <w:tcPr>
            <w:tcW w:w="301" w:type="pct"/>
            <w:vMerge w:val="continue"/>
            <w:shd w:val="clear" w:color="auto" w:fill="FFFFFF"/>
            <w:vAlign w:val="center"/>
          </w:tcPr>
          <w:p w14:paraId="1E833102">
            <w:pPr>
              <w:widowControl/>
              <w:spacing w:line="0" w:lineRule="atLeast"/>
              <w:jc w:val="center"/>
              <w:rPr>
                <w:color w:val="000000"/>
                <w:kern w:val="0"/>
                <w:sz w:val="22"/>
                <w:szCs w:val="22"/>
              </w:rPr>
            </w:pPr>
          </w:p>
        </w:tc>
        <w:tc>
          <w:tcPr>
            <w:tcW w:w="344" w:type="pct"/>
            <w:shd w:val="clear" w:color="auto" w:fill="FFFFFF"/>
            <w:vAlign w:val="center"/>
          </w:tcPr>
          <w:p w14:paraId="29FBD033">
            <w:pPr>
              <w:widowControl/>
              <w:spacing w:line="0" w:lineRule="atLeast"/>
              <w:jc w:val="center"/>
              <w:rPr>
                <w:color w:val="000000"/>
                <w:kern w:val="0"/>
                <w:sz w:val="22"/>
                <w:szCs w:val="22"/>
              </w:rPr>
            </w:pPr>
            <w:r>
              <w:rPr>
                <w:color w:val="000000"/>
                <w:kern w:val="0"/>
                <w:sz w:val="22"/>
                <w:szCs w:val="22"/>
              </w:rPr>
              <w:t>资金分配</w:t>
            </w:r>
          </w:p>
          <w:p w14:paraId="3C6F1064">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0BD49A55">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763165B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601868E9">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237D927B">
            <w:pPr>
              <w:widowControl/>
              <w:spacing w:line="0" w:lineRule="atLeast"/>
              <w:jc w:val="center"/>
              <w:rPr>
                <w:b/>
                <w:bCs/>
                <w:color w:val="000000"/>
                <w:kern w:val="0"/>
                <w:sz w:val="22"/>
                <w:szCs w:val="22"/>
              </w:rPr>
            </w:pPr>
            <w:r>
              <w:rPr>
                <w:rFonts w:hint="eastAsia"/>
                <w:b/>
                <w:bCs/>
                <w:color w:val="000000"/>
                <w:kern w:val="0"/>
                <w:sz w:val="22"/>
                <w:szCs w:val="22"/>
              </w:rPr>
              <w:t>4</w:t>
            </w:r>
          </w:p>
        </w:tc>
      </w:tr>
      <w:tr w14:paraId="39FEEA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16A47D7D">
            <w:pPr>
              <w:spacing w:line="0" w:lineRule="atLeast"/>
              <w:jc w:val="center"/>
              <w:rPr>
                <w:color w:val="000000"/>
                <w:kern w:val="0"/>
                <w:sz w:val="22"/>
                <w:szCs w:val="22"/>
              </w:rPr>
            </w:pPr>
          </w:p>
          <w:p w14:paraId="3F6EEA3E">
            <w:pPr>
              <w:spacing w:line="0" w:lineRule="atLeast"/>
              <w:jc w:val="center"/>
              <w:rPr>
                <w:color w:val="000000"/>
                <w:kern w:val="0"/>
                <w:sz w:val="22"/>
                <w:szCs w:val="22"/>
              </w:rPr>
            </w:pPr>
          </w:p>
          <w:p w14:paraId="1D1D3174">
            <w:pPr>
              <w:spacing w:line="0" w:lineRule="atLeast"/>
              <w:jc w:val="center"/>
              <w:rPr>
                <w:color w:val="000000"/>
                <w:kern w:val="0"/>
                <w:sz w:val="22"/>
                <w:szCs w:val="22"/>
              </w:rPr>
            </w:pPr>
          </w:p>
          <w:p w14:paraId="03FEFC52">
            <w:pPr>
              <w:spacing w:line="0" w:lineRule="atLeast"/>
              <w:jc w:val="center"/>
              <w:rPr>
                <w:color w:val="000000"/>
                <w:kern w:val="0"/>
                <w:sz w:val="22"/>
                <w:szCs w:val="22"/>
              </w:rPr>
            </w:pPr>
          </w:p>
          <w:p w14:paraId="68228CB6">
            <w:pPr>
              <w:spacing w:line="0" w:lineRule="atLeast"/>
              <w:jc w:val="center"/>
              <w:rPr>
                <w:color w:val="000000"/>
                <w:kern w:val="0"/>
                <w:sz w:val="22"/>
                <w:szCs w:val="22"/>
              </w:rPr>
            </w:pPr>
          </w:p>
          <w:p w14:paraId="107D016E">
            <w:pPr>
              <w:spacing w:line="0" w:lineRule="atLeast"/>
              <w:jc w:val="center"/>
              <w:rPr>
                <w:color w:val="000000"/>
                <w:kern w:val="0"/>
                <w:sz w:val="22"/>
                <w:szCs w:val="22"/>
              </w:rPr>
            </w:pPr>
          </w:p>
          <w:p w14:paraId="26AC8E3D">
            <w:pPr>
              <w:spacing w:line="0" w:lineRule="atLeast"/>
              <w:jc w:val="center"/>
              <w:rPr>
                <w:color w:val="000000"/>
                <w:kern w:val="0"/>
                <w:sz w:val="22"/>
                <w:szCs w:val="22"/>
              </w:rPr>
            </w:pPr>
          </w:p>
          <w:p w14:paraId="44D97341">
            <w:pPr>
              <w:spacing w:line="0" w:lineRule="atLeast"/>
              <w:jc w:val="center"/>
              <w:rPr>
                <w:color w:val="000000"/>
                <w:kern w:val="0"/>
                <w:sz w:val="22"/>
                <w:szCs w:val="22"/>
              </w:rPr>
            </w:pPr>
          </w:p>
          <w:p w14:paraId="65276E2F">
            <w:pPr>
              <w:spacing w:line="0" w:lineRule="atLeast"/>
              <w:jc w:val="center"/>
              <w:rPr>
                <w:color w:val="000000"/>
                <w:kern w:val="0"/>
                <w:sz w:val="22"/>
                <w:szCs w:val="22"/>
              </w:rPr>
            </w:pPr>
          </w:p>
          <w:p w14:paraId="34BAFEA8">
            <w:pPr>
              <w:spacing w:line="0" w:lineRule="atLeast"/>
              <w:jc w:val="center"/>
              <w:rPr>
                <w:color w:val="000000"/>
                <w:kern w:val="0"/>
                <w:sz w:val="22"/>
                <w:szCs w:val="22"/>
              </w:rPr>
            </w:pPr>
          </w:p>
          <w:p w14:paraId="04C836FF">
            <w:pPr>
              <w:spacing w:line="0" w:lineRule="atLeast"/>
              <w:jc w:val="center"/>
              <w:rPr>
                <w:color w:val="000000"/>
                <w:kern w:val="0"/>
                <w:sz w:val="22"/>
                <w:szCs w:val="22"/>
              </w:rPr>
            </w:pPr>
          </w:p>
          <w:p w14:paraId="0FF27E73">
            <w:pPr>
              <w:spacing w:line="0" w:lineRule="atLeast"/>
              <w:jc w:val="center"/>
              <w:rPr>
                <w:color w:val="000000"/>
                <w:kern w:val="0"/>
                <w:sz w:val="22"/>
                <w:szCs w:val="22"/>
              </w:rPr>
            </w:pPr>
          </w:p>
          <w:p w14:paraId="64E9C2E3">
            <w:pPr>
              <w:spacing w:line="0" w:lineRule="atLeast"/>
              <w:jc w:val="center"/>
              <w:rPr>
                <w:color w:val="000000"/>
                <w:kern w:val="0"/>
                <w:sz w:val="22"/>
                <w:szCs w:val="22"/>
              </w:rPr>
            </w:pPr>
          </w:p>
          <w:p w14:paraId="76E678BF">
            <w:pPr>
              <w:spacing w:line="0" w:lineRule="atLeast"/>
              <w:jc w:val="center"/>
              <w:rPr>
                <w:color w:val="000000"/>
                <w:kern w:val="0"/>
                <w:sz w:val="22"/>
                <w:szCs w:val="22"/>
              </w:rPr>
            </w:pPr>
          </w:p>
          <w:p w14:paraId="02B32204">
            <w:pPr>
              <w:spacing w:line="0" w:lineRule="atLeast"/>
              <w:jc w:val="center"/>
              <w:rPr>
                <w:color w:val="000000"/>
                <w:kern w:val="0"/>
                <w:sz w:val="22"/>
                <w:szCs w:val="22"/>
              </w:rPr>
            </w:pPr>
          </w:p>
          <w:p w14:paraId="2D2C92D9">
            <w:pPr>
              <w:spacing w:line="0" w:lineRule="atLeast"/>
              <w:jc w:val="center"/>
              <w:rPr>
                <w:color w:val="000000"/>
                <w:kern w:val="0"/>
                <w:sz w:val="22"/>
                <w:szCs w:val="22"/>
              </w:rPr>
            </w:pPr>
            <w:r>
              <w:rPr>
                <w:color w:val="000000"/>
                <w:kern w:val="0"/>
                <w:sz w:val="22"/>
                <w:szCs w:val="22"/>
              </w:rPr>
              <w:t>过程</w:t>
            </w:r>
          </w:p>
          <w:p w14:paraId="220A6CCC">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14:paraId="04FC900D">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682EF034">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6BC1DE8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7836AAB">
            <w:pPr>
              <w:widowControl/>
              <w:spacing w:line="0" w:lineRule="atLeast"/>
              <w:rPr>
                <w:color w:val="000000"/>
                <w:kern w:val="0"/>
                <w:sz w:val="22"/>
                <w:szCs w:val="22"/>
              </w:rPr>
            </w:pPr>
            <w:r>
              <w:rPr>
                <w:color w:val="000000"/>
                <w:kern w:val="0"/>
                <w:sz w:val="22"/>
                <w:szCs w:val="22"/>
              </w:rPr>
              <w:t>资金到位率=（实际到位资金/预算资金）×100%。</w:t>
            </w:r>
          </w:p>
          <w:p w14:paraId="579FD27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295965B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659ED79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19C1C713">
            <w:pPr>
              <w:widowControl/>
              <w:spacing w:line="0" w:lineRule="atLeast"/>
              <w:jc w:val="center"/>
              <w:rPr>
                <w:b/>
                <w:bCs/>
                <w:color w:val="000000"/>
                <w:kern w:val="0"/>
                <w:sz w:val="22"/>
                <w:szCs w:val="22"/>
              </w:rPr>
            </w:pPr>
            <w:r>
              <w:rPr>
                <w:rFonts w:hint="eastAsia"/>
                <w:b/>
                <w:bCs/>
                <w:color w:val="000000"/>
                <w:kern w:val="0"/>
                <w:sz w:val="22"/>
                <w:szCs w:val="22"/>
              </w:rPr>
              <w:t>4</w:t>
            </w:r>
          </w:p>
        </w:tc>
      </w:tr>
      <w:tr w14:paraId="577E5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03681595">
            <w:pPr>
              <w:spacing w:line="0" w:lineRule="atLeast"/>
              <w:jc w:val="center"/>
              <w:rPr>
                <w:color w:val="000000"/>
                <w:kern w:val="0"/>
                <w:sz w:val="22"/>
                <w:szCs w:val="22"/>
              </w:rPr>
            </w:pPr>
          </w:p>
        </w:tc>
        <w:tc>
          <w:tcPr>
            <w:tcW w:w="301" w:type="pct"/>
            <w:vMerge w:val="continue"/>
            <w:shd w:val="clear" w:color="auto" w:fill="FFFFFF"/>
            <w:vAlign w:val="center"/>
          </w:tcPr>
          <w:p w14:paraId="4B10ADB3">
            <w:pPr>
              <w:spacing w:line="0" w:lineRule="atLeast"/>
              <w:jc w:val="center"/>
              <w:rPr>
                <w:color w:val="000000"/>
                <w:kern w:val="0"/>
                <w:sz w:val="22"/>
                <w:szCs w:val="22"/>
              </w:rPr>
            </w:pPr>
          </w:p>
        </w:tc>
        <w:tc>
          <w:tcPr>
            <w:tcW w:w="344" w:type="pct"/>
            <w:shd w:val="clear" w:color="auto" w:fill="FFFFFF"/>
            <w:vAlign w:val="center"/>
          </w:tcPr>
          <w:p w14:paraId="59E48B2F">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FBC7E24">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6D3FEC6A">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485D875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471DA637">
            <w:pPr>
              <w:widowControl/>
              <w:spacing w:line="0" w:lineRule="atLeast"/>
              <w:jc w:val="center"/>
              <w:rPr>
                <w:b/>
                <w:bCs/>
                <w:color w:val="000000"/>
                <w:kern w:val="0"/>
                <w:sz w:val="22"/>
                <w:szCs w:val="22"/>
              </w:rPr>
            </w:pPr>
            <w:r>
              <w:rPr>
                <w:rFonts w:hint="eastAsia"/>
                <w:b/>
                <w:bCs/>
                <w:color w:val="000000"/>
                <w:kern w:val="0"/>
                <w:sz w:val="22"/>
                <w:szCs w:val="22"/>
              </w:rPr>
              <w:t>4</w:t>
            </w:r>
          </w:p>
        </w:tc>
      </w:tr>
      <w:tr w14:paraId="72D6D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5462FC9">
            <w:pPr>
              <w:spacing w:line="0" w:lineRule="atLeast"/>
              <w:jc w:val="center"/>
              <w:rPr>
                <w:color w:val="000000"/>
                <w:kern w:val="0"/>
                <w:sz w:val="22"/>
                <w:szCs w:val="22"/>
              </w:rPr>
            </w:pPr>
          </w:p>
        </w:tc>
        <w:tc>
          <w:tcPr>
            <w:tcW w:w="301" w:type="pct"/>
            <w:shd w:val="clear" w:color="auto" w:fill="FFFFFF"/>
            <w:vAlign w:val="center"/>
          </w:tcPr>
          <w:p w14:paraId="10A3F05D">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C48D80E">
            <w:pPr>
              <w:widowControl/>
              <w:spacing w:line="0" w:lineRule="atLeast"/>
              <w:jc w:val="center"/>
              <w:rPr>
                <w:color w:val="000000"/>
                <w:kern w:val="0"/>
                <w:sz w:val="22"/>
                <w:szCs w:val="22"/>
              </w:rPr>
            </w:pPr>
            <w:r>
              <w:rPr>
                <w:color w:val="000000"/>
                <w:kern w:val="0"/>
                <w:sz w:val="22"/>
                <w:szCs w:val="22"/>
              </w:rPr>
              <w:t>资金使用</w:t>
            </w:r>
          </w:p>
          <w:p w14:paraId="11957ABD">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2E925CA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3FF880A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3B6B68CB">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22A01874">
            <w:pPr>
              <w:widowControl/>
              <w:spacing w:line="0" w:lineRule="atLeast"/>
              <w:jc w:val="center"/>
              <w:rPr>
                <w:b/>
                <w:bCs/>
                <w:color w:val="000000"/>
                <w:kern w:val="0"/>
                <w:sz w:val="22"/>
                <w:szCs w:val="22"/>
              </w:rPr>
            </w:pPr>
            <w:r>
              <w:rPr>
                <w:rFonts w:hint="eastAsia"/>
                <w:b/>
                <w:bCs/>
                <w:color w:val="000000"/>
                <w:kern w:val="0"/>
                <w:sz w:val="22"/>
                <w:szCs w:val="22"/>
              </w:rPr>
              <w:t>4</w:t>
            </w:r>
          </w:p>
        </w:tc>
      </w:tr>
      <w:tr w14:paraId="52DD6C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3652EFCB">
            <w:pPr>
              <w:spacing w:line="0" w:lineRule="atLeast"/>
              <w:jc w:val="center"/>
              <w:rPr>
                <w:color w:val="000000"/>
                <w:kern w:val="0"/>
                <w:sz w:val="22"/>
                <w:szCs w:val="22"/>
              </w:rPr>
            </w:pPr>
          </w:p>
        </w:tc>
        <w:tc>
          <w:tcPr>
            <w:tcW w:w="301" w:type="pct"/>
            <w:vMerge w:val="restart"/>
            <w:shd w:val="clear" w:color="auto" w:fill="FFFFFF"/>
            <w:vAlign w:val="center"/>
          </w:tcPr>
          <w:p w14:paraId="26C61D15">
            <w:pPr>
              <w:widowControl/>
              <w:spacing w:line="0" w:lineRule="atLeast"/>
              <w:jc w:val="center"/>
              <w:rPr>
                <w:color w:val="000000"/>
                <w:kern w:val="0"/>
                <w:sz w:val="22"/>
                <w:szCs w:val="22"/>
              </w:rPr>
            </w:pPr>
            <w:r>
              <w:rPr>
                <w:color w:val="000000"/>
                <w:kern w:val="0"/>
                <w:sz w:val="22"/>
                <w:szCs w:val="22"/>
              </w:rPr>
              <w:t>组织实施</w:t>
            </w:r>
          </w:p>
          <w:p w14:paraId="19567C68">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25EF6A17">
            <w:pPr>
              <w:widowControl/>
              <w:spacing w:line="0" w:lineRule="atLeast"/>
              <w:jc w:val="center"/>
              <w:rPr>
                <w:color w:val="000000"/>
                <w:kern w:val="0"/>
                <w:sz w:val="22"/>
                <w:szCs w:val="22"/>
              </w:rPr>
            </w:pPr>
            <w:r>
              <w:rPr>
                <w:color w:val="000000"/>
                <w:kern w:val="0"/>
                <w:sz w:val="22"/>
                <w:szCs w:val="22"/>
              </w:rPr>
              <w:t>管理制度</w:t>
            </w:r>
          </w:p>
          <w:p w14:paraId="6CC5B2B2">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7765354C">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00BA8E5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0FF3381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0BC4CDD">
            <w:pPr>
              <w:widowControl/>
              <w:spacing w:line="0" w:lineRule="atLeast"/>
              <w:jc w:val="center"/>
              <w:rPr>
                <w:b/>
                <w:bCs/>
                <w:color w:val="000000"/>
                <w:kern w:val="0"/>
                <w:sz w:val="22"/>
                <w:szCs w:val="22"/>
              </w:rPr>
            </w:pPr>
            <w:r>
              <w:rPr>
                <w:rFonts w:hint="eastAsia"/>
                <w:b/>
                <w:bCs/>
                <w:color w:val="000000"/>
                <w:kern w:val="0"/>
                <w:sz w:val="22"/>
                <w:szCs w:val="22"/>
              </w:rPr>
              <w:t>4</w:t>
            </w:r>
          </w:p>
        </w:tc>
      </w:tr>
      <w:tr w14:paraId="34D60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138DB62B">
            <w:pPr>
              <w:widowControl/>
              <w:spacing w:line="0" w:lineRule="atLeast"/>
              <w:jc w:val="center"/>
              <w:rPr>
                <w:color w:val="000000"/>
                <w:kern w:val="0"/>
                <w:sz w:val="22"/>
                <w:szCs w:val="22"/>
              </w:rPr>
            </w:pPr>
          </w:p>
        </w:tc>
        <w:tc>
          <w:tcPr>
            <w:tcW w:w="301" w:type="pct"/>
            <w:vMerge w:val="continue"/>
            <w:shd w:val="clear" w:color="auto" w:fill="FFFFFF"/>
            <w:vAlign w:val="center"/>
          </w:tcPr>
          <w:p w14:paraId="3E9242B9">
            <w:pPr>
              <w:widowControl/>
              <w:spacing w:line="0" w:lineRule="atLeast"/>
              <w:jc w:val="center"/>
              <w:rPr>
                <w:color w:val="000000"/>
                <w:kern w:val="0"/>
                <w:sz w:val="22"/>
                <w:szCs w:val="22"/>
              </w:rPr>
            </w:pPr>
          </w:p>
        </w:tc>
        <w:tc>
          <w:tcPr>
            <w:tcW w:w="344" w:type="pct"/>
            <w:shd w:val="clear" w:color="auto" w:fill="FFFFFF"/>
            <w:vAlign w:val="center"/>
          </w:tcPr>
          <w:p w14:paraId="0C168867">
            <w:pPr>
              <w:widowControl/>
              <w:spacing w:line="0" w:lineRule="atLeast"/>
              <w:jc w:val="center"/>
              <w:rPr>
                <w:color w:val="000000"/>
                <w:kern w:val="0"/>
                <w:sz w:val="22"/>
                <w:szCs w:val="22"/>
              </w:rPr>
            </w:pPr>
            <w:r>
              <w:rPr>
                <w:color w:val="000000"/>
                <w:kern w:val="0"/>
                <w:sz w:val="22"/>
                <w:szCs w:val="22"/>
              </w:rPr>
              <w:t>制度执行</w:t>
            </w:r>
          </w:p>
          <w:p w14:paraId="577B9F0C">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3C918213">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3537F04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3E09209E">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7F3524E9">
            <w:pPr>
              <w:widowControl/>
              <w:spacing w:line="0" w:lineRule="atLeast"/>
              <w:jc w:val="center"/>
              <w:rPr>
                <w:b/>
                <w:bCs/>
                <w:color w:val="000000"/>
                <w:kern w:val="0"/>
                <w:sz w:val="22"/>
                <w:szCs w:val="22"/>
              </w:rPr>
            </w:pPr>
            <w:r>
              <w:rPr>
                <w:rFonts w:hint="eastAsia"/>
                <w:b/>
                <w:bCs/>
                <w:color w:val="000000"/>
                <w:kern w:val="0"/>
                <w:sz w:val="22"/>
                <w:szCs w:val="22"/>
              </w:rPr>
              <w:t>4</w:t>
            </w:r>
          </w:p>
        </w:tc>
      </w:tr>
      <w:tr w14:paraId="002F9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1184923C">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14:paraId="25EAD161">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C6F37F3">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11C24A9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5B3FFC8">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5688AB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69DD635">
            <w:pPr>
              <w:widowControl/>
              <w:spacing w:line="0" w:lineRule="atLeast"/>
              <w:jc w:val="center"/>
              <w:rPr>
                <w:b/>
                <w:bCs/>
                <w:color w:val="000000"/>
                <w:kern w:val="0"/>
                <w:sz w:val="22"/>
                <w:szCs w:val="22"/>
              </w:rPr>
            </w:pPr>
            <w:r>
              <w:rPr>
                <w:rFonts w:hint="eastAsia"/>
                <w:b/>
                <w:bCs/>
                <w:color w:val="000000"/>
                <w:kern w:val="0"/>
                <w:sz w:val="22"/>
                <w:szCs w:val="22"/>
              </w:rPr>
              <w:t>10</w:t>
            </w:r>
          </w:p>
        </w:tc>
      </w:tr>
      <w:tr w14:paraId="54C92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3E0C6877">
            <w:pPr>
              <w:widowControl/>
              <w:spacing w:line="0" w:lineRule="atLeast"/>
              <w:jc w:val="center"/>
              <w:rPr>
                <w:color w:val="000000"/>
                <w:kern w:val="0"/>
                <w:sz w:val="22"/>
                <w:szCs w:val="22"/>
              </w:rPr>
            </w:pPr>
          </w:p>
        </w:tc>
        <w:tc>
          <w:tcPr>
            <w:tcW w:w="301" w:type="pct"/>
            <w:shd w:val="clear" w:color="auto" w:fill="FFFFFF"/>
            <w:vAlign w:val="center"/>
          </w:tcPr>
          <w:p w14:paraId="7D1069CE">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79B8047C">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2391049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D6A7605">
            <w:pPr>
              <w:widowControl/>
              <w:spacing w:line="0" w:lineRule="atLeast"/>
              <w:rPr>
                <w:color w:val="000000"/>
                <w:kern w:val="0"/>
                <w:sz w:val="22"/>
                <w:szCs w:val="22"/>
              </w:rPr>
            </w:pPr>
            <w:r>
              <w:rPr>
                <w:color w:val="000000"/>
                <w:kern w:val="0"/>
                <w:sz w:val="22"/>
                <w:szCs w:val="22"/>
              </w:rPr>
              <w:t>质量达标率=（质量达标产出数/实际产出数）×100%。</w:t>
            </w:r>
          </w:p>
          <w:p w14:paraId="483E4AC6">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8C7672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34CDC346">
            <w:pPr>
              <w:widowControl/>
              <w:spacing w:line="0" w:lineRule="atLeast"/>
              <w:jc w:val="center"/>
              <w:rPr>
                <w:b/>
                <w:bCs/>
                <w:color w:val="000000"/>
                <w:kern w:val="0"/>
                <w:sz w:val="22"/>
                <w:szCs w:val="22"/>
              </w:rPr>
            </w:pPr>
            <w:r>
              <w:rPr>
                <w:rFonts w:hint="eastAsia"/>
                <w:b/>
                <w:bCs/>
                <w:color w:val="000000"/>
                <w:kern w:val="0"/>
                <w:sz w:val="22"/>
                <w:szCs w:val="22"/>
              </w:rPr>
              <w:t>10</w:t>
            </w:r>
          </w:p>
        </w:tc>
      </w:tr>
      <w:tr w14:paraId="044A2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4420A8D3">
            <w:pPr>
              <w:spacing w:line="0" w:lineRule="atLeast"/>
              <w:jc w:val="center"/>
              <w:rPr>
                <w:color w:val="000000"/>
                <w:kern w:val="0"/>
                <w:sz w:val="22"/>
                <w:szCs w:val="22"/>
              </w:rPr>
            </w:pPr>
          </w:p>
        </w:tc>
        <w:tc>
          <w:tcPr>
            <w:tcW w:w="301" w:type="pct"/>
            <w:shd w:val="clear" w:color="auto" w:fill="FFFFFF"/>
            <w:vAlign w:val="center"/>
          </w:tcPr>
          <w:p w14:paraId="33F98E94">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07DF9B23">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284F394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0254142F">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E9710EF">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34719411">
            <w:pPr>
              <w:widowControl/>
              <w:spacing w:line="0" w:lineRule="atLeast"/>
              <w:jc w:val="center"/>
              <w:rPr>
                <w:b/>
                <w:bCs/>
                <w:color w:val="000000"/>
                <w:kern w:val="0"/>
                <w:sz w:val="22"/>
                <w:szCs w:val="22"/>
              </w:rPr>
            </w:pPr>
            <w:r>
              <w:rPr>
                <w:rFonts w:hint="eastAsia"/>
                <w:b/>
                <w:bCs/>
                <w:color w:val="000000"/>
                <w:kern w:val="0"/>
                <w:sz w:val="22"/>
                <w:szCs w:val="22"/>
              </w:rPr>
              <w:t>10</w:t>
            </w:r>
          </w:p>
        </w:tc>
      </w:tr>
      <w:tr w14:paraId="184AB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C06EF74">
            <w:pPr>
              <w:widowControl/>
              <w:spacing w:line="0" w:lineRule="atLeast"/>
              <w:jc w:val="center"/>
              <w:rPr>
                <w:color w:val="000000"/>
                <w:kern w:val="0"/>
                <w:sz w:val="22"/>
                <w:szCs w:val="22"/>
              </w:rPr>
            </w:pPr>
          </w:p>
        </w:tc>
        <w:tc>
          <w:tcPr>
            <w:tcW w:w="301" w:type="pct"/>
            <w:shd w:val="clear" w:color="auto" w:fill="FFFFFF"/>
            <w:vAlign w:val="center"/>
          </w:tcPr>
          <w:p w14:paraId="211D0BFC">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72618A07">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22F91353">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8671677">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35D5BFB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4291D02">
            <w:pPr>
              <w:widowControl/>
              <w:spacing w:line="0" w:lineRule="atLeast"/>
              <w:jc w:val="center"/>
              <w:rPr>
                <w:b/>
                <w:bCs/>
                <w:color w:val="000000"/>
                <w:kern w:val="0"/>
                <w:sz w:val="22"/>
                <w:szCs w:val="22"/>
              </w:rPr>
            </w:pPr>
            <w:r>
              <w:rPr>
                <w:rFonts w:hint="eastAsia"/>
                <w:b/>
                <w:bCs/>
                <w:color w:val="000000"/>
                <w:kern w:val="0"/>
                <w:sz w:val="22"/>
                <w:szCs w:val="22"/>
              </w:rPr>
              <w:t>10</w:t>
            </w:r>
          </w:p>
        </w:tc>
      </w:tr>
      <w:tr w14:paraId="0630E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059FAF72">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14:paraId="5A1A5346">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3EF97A5F">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03D87578">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221F1FBD">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F115068">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764668D7">
            <w:pPr>
              <w:widowControl/>
              <w:spacing w:line="0" w:lineRule="atLeast"/>
              <w:jc w:val="center"/>
              <w:rPr>
                <w:b/>
                <w:bCs/>
                <w:color w:val="000000"/>
                <w:kern w:val="0"/>
                <w:sz w:val="22"/>
                <w:szCs w:val="22"/>
              </w:rPr>
            </w:pPr>
            <w:r>
              <w:rPr>
                <w:rFonts w:hint="eastAsia"/>
                <w:b/>
                <w:bCs/>
                <w:color w:val="000000"/>
                <w:kern w:val="0"/>
                <w:sz w:val="22"/>
                <w:szCs w:val="22"/>
              </w:rPr>
              <w:t>10</w:t>
            </w:r>
          </w:p>
        </w:tc>
      </w:tr>
      <w:tr w14:paraId="6C236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1E6A651B">
            <w:pPr>
              <w:widowControl/>
              <w:spacing w:line="0" w:lineRule="atLeast"/>
              <w:jc w:val="center"/>
              <w:rPr>
                <w:color w:val="000000"/>
                <w:kern w:val="0"/>
                <w:sz w:val="22"/>
                <w:szCs w:val="22"/>
              </w:rPr>
            </w:pPr>
          </w:p>
        </w:tc>
        <w:tc>
          <w:tcPr>
            <w:tcW w:w="301" w:type="pct"/>
            <w:vMerge w:val="continue"/>
            <w:shd w:val="clear" w:color="auto" w:fill="FFFFFF"/>
            <w:vAlign w:val="center"/>
          </w:tcPr>
          <w:p w14:paraId="72B573CE">
            <w:pPr>
              <w:widowControl/>
              <w:spacing w:line="0" w:lineRule="atLeast"/>
              <w:jc w:val="center"/>
              <w:rPr>
                <w:color w:val="000000"/>
                <w:kern w:val="0"/>
                <w:sz w:val="22"/>
                <w:szCs w:val="22"/>
              </w:rPr>
            </w:pPr>
          </w:p>
        </w:tc>
        <w:tc>
          <w:tcPr>
            <w:tcW w:w="344" w:type="pct"/>
            <w:shd w:val="clear" w:color="auto" w:fill="FFFFFF"/>
            <w:vAlign w:val="center"/>
          </w:tcPr>
          <w:p w14:paraId="36288C1D">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4C940C2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66A20E6D">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2104D87">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67B1D64">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2645AC81"/>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3D7DD5-C4C5-4799-84B5-C67733AFF8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587BEA1-A912-4184-94D2-041ECBC62853}"/>
  </w:font>
  <w:font w:name="华文中宋">
    <w:altName w:val="宋体"/>
    <w:panose1 w:val="02010600040101010101"/>
    <w:charset w:val="86"/>
    <w:family w:val="auto"/>
    <w:pitch w:val="default"/>
    <w:sig w:usb0="00000000" w:usb1="00000000" w:usb2="00000010" w:usb3="00000000" w:csb0="0004009F" w:csb1="00000000"/>
    <w:embedRegular r:id="rId3" w:fontKey="{A0765B37-9349-4465-B80C-F0DC587C7967}"/>
  </w:font>
  <w:font w:name="方正小标宋_GBK">
    <w:altName w:val="微软雅黑"/>
    <w:panose1 w:val="00000000000000000000"/>
    <w:charset w:val="86"/>
    <w:family w:val="auto"/>
    <w:pitch w:val="default"/>
    <w:sig w:usb0="00000000" w:usb1="00000000" w:usb2="00000000" w:usb3="00000000" w:csb0="00040000" w:csb1="00000000"/>
    <w:embedRegular r:id="rId4" w:fontKey="{5FE27E64-BDA8-4195-A223-5104B6B8EF85}"/>
  </w:font>
  <w:font w:name="楷体_GB2312">
    <w:panose1 w:val="02010609030101010101"/>
    <w:charset w:val="86"/>
    <w:family w:val="modern"/>
    <w:pitch w:val="default"/>
    <w:sig w:usb0="00000001" w:usb1="080E0000" w:usb2="00000000" w:usb3="00000000" w:csb0="00040000" w:csb1="00000000"/>
    <w:embedRegular r:id="rId5" w:fontKey="{323F884A-A617-4830-BD0F-E566C99D7636}"/>
  </w:font>
  <w:font w:name="方正仿宋_GBK">
    <w:altName w:val="微软雅黑"/>
    <w:panose1 w:val="00000000000000000000"/>
    <w:charset w:val="86"/>
    <w:family w:val="auto"/>
    <w:pitch w:val="default"/>
    <w:sig w:usb0="00000000" w:usb1="00000000" w:usb2="00000000" w:usb3="00000000" w:csb0="00040000" w:csb1="00000000"/>
    <w:embedRegular r:id="rId6" w:fontKey="{FA80F7B4-AC05-4CCE-8914-B5F4737F0651}"/>
  </w:font>
  <w:font w:name="楷体">
    <w:panose1 w:val="02010609060101010101"/>
    <w:charset w:val="86"/>
    <w:family w:val="modern"/>
    <w:pitch w:val="default"/>
    <w:sig w:usb0="800002BF" w:usb1="38CF7CFA" w:usb2="00000016" w:usb3="00000000" w:csb0="00040001" w:csb1="00000000"/>
    <w:embedRegular r:id="rId7" w:fontKey="{0DE59C8E-D930-4A56-9FA4-4CB85D38F9E3}"/>
  </w:font>
  <w:font w:name="方正小标宋简体">
    <w:panose1 w:val="02000000000000000000"/>
    <w:charset w:val="86"/>
    <w:family w:val="script"/>
    <w:pitch w:val="default"/>
    <w:sig w:usb0="00000001" w:usb1="08000000" w:usb2="00000000" w:usb3="00000000" w:csb0="00040000" w:csb1="00000000"/>
    <w:embedRegular r:id="rId8" w:fontKey="{839ADCF4-5CF9-411D-8924-8705E86A48E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0C3C294">
        <w:pPr>
          <w:pStyle w:val="8"/>
          <w:jc w:val="center"/>
        </w:pPr>
        <w:r>
          <w:fldChar w:fldCharType="begin"/>
        </w:r>
        <w:r>
          <w:instrText xml:space="preserve">PAGE   \* MERGEFORMAT</w:instrText>
        </w:r>
        <w:r>
          <w:fldChar w:fldCharType="separate"/>
        </w:r>
        <w:r>
          <w:rPr>
            <w:lang w:val="zh-CN"/>
          </w:rPr>
          <w:t>25</w:t>
        </w:r>
        <w:r>
          <w:fldChar w:fldCharType="end"/>
        </w:r>
      </w:p>
    </w:sdtContent>
  </w:sdt>
  <w:p w14:paraId="610C698D">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0000655F"/>
    <w:rsid w:val="000F0470"/>
    <w:rsid w:val="001A7AF7"/>
    <w:rsid w:val="002133A1"/>
    <w:rsid w:val="006F7242"/>
    <w:rsid w:val="007B168A"/>
    <w:rsid w:val="008B2CFE"/>
    <w:rsid w:val="008C2D31"/>
    <w:rsid w:val="008D4211"/>
    <w:rsid w:val="0091145B"/>
    <w:rsid w:val="009B2AE2"/>
    <w:rsid w:val="00A0296C"/>
    <w:rsid w:val="00AB7CEF"/>
    <w:rsid w:val="00CD5151"/>
    <w:rsid w:val="00D575A2"/>
    <w:rsid w:val="00E70B23"/>
    <w:rsid w:val="00F26FF6"/>
    <w:rsid w:val="00FB713D"/>
    <w:rsid w:val="07397B77"/>
    <w:rsid w:val="0AAC55EF"/>
    <w:rsid w:val="0B0A0049"/>
    <w:rsid w:val="10A20B3E"/>
    <w:rsid w:val="13471461"/>
    <w:rsid w:val="13B90F01"/>
    <w:rsid w:val="181066D2"/>
    <w:rsid w:val="18C73D4A"/>
    <w:rsid w:val="1C671E73"/>
    <w:rsid w:val="21FB6C21"/>
    <w:rsid w:val="28F22F3F"/>
    <w:rsid w:val="2A5E3869"/>
    <w:rsid w:val="2E2A2352"/>
    <w:rsid w:val="33D24718"/>
    <w:rsid w:val="38CA40DD"/>
    <w:rsid w:val="395F2B56"/>
    <w:rsid w:val="3BECE841"/>
    <w:rsid w:val="3FF7797D"/>
    <w:rsid w:val="4AF4697B"/>
    <w:rsid w:val="5BFF6039"/>
    <w:rsid w:val="5D76A616"/>
    <w:rsid w:val="5D7F20B9"/>
    <w:rsid w:val="5DAC7D0E"/>
    <w:rsid w:val="5E644B8D"/>
    <w:rsid w:val="5F98B5AF"/>
    <w:rsid w:val="5FFE8511"/>
    <w:rsid w:val="5FFEACE2"/>
    <w:rsid w:val="643EE26D"/>
    <w:rsid w:val="69DB4E39"/>
    <w:rsid w:val="6E7B696B"/>
    <w:rsid w:val="6F5C41AC"/>
    <w:rsid w:val="6FAF6C78"/>
    <w:rsid w:val="7317C656"/>
    <w:rsid w:val="734ED73F"/>
    <w:rsid w:val="77FD8BE9"/>
    <w:rsid w:val="79A9BD3F"/>
    <w:rsid w:val="7A652A10"/>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25</Pages>
  <Words>10516</Words>
  <Characters>10963</Characters>
  <Lines>83</Lines>
  <Paragraphs>23</Paragraphs>
  <TotalTime>22</TotalTime>
  <ScaleCrop>false</ScaleCrop>
  <LinksUpToDate>false</LinksUpToDate>
  <CharactersWithSpaces>10993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2024-04-12T12:36:00Z</dcterms:created>
  <dc:creator>审核人</dc:creator>
  <cp:lastModifiedBy>153****3886</cp:lastModifiedBy>
  <cp:lastPrinted>2024-02-27T10:40:00Z</cp:lastPrinted>
  <dcterms:modified xsi:type="dcterms:W3CDTF">2024-08-27T08:58:13Z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