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0F6A92">
      <w:pPr>
        <w:spacing w:line="540" w:lineRule="exact"/>
        <w:jc w:val="center"/>
        <w:rPr>
          <w:rFonts w:eastAsia="华文中宋"/>
          <w:b/>
          <w:kern w:val="0"/>
          <w:sz w:val="52"/>
          <w:szCs w:val="52"/>
        </w:rPr>
      </w:pPr>
    </w:p>
    <w:p w14:paraId="34783D2E">
      <w:pPr>
        <w:spacing w:line="540" w:lineRule="exact"/>
        <w:rPr>
          <w:rFonts w:eastAsia="华文中宋"/>
          <w:b/>
          <w:kern w:val="0"/>
          <w:sz w:val="52"/>
          <w:szCs w:val="52"/>
        </w:rPr>
      </w:pPr>
    </w:p>
    <w:p w14:paraId="03CFD4E6">
      <w:pPr>
        <w:spacing w:line="540" w:lineRule="exact"/>
        <w:jc w:val="center"/>
        <w:rPr>
          <w:rFonts w:eastAsia="华文中宋"/>
          <w:b/>
          <w:kern w:val="0"/>
          <w:sz w:val="52"/>
          <w:szCs w:val="52"/>
        </w:rPr>
      </w:pPr>
    </w:p>
    <w:p w14:paraId="57271E18">
      <w:pPr>
        <w:spacing w:line="540" w:lineRule="exact"/>
        <w:jc w:val="center"/>
        <w:rPr>
          <w:rFonts w:eastAsia="华文中宋"/>
          <w:b/>
          <w:kern w:val="0"/>
          <w:sz w:val="52"/>
          <w:szCs w:val="52"/>
        </w:rPr>
      </w:pPr>
    </w:p>
    <w:p w14:paraId="12BA74CF">
      <w:pPr>
        <w:spacing w:line="540" w:lineRule="exact"/>
        <w:jc w:val="center"/>
        <w:rPr>
          <w:rFonts w:eastAsia="方正小标宋_GBK"/>
          <w:kern w:val="0"/>
          <w:sz w:val="48"/>
          <w:szCs w:val="48"/>
        </w:rPr>
      </w:pPr>
      <w:r>
        <w:rPr>
          <w:rFonts w:hint="eastAsia" w:eastAsia="方正小标宋_GBK"/>
          <w:kern w:val="0"/>
          <w:sz w:val="48"/>
          <w:szCs w:val="48"/>
        </w:rPr>
        <w:t>生态环境厅环境监察专员办环境监察专项</w:t>
      </w:r>
      <w:r>
        <w:rPr>
          <w:rFonts w:eastAsia="方正小标宋_GBK"/>
          <w:kern w:val="0"/>
          <w:sz w:val="48"/>
          <w:szCs w:val="48"/>
        </w:rPr>
        <w:t>项目支出绩效评价报告</w:t>
      </w:r>
    </w:p>
    <w:p w14:paraId="161FE6DE">
      <w:pPr>
        <w:spacing w:line="540" w:lineRule="exact"/>
        <w:jc w:val="center"/>
        <w:rPr>
          <w:rFonts w:eastAsia="华文中宋"/>
          <w:b/>
          <w:kern w:val="0"/>
          <w:sz w:val="52"/>
          <w:szCs w:val="52"/>
        </w:rPr>
      </w:pPr>
    </w:p>
    <w:p w14:paraId="60E898EE">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rPr>
        <w:t>3</w:t>
      </w:r>
      <w:r>
        <w:rPr>
          <w:rFonts w:eastAsia="仿宋_GB2312"/>
          <w:kern w:val="0"/>
          <w:sz w:val="36"/>
          <w:szCs w:val="36"/>
        </w:rPr>
        <w:t>年度）</w:t>
      </w:r>
    </w:p>
    <w:p w14:paraId="563FCAD6">
      <w:pPr>
        <w:spacing w:line="540" w:lineRule="exact"/>
        <w:jc w:val="center"/>
        <w:rPr>
          <w:rFonts w:eastAsia="仿宋_GB2312"/>
          <w:kern w:val="0"/>
          <w:sz w:val="30"/>
          <w:szCs w:val="30"/>
        </w:rPr>
      </w:pPr>
      <w:bookmarkStart w:id="9" w:name="_GoBack"/>
      <w:bookmarkEnd w:id="9"/>
    </w:p>
    <w:p w14:paraId="68554E8E">
      <w:pPr>
        <w:spacing w:line="540" w:lineRule="exact"/>
        <w:jc w:val="center"/>
        <w:rPr>
          <w:rFonts w:eastAsia="仿宋_GB2312"/>
          <w:kern w:val="0"/>
          <w:sz w:val="30"/>
          <w:szCs w:val="30"/>
        </w:rPr>
      </w:pPr>
    </w:p>
    <w:p w14:paraId="2BB37D1F">
      <w:pPr>
        <w:spacing w:line="540" w:lineRule="exact"/>
        <w:jc w:val="center"/>
        <w:rPr>
          <w:rFonts w:eastAsia="仿宋_GB2312"/>
          <w:kern w:val="0"/>
          <w:sz w:val="30"/>
          <w:szCs w:val="30"/>
        </w:rPr>
      </w:pPr>
    </w:p>
    <w:p w14:paraId="1FD3D871">
      <w:pPr>
        <w:pStyle w:val="11"/>
      </w:pPr>
    </w:p>
    <w:p w14:paraId="1D233A26">
      <w:pPr>
        <w:spacing w:line="540" w:lineRule="exact"/>
        <w:rPr>
          <w:rFonts w:eastAsia="仿宋_GB2312"/>
          <w:kern w:val="0"/>
          <w:sz w:val="30"/>
          <w:szCs w:val="30"/>
        </w:rPr>
      </w:pPr>
    </w:p>
    <w:p w14:paraId="6B7A8823">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生态环境厅环境监察专员办环境监察专项</w:t>
      </w:r>
    </w:p>
    <w:p w14:paraId="56C599BB">
      <w:pPr>
        <w:spacing w:line="700" w:lineRule="exact"/>
        <w:ind w:firstLine="1440" w:firstLineChars="4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lang w:eastAsia="zh-CN"/>
        </w:rPr>
        <w:t>：新</w:t>
      </w:r>
      <w:r>
        <w:rPr>
          <w:rFonts w:hint="eastAsia" w:eastAsia="仿宋_GB2312"/>
          <w:kern w:val="0"/>
          <w:sz w:val="36"/>
          <w:szCs w:val="36"/>
        </w:rPr>
        <w:t>疆维吾尔自治区生态环境厅第二生态环境监察专员办公室</w:t>
      </w:r>
    </w:p>
    <w:p w14:paraId="75A76DE0">
      <w:pPr>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新疆维吾尔自治区生态环境厅</w:t>
      </w:r>
    </w:p>
    <w:p w14:paraId="332F2D80">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吕大江</w:t>
      </w:r>
    </w:p>
    <w:p w14:paraId="33F15C8B">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2024</w:t>
      </w:r>
      <w:r>
        <w:rPr>
          <w:rFonts w:eastAsia="仿宋_GB2312"/>
          <w:kern w:val="0"/>
          <w:sz w:val="36"/>
          <w:szCs w:val="36"/>
        </w:rPr>
        <w:t>年</w:t>
      </w:r>
      <w:r>
        <w:rPr>
          <w:rFonts w:hint="eastAsia" w:eastAsia="仿宋_GB2312"/>
          <w:kern w:val="0"/>
          <w:sz w:val="36"/>
          <w:szCs w:val="36"/>
        </w:rPr>
        <w:t>2</w:t>
      </w:r>
      <w:r>
        <w:rPr>
          <w:rFonts w:eastAsia="仿宋_GB2312"/>
          <w:kern w:val="0"/>
          <w:sz w:val="36"/>
          <w:szCs w:val="36"/>
        </w:rPr>
        <w:t>月</w:t>
      </w:r>
      <w:r>
        <w:rPr>
          <w:rFonts w:hint="eastAsia" w:eastAsia="仿宋_GB2312"/>
          <w:kern w:val="0"/>
          <w:sz w:val="36"/>
          <w:szCs w:val="36"/>
        </w:rPr>
        <w:t>26</w:t>
      </w:r>
      <w:r>
        <w:rPr>
          <w:rFonts w:eastAsia="仿宋_GB2312"/>
          <w:kern w:val="0"/>
          <w:sz w:val="36"/>
          <w:szCs w:val="36"/>
        </w:rPr>
        <w:t>日</w:t>
      </w:r>
    </w:p>
    <w:p w14:paraId="4D78208E">
      <w:pPr>
        <w:spacing w:line="540" w:lineRule="exact"/>
        <w:jc w:val="center"/>
        <w:rPr>
          <w:rFonts w:eastAsia="仿宋_GB2312"/>
          <w:kern w:val="0"/>
          <w:sz w:val="30"/>
          <w:szCs w:val="30"/>
        </w:rPr>
      </w:pPr>
    </w:p>
    <w:p w14:paraId="1485BC2F">
      <w:pPr>
        <w:spacing w:line="540" w:lineRule="exact"/>
        <w:rPr>
          <w:rStyle w:val="17"/>
          <w:rFonts w:eastAsia="黑体"/>
          <w:b w:val="0"/>
          <w:spacing w:val="-4"/>
          <w:sz w:val="32"/>
          <w:szCs w:val="32"/>
        </w:rPr>
      </w:pPr>
    </w:p>
    <w:p w14:paraId="69910D52">
      <w:pPr>
        <w:spacing w:line="540" w:lineRule="exact"/>
        <w:ind w:firstLine="640"/>
        <w:rPr>
          <w:rStyle w:val="17"/>
          <w:rFonts w:eastAsia="黑体"/>
          <w:b w:val="0"/>
          <w:spacing w:val="-4"/>
          <w:sz w:val="32"/>
          <w:szCs w:val="32"/>
        </w:rPr>
      </w:pPr>
    </w:p>
    <w:p w14:paraId="7CB8F01B">
      <w:pPr>
        <w:spacing w:line="540" w:lineRule="exact"/>
        <w:rPr>
          <w:rStyle w:val="17"/>
          <w:rFonts w:eastAsia="黑体"/>
          <w:b w:val="0"/>
          <w:spacing w:val="-4"/>
          <w:sz w:val="32"/>
          <w:szCs w:val="32"/>
        </w:rPr>
      </w:pPr>
    </w:p>
    <w:p w14:paraId="09AFF5BC">
      <w:pPr>
        <w:spacing w:line="560" w:lineRule="exact"/>
        <w:ind w:firstLine="640" w:firstLineChars="200"/>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14:paraId="7E7F3001">
      <w:pPr>
        <w:spacing w:line="560" w:lineRule="exact"/>
        <w:ind w:firstLine="640" w:firstLineChars="200"/>
        <w:rPr>
          <w:rFonts w:eastAsia="黑体"/>
          <w:bCs/>
          <w:sz w:val="32"/>
          <w:szCs w:val="32"/>
        </w:rPr>
      </w:pPr>
      <w:r>
        <w:rPr>
          <w:rFonts w:eastAsia="黑体"/>
          <w:bCs/>
          <w:sz w:val="32"/>
          <w:szCs w:val="32"/>
        </w:rPr>
        <w:t>一、基本情况</w:t>
      </w:r>
    </w:p>
    <w:p w14:paraId="70618734">
      <w:pPr>
        <w:spacing w:line="560" w:lineRule="exact"/>
        <w:ind w:firstLine="643" w:firstLineChars="200"/>
        <w:rPr>
          <w:rFonts w:eastAsia="楷体_GB2312"/>
          <w:b/>
          <w:bCs/>
          <w:sz w:val="32"/>
          <w:szCs w:val="32"/>
        </w:rPr>
      </w:pPr>
      <w:r>
        <w:rPr>
          <w:rFonts w:eastAsia="楷体_GB2312"/>
          <w:b/>
          <w:bCs/>
          <w:sz w:val="32"/>
          <w:szCs w:val="32"/>
        </w:rPr>
        <w:t>（一）项目概况</w:t>
      </w:r>
    </w:p>
    <w:p w14:paraId="688CC502">
      <w:pPr>
        <w:spacing w:line="560" w:lineRule="exact"/>
        <w:ind w:firstLine="643" w:firstLineChars="200"/>
        <w:rPr>
          <w:rFonts w:eastAsia="仿宋_GB2312"/>
          <w:b/>
          <w:bCs/>
          <w:sz w:val="32"/>
          <w:szCs w:val="32"/>
        </w:rPr>
      </w:pPr>
      <w:r>
        <w:rPr>
          <w:rFonts w:eastAsia="仿宋_GB2312"/>
          <w:b/>
          <w:bCs/>
          <w:sz w:val="32"/>
          <w:szCs w:val="32"/>
        </w:rPr>
        <w:t>1、项目背景</w:t>
      </w:r>
    </w:p>
    <w:p w14:paraId="7B6EC5F3">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根据《自治区党委办公厅 自治区人民政府办公厅印发&lt;自治区生态环境机构监测监察执法垂直管理制度改革实施方案&gt;的通知》（新党厅字〔2019〕60号），建立生态环境保护监察专员制度，在自治区生态环境厅设生态环境保护监察专员。跨区域设立生态环境保护监察专员办公室，驻地（州、市）开展生态环境保护监察和督察工作，人员和工作经费由自治区本级承担。</w:t>
      </w:r>
    </w:p>
    <w:p w14:paraId="63ACEE84">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自治区党委办公厅、自治区人民政府办公厅关于印发〈新疆维吾尔自治区生态环境厅职能配置内设机构和人员编制规定〉的通知》（新党厅字〔2018〕154号），2019年我区应建立健全生态环境保护督察制度，跨区域设立6个生态环境监察专员办公室，作为自治区生态环境厅派出机构，承担所辖区域的生态环境保护监察和督察工作。第二生态环境监察专员办公室负责昌吉州、阿勒泰地区区域生态环境监察工作，办公地点设在昌吉市。</w:t>
      </w:r>
    </w:p>
    <w:p w14:paraId="7C4725E0">
      <w:pPr>
        <w:pStyle w:val="11"/>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14:paraId="5085001B">
      <w:pPr>
        <w:spacing w:line="600" w:lineRule="exact"/>
        <w:ind w:firstLine="640" w:firstLineChars="200"/>
        <w:rPr>
          <w:rFonts w:ascii="仿宋_GB2312" w:eastAsia="仿宋_GB2312"/>
          <w:sz w:val="30"/>
        </w:rPr>
      </w:pPr>
      <w:r>
        <w:rPr>
          <w:rFonts w:hint="eastAsia" w:ascii="仿宋_GB2312" w:hAnsi="仿宋_GB2312" w:eastAsia="仿宋_GB2312" w:cs="仿宋_GB2312"/>
          <w:kern w:val="0"/>
          <w:sz w:val="32"/>
          <w:szCs w:val="32"/>
        </w:rPr>
        <w:t>项目主要内容：2023年第二生态环境监察专员办公室将根据中央生态环境保护督察涉及到的整改任务，按照自治区党委、人民政府及生态环境厅的统一部署，开展对昌吉州、阿勒泰地区两个地州生态环境监察工作，通过派驻监察、专项监察、现场监察等方式，督促当地生态环境保护工作持续改善。</w:t>
      </w:r>
    </w:p>
    <w:p w14:paraId="1961DDDC">
      <w:pPr>
        <w:spacing w:line="56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5A88F06D">
      <w:pPr>
        <w:spacing w:line="560" w:lineRule="exact"/>
        <w:ind w:firstLine="643" w:firstLineChars="200"/>
        <w:rPr>
          <w:rFonts w:eastAsia="仿宋_GB2312"/>
          <w:b/>
          <w:bCs/>
          <w:sz w:val="32"/>
          <w:szCs w:val="32"/>
        </w:rPr>
      </w:pPr>
      <w:r>
        <w:rPr>
          <w:rFonts w:eastAsia="仿宋_GB2312"/>
          <w:b/>
          <w:bCs/>
          <w:sz w:val="32"/>
          <w:szCs w:val="32"/>
        </w:rPr>
        <w:t>3、资金投入和使用情况</w:t>
      </w:r>
    </w:p>
    <w:p w14:paraId="527C6594">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14:paraId="0951D2C2">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该项目年初预算</w:t>
      </w:r>
      <w:r>
        <w:rPr>
          <w:rFonts w:hint="eastAsia" w:eastAsia="仿宋_GB2312"/>
          <w:sz w:val="32"/>
          <w:szCs w:val="32"/>
        </w:rPr>
        <w:t>数90万元，全年预算数90万元，实际总投入89.14万元，该项目资</w:t>
      </w:r>
      <w:r>
        <w:rPr>
          <w:rFonts w:hint="eastAsia" w:ascii="仿宋_GB2312" w:hAnsi="仿宋_GB2312" w:eastAsia="仿宋_GB2312" w:cs="仿宋_GB2312"/>
          <w:sz w:val="32"/>
          <w:szCs w:val="32"/>
        </w:rPr>
        <w:t>金已全部落实到位，资金来源为财政拨款。</w:t>
      </w:r>
    </w:p>
    <w:p w14:paraId="230F16D9">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14:paraId="14EC496B">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该项目年初预算</w:t>
      </w:r>
      <w:r>
        <w:rPr>
          <w:rFonts w:hint="eastAsia" w:eastAsia="仿宋_GB2312"/>
          <w:sz w:val="32"/>
          <w:szCs w:val="32"/>
        </w:rPr>
        <w:t>数90万元，全年预算数90万元，全年执行数89.14万元，预算</w:t>
      </w:r>
      <w:r>
        <w:rPr>
          <w:rFonts w:hint="eastAsia" w:ascii="仿宋_GB2312" w:hAnsi="仿宋_GB2312" w:eastAsia="仿宋_GB2312" w:cs="仿宋_GB2312"/>
          <w:sz w:val="32"/>
          <w:szCs w:val="32"/>
        </w:rPr>
        <w:t>执行率为99.04%，主要用于：支付项目实施进程中的各项费用。</w:t>
      </w:r>
    </w:p>
    <w:p w14:paraId="47C94565">
      <w:pPr>
        <w:spacing w:line="560" w:lineRule="exact"/>
        <w:ind w:firstLine="643" w:firstLineChars="200"/>
        <w:rPr>
          <w:rFonts w:eastAsia="楷体_GB2312"/>
          <w:b/>
          <w:bCs/>
          <w:sz w:val="32"/>
          <w:szCs w:val="32"/>
        </w:rPr>
      </w:pPr>
      <w:r>
        <w:rPr>
          <w:rFonts w:eastAsia="楷体_GB2312"/>
          <w:b/>
          <w:bCs/>
          <w:sz w:val="32"/>
          <w:szCs w:val="32"/>
        </w:rPr>
        <w:t>（二）项目绩效目标</w:t>
      </w:r>
    </w:p>
    <w:p w14:paraId="0F77FE06">
      <w:pPr>
        <w:spacing w:line="560" w:lineRule="exact"/>
        <w:ind w:firstLine="640" w:firstLineChars="200"/>
        <w:rPr>
          <w:rFonts w:eastAsia="仿宋_GB2312"/>
          <w:sz w:val="32"/>
          <w:szCs w:val="32"/>
        </w:rPr>
      </w:pPr>
      <w:r>
        <w:rPr>
          <w:rFonts w:eastAsia="仿宋_GB2312"/>
          <w:sz w:val="32"/>
          <w:szCs w:val="32"/>
        </w:rPr>
        <w:t>1、总体目标</w:t>
      </w:r>
    </w:p>
    <w:p w14:paraId="0958E6DA">
      <w:pPr>
        <w:pStyle w:val="11"/>
        <w:spacing w:before="0" w:after="0" w:line="60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rPr>
        <w:t>根据中央生态环境保护督察涉及到的整改任务，按照自治区党委、人民政府及生态环境厅统一部署，开展对辖区内地州市区域生态环境监察工作，通过日常监察、现场巡查等方式，督促当地生态环境保护工作持续改善。</w:t>
      </w:r>
    </w:p>
    <w:p w14:paraId="329CF54A">
      <w:pPr>
        <w:spacing w:line="560" w:lineRule="exact"/>
        <w:ind w:firstLine="640" w:firstLineChars="200"/>
        <w:rPr>
          <w:rFonts w:hint="eastAsia" w:ascii="仿宋_GB2312" w:hAnsi="仿宋_GB2312" w:eastAsia="仿宋_GB2312" w:cs="仿宋_GB2312"/>
          <w:color w:val="FF0000"/>
          <w:sz w:val="30"/>
          <w:szCs w:val="30"/>
        </w:rPr>
      </w:pPr>
      <w:r>
        <w:rPr>
          <w:rFonts w:eastAsia="仿宋_GB2312"/>
          <w:sz w:val="32"/>
          <w:szCs w:val="32"/>
        </w:rPr>
        <w:t>2、阶段性目标</w:t>
      </w:r>
    </w:p>
    <w:p w14:paraId="4A7AE549">
      <w:pPr>
        <w:pStyle w:val="11"/>
        <w:spacing w:before="0" w:after="0" w:line="60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rPr>
        <w:t>每季度对昌吉州、阿勒泰地区进行一轮次中央环保督察反馈问题整改督导，配合参加三轮次自治区生态环境督察。</w:t>
      </w:r>
    </w:p>
    <w:p w14:paraId="67BAED58">
      <w:pPr>
        <w:spacing w:line="560" w:lineRule="exact"/>
        <w:ind w:firstLine="640" w:firstLineChars="200"/>
        <w:rPr>
          <w:rFonts w:eastAsia="黑体"/>
          <w:sz w:val="32"/>
          <w:szCs w:val="32"/>
        </w:rPr>
      </w:pPr>
      <w:r>
        <w:rPr>
          <w:rFonts w:eastAsia="黑体"/>
          <w:sz w:val="32"/>
          <w:szCs w:val="32"/>
        </w:rPr>
        <w:t>二、绩效评价工作开展情况</w:t>
      </w:r>
    </w:p>
    <w:p w14:paraId="09304248">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1B6B7A8F">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14:paraId="05496E7C">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6D2036CD">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07E359AD">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37F3F76C">
      <w:pPr>
        <w:pStyle w:val="20"/>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567BF34">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14:paraId="181F06FC">
      <w:pPr>
        <w:spacing w:line="560" w:lineRule="exact"/>
        <w:ind w:firstLine="640" w:firstLineChars="200"/>
        <w:rPr>
          <w:rFonts w:hint="eastAsia" w:ascii="仿宋_GB2312" w:hAnsi="仿宋_GB2312" w:eastAsia="仿宋_GB2312" w:cs="仿宋_GB2312"/>
          <w:sz w:val="32"/>
          <w:szCs w:val="32"/>
        </w:rPr>
      </w:pPr>
      <w:r>
        <w:rPr>
          <w:rFonts w:hint="eastAsia" w:eastAsia="仿宋_GB2312"/>
          <w:sz w:val="32"/>
          <w:szCs w:val="32"/>
        </w:rPr>
        <w:t>生态环境厅环境监察专员办环境监察专项</w:t>
      </w:r>
      <w:r>
        <w:rPr>
          <w:rFonts w:hint="eastAsia" w:ascii="仿宋_GB2312" w:hAnsi="仿宋_GB2312" w:eastAsia="仿宋_GB2312" w:cs="仿宋_GB2312"/>
          <w:sz w:val="32"/>
          <w:szCs w:val="32"/>
        </w:rPr>
        <w:t>所包含的全部项目内容。</w:t>
      </w:r>
    </w:p>
    <w:p w14:paraId="795BA3E5">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14:paraId="4BAB8AC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eastAsia="仿宋_GB2312"/>
          <w:sz w:val="32"/>
          <w:szCs w:val="32"/>
        </w:rPr>
        <w:t>生态环境厅环境监察专员办环境监察专项项目进</w:t>
      </w:r>
      <w:r>
        <w:rPr>
          <w:rFonts w:hint="eastAsia" w:ascii="仿宋_GB2312" w:hAnsi="仿宋_GB2312" w:eastAsia="仿宋_GB2312" w:cs="仿宋_GB2312"/>
          <w:sz w:val="32"/>
          <w:szCs w:val="32"/>
        </w:rPr>
        <w:t>行评价，评价核心为专项资金的支出完成情况和效果。</w:t>
      </w:r>
    </w:p>
    <w:p w14:paraId="0EF8584E">
      <w:pPr>
        <w:spacing w:line="560" w:lineRule="exact"/>
        <w:ind w:firstLine="643" w:firstLineChars="200"/>
      </w:pPr>
      <w:r>
        <w:rPr>
          <w:rFonts w:eastAsia="楷体_GB2312"/>
          <w:b/>
          <w:bCs/>
          <w:sz w:val="32"/>
          <w:szCs w:val="32"/>
        </w:rPr>
        <w:t>（二）绩效评价原则、评价指标体系（详情见表1）、评价方法、评价标准。</w:t>
      </w:r>
    </w:p>
    <w:p w14:paraId="6860518B">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14:paraId="52253DF4">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79C6882A">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50629AE2">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71DCB208">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3AA6C642">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2B109471">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14:paraId="361B6AF3">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54E2B31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17FD1F6C">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64AB3033">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1664F6B0">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3A586F77">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6DB9048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6DF019F1">
      <w:pPr>
        <w:pStyle w:val="11"/>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2F201D7A">
      <w:pPr>
        <w:pStyle w:val="11"/>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14:paraId="7E178C96">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14:paraId="68794A54">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102571D4">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078C886B">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14:paraId="355A1F67">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5D73848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14:paraId="33B07EF8">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1503CBF5">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14:paraId="4DB44401">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绩效评价标准通常包括计划标准、行业标准、历史标准等，用于对绩效指标完成情况进行比较、分析、评价。本次评价主要采用了计划标准、历史标准。</w:t>
      </w:r>
    </w:p>
    <w:p w14:paraId="17A1B794">
      <w:pPr>
        <w:spacing w:line="560" w:lineRule="exact"/>
        <w:ind w:firstLine="708" w:firstLineChars="200"/>
        <w:rPr>
          <w:rFonts w:eastAsia="仿宋_GB2312"/>
          <w:color w:val="000000"/>
          <w:spacing w:val="17"/>
          <w:sz w:val="32"/>
          <w:szCs w:val="32"/>
        </w:rPr>
      </w:pPr>
      <w:bookmarkStart w:id="0" w:name="_Toc17882"/>
      <w:bookmarkStart w:id="1" w:name="_Toc31464"/>
      <w:r>
        <w:rPr>
          <w:rFonts w:hint="eastAsia" w:eastAsia="仿宋_GB2312"/>
          <w:color w:val="000000"/>
          <w:spacing w:val="17"/>
          <w:sz w:val="32"/>
          <w:szCs w:val="32"/>
        </w:rPr>
        <w:t>计划标准：指以预先制定的目标、计划、预算、定额等作为评价标准。</w:t>
      </w:r>
      <w:bookmarkEnd w:id="0"/>
      <w:bookmarkEnd w:id="1"/>
    </w:p>
    <w:p w14:paraId="320C5ABE">
      <w:pPr>
        <w:spacing w:line="560" w:lineRule="exact"/>
        <w:ind w:firstLine="708" w:firstLineChars="200"/>
        <w:rPr>
          <w:rFonts w:eastAsia="仿宋_GB2312"/>
          <w:color w:val="000000"/>
          <w:spacing w:val="17"/>
          <w:sz w:val="32"/>
          <w:szCs w:val="32"/>
        </w:rPr>
      </w:pPr>
      <w:bookmarkStart w:id="2" w:name="_Toc5633"/>
      <w:bookmarkStart w:id="3" w:name="_Toc2318"/>
      <w:r>
        <w:rPr>
          <w:rFonts w:hint="eastAsia" w:eastAsia="仿宋_GB2312"/>
          <w:color w:val="000000"/>
          <w:spacing w:val="17"/>
          <w:sz w:val="32"/>
          <w:szCs w:val="32"/>
        </w:rPr>
        <w:t>行业标准：指参照国家公布的行业指标数据制定的评价标准。</w:t>
      </w:r>
      <w:bookmarkEnd w:id="2"/>
      <w:bookmarkEnd w:id="3"/>
    </w:p>
    <w:p w14:paraId="1F020AC9">
      <w:pPr>
        <w:spacing w:line="560" w:lineRule="exact"/>
        <w:ind w:firstLine="708" w:firstLineChars="200"/>
        <w:rPr>
          <w:rFonts w:eastAsia="仿宋_GB2312"/>
          <w:color w:val="000000"/>
          <w:spacing w:val="17"/>
          <w:sz w:val="32"/>
          <w:szCs w:val="32"/>
        </w:rPr>
      </w:pPr>
      <w:bookmarkStart w:id="4" w:name="_Toc16028"/>
      <w:bookmarkStart w:id="5" w:name="_Toc430"/>
      <w:r>
        <w:rPr>
          <w:rFonts w:hint="eastAsia" w:eastAsia="仿宋_GB2312"/>
          <w:color w:val="000000"/>
          <w:spacing w:val="17"/>
          <w:sz w:val="32"/>
          <w:szCs w:val="32"/>
        </w:rPr>
        <w:t>历史标准：指参照历史数据制定的评价标准，为体现绩效改进的原则，在可实现的条件下应当确定相对较高的评价标准。</w:t>
      </w:r>
      <w:bookmarkEnd w:id="4"/>
      <w:bookmarkEnd w:id="5"/>
    </w:p>
    <w:p w14:paraId="2C6479BE">
      <w:pPr>
        <w:pStyle w:val="11"/>
        <w:numPr>
          <w:ilvl w:val="0"/>
          <w:numId w:val="3"/>
        </w:numPr>
        <w:spacing w:before="0" w:after="0" w:line="560" w:lineRule="exact"/>
        <w:ind w:firstLine="711" w:firstLineChars="200"/>
        <w:jc w:val="both"/>
        <w:rPr>
          <w:rFonts w:hint="eastAsia" w:ascii="楷体" w:hAnsi="楷体" w:eastAsia="楷体" w:cs="楷体"/>
          <w:color w:val="000000"/>
          <w:spacing w:val="17"/>
        </w:rPr>
      </w:pPr>
      <w:r>
        <w:rPr>
          <w:rFonts w:hint="eastAsia" w:ascii="楷体" w:hAnsi="楷体" w:eastAsia="楷体" w:cs="楷体"/>
          <w:color w:val="000000"/>
          <w:spacing w:val="17"/>
        </w:rPr>
        <w:t>绩效评价工作过程</w:t>
      </w:r>
    </w:p>
    <w:p w14:paraId="259F34C2">
      <w:pPr>
        <w:spacing w:line="560" w:lineRule="exact"/>
        <w:ind w:firstLine="640" w:firstLineChars="200"/>
        <w:rPr>
          <w:rFonts w:eastAsia="仿宋_GB2312"/>
          <w:bCs/>
          <w:sz w:val="32"/>
          <w:szCs w:val="32"/>
        </w:rPr>
      </w:pPr>
      <w:r>
        <w:rPr>
          <w:rFonts w:hint="eastAsia" w:eastAsia="仿宋_GB2312"/>
          <w:bCs/>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14:paraId="67B7BBEF">
      <w:pPr>
        <w:spacing w:line="560" w:lineRule="exact"/>
        <w:ind w:firstLine="640" w:firstLineChars="200"/>
        <w:rPr>
          <w:rFonts w:eastAsia="仿宋_GB2312"/>
          <w:bCs/>
          <w:sz w:val="32"/>
          <w:szCs w:val="32"/>
        </w:rPr>
      </w:pPr>
      <w:r>
        <w:rPr>
          <w:rFonts w:hint="eastAsia" w:eastAsia="仿宋_GB2312"/>
          <w:bCs/>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14:paraId="0EB1A847">
      <w:pPr>
        <w:spacing w:line="560" w:lineRule="exact"/>
        <w:ind w:firstLine="640" w:firstLineChars="200"/>
        <w:rPr>
          <w:sz w:val="32"/>
          <w:szCs w:val="32"/>
        </w:rPr>
      </w:pPr>
      <w:r>
        <w:rPr>
          <w:rFonts w:hint="eastAsia" w:eastAsia="仿宋_GB2312"/>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50916736">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14:paraId="75315E07">
      <w:pPr>
        <w:pStyle w:val="11"/>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14:paraId="01F12377">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AEA3585">
      <w:pPr>
        <w:pStyle w:val="11"/>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14:paraId="2613E605">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 99.7分，属于“优”。其中，项目决策类指标权重为20分，得分为20分，得分率为 100%。项目过程类指标权重为20分，得分为19.7分，得分率为 98.5%。项目产出类指标权重为40分，得分为40分，得分率为100%。项目效益类指标权重为20分，得分为20分，得分率为100%。具体打分情况详见：附件1综合评分表。</w:t>
      </w:r>
    </w:p>
    <w:p w14:paraId="646C08DC">
      <w:pPr>
        <w:pStyle w:val="11"/>
        <w:spacing w:before="0" w:after="0"/>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14:paraId="055B8233">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F9CBEDC">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B52B6B7">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F387E8C">
            <w:pPr>
              <w:jc w:val="center"/>
              <w:rPr>
                <w:b/>
                <w:bCs/>
                <w:color w:val="000000"/>
                <w:sz w:val="22"/>
              </w:rPr>
            </w:pPr>
            <w:r>
              <w:rPr>
                <w:rFonts w:hint="eastAsia"/>
                <w:b/>
                <w:bCs/>
                <w:color w:val="000000"/>
                <w:sz w:val="22"/>
              </w:rPr>
              <w:t>得分</w:t>
            </w:r>
          </w:p>
        </w:tc>
      </w:tr>
      <w:tr w14:paraId="5BC8862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29EA0FE">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3A92E82C">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30E1A6CB">
            <w:pPr>
              <w:jc w:val="center"/>
              <w:rPr>
                <w:color w:val="000000"/>
                <w:sz w:val="22"/>
              </w:rPr>
            </w:pPr>
            <w:r>
              <w:rPr>
                <w:rFonts w:hint="eastAsia"/>
                <w:color w:val="000000"/>
                <w:sz w:val="22"/>
              </w:rPr>
              <w:t>20</w:t>
            </w:r>
          </w:p>
        </w:tc>
      </w:tr>
      <w:tr w14:paraId="6DBF8F2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6D02A50">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6AF42137">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32AB393C">
            <w:pPr>
              <w:jc w:val="center"/>
              <w:rPr>
                <w:color w:val="000000"/>
                <w:sz w:val="22"/>
              </w:rPr>
            </w:pPr>
            <w:r>
              <w:rPr>
                <w:rFonts w:hint="eastAsia"/>
                <w:color w:val="000000"/>
                <w:sz w:val="22"/>
              </w:rPr>
              <w:t>19.7</w:t>
            </w:r>
          </w:p>
        </w:tc>
      </w:tr>
      <w:tr w14:paraId="5A884F5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8E4D67D">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2E056023">
            <w:pPr>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1F45F9AE">
            <w:pPr>
              <w:jc w:val="center"/>
              <w:rPr>
                <w:color w:val="000000"/>
                <w:sz w:val="22"/>
              </w:rPr>
            </w:pPr>
            <w:r>
              <w:rPr>
                <w:rFonts w:hint="eastAsia"/>
                <w:color w:val="000000"/>
                <w:sz w:val="22"/>
              </w:rPr>
              <w:t>40</w:t>
            </w:r>
          </w:p>
        </w:tc>
      </w:tr>
      <w:tr w14:paraId="702D440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A57BEBA">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533CB96A">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5BA1FB29">
            <w:pPr>
              <w:jc w:val="center"/>
              <w:rPr>
                <w:color w:val="000000"/>
                <w:sz w:val="22"/>
              </w:rPr>
            </w:pPr>
            <w:r>
              <w:rPr>
                <w:rFonts w:hint="eastAsia"/>
                <w:color w:val="000000"/>
                <w:sz w:val="22"/>
              </w:rPr>
              <w:t>20</w:t>
            </w:r>
          </w:p>
        </w:tc>
      </w:tr>
      <w:tr w14:paraId="4F57FD4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398F06F">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6D4C84E6">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2B935CB3">
            <w:pPr>
              <w:jc w:val="center"/>
              <w:rPr>
                <w:b/>
                <w:bCs/>
                <w:color w:val="000000"/>
                <w:sz w:val="22"/>
              </w:rPr>
            </w:pPr>
            <w:r>
              <w:rPr>
                <w:rFonts w:hint="eastAsia"/>
                <w:b/>
                <w:bCs/>
                <w:color w:val="000000"/>
                <w:sz w:val="22"/>
              </w:rPr>
              <w:t>99.7</w:t>
            </w:r>
          </w:p>
        </w:tc>
      </w:tr>
    </w:tbl>
    <w:p w14:paraId="7D9CFDE9">
      <w:pPr>
        <w:spacing w:line="560" w:lineRule="exact"/>
        <w:ind w:firstLine="640" w:firstLineChars="200"/>
        <w:rPr>
          <w:rFonts w:eastAsia="黑体"/>
          <w:sz w:val="32"/>
          <w:szCs w:val="32"/>
        </w:rPr>
      </w:pPr>
      <w:r>
        <w:rPr>
          <w:rFonts w:eastAsia="黑体"/>
          <w:sz w:val="32"/>
          <w:szCs w:val="32"/>
        </w:rPr>
        <w:t>四、绩效评价指标分析</w:t>
      </w:r>
    </w:p>
    <w:p w14:paraId="0AC5C16B">
      <w:pPr>
        <w:pStyle w:val="11"/>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5F99DD64">
      <w:pPr>
        <w:spacing w:line="600" w:lineRule="exact"/>
        <w:ind w:firstLine="640" w:firstLineChars="200"/>
        <w:outlineLvl w:val="0"/>
        <w:rPr>
          <w:rFonts w:hint="eastAsia" w:eastAsia="仿宋_GB2312"/>
          <w:kern w:val="28"/>
          <w:sz w:val="32"/>
          <w:szCs w:val="32"/>
        </w:rPr>
      </w:pPr>
      <w:r>
        <w:rPr>
          <w:rFonts w:hint="eastAsia" w:eastAsia="仿宋_GB2312"/>
          <w:kern w:val="28"/>
          <w:sz w:val="32"/>
          <w:szCs w:val="32"/>
        </w:rPr>
        <w:t>项目决策类指标包括项目立项、绩效目标和资金投入三方面的内容，由6个三级指标构成，权重分值为20分，实际得分20分，得分率为100%。</w:t>
      </w:r>
    </w:p>
    <w:p w14:paraId="2CCF3606">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14:paraId="24583EDA">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686FED49">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8EEFD49">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7377A558">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500F1A47">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14:paraId="6E6FF2A0">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57BBE659">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Hans"/>
        </w:rPr>
        <w:t>年初结合实际工作内容</w:t>
      </w:r>
      <w:r>
        <w:rPr>
          <w:rFonts w:hint="eastAsia" w:ascii="仿宋_GB2312" w:hAnsi="仿宋_GB2312" w:eastAsia="仿宋_GB2312" w:cs="仿宋_GB2312"/>
          <w:sz w:val="32"/>
          <w:szCs w:val="32"/>
        </w:rPr>
        <w:t>设定绩效目标</w:t>
      </w:r>
      <w:r>
        <w:rPr>
          <w:rFonts w:hint="eastAsia" w:ascii="仿宋_GB2312" w:hAnsi="仿宋_GB2312" w:eastAsia="仿宋_GB2312" w:cs="仿宋_GB2312"/>
          <w:sz w:val="32"/>
          <w:szCs w:val="32"/>
          <w:lang w:eastAsia="zh-Hans"/>
        </w:rPr>
        <w:t>，绩效目标</w:t>
      </w:r>
      <w:r>
        <w:rPr>
          <w:rFonts w:hint="eastAsia" w:ascii="仿宋_GB2312" w:hAnsi="仿宋_GB2312" w:eastAsia="仿宋_GB2312" w:cs="仿宋_GB2312"/>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E80D8D8">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100BC19F">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14:paraId="2E0F9A80">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14:paraId="27A6DAA5">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471EC3FB">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14:paraId="02515E70">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06A09188">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14:paraId="58FBD3A4">
      <w:pPr>
        <w:pStyle w:val="11"/>
        <w:numPr>
          <w:ilvl w:val="0"/>
          <w:numId w:val="5"/>
        </w:numPr>
        <w:spacing w:before="0" w:after="0" w:line="560" w:lineRule="exact"/>
        <w:ind w:firstLine="643" w:firstLineChars="200"/>
        <w:jc w:val="both"/>
        <w:rPr>
          <w:rFonts w:hint="eastAsia" w:ascii="楷体" w:hAnsi="楷体" w:eastAsia="楷体" w:cs="楷体"/>
        </w:rPr>
      </w:pPr>
      <w:r>
        <w:rPr>
          <w:rFonts w:hint="eastAsia" w:ascii="楷体" w:hAnsi="楷体" w:eastAsia="楷体" w:cs="楷体"/>
        </w:rPr>
        <w:t>项目过程情况</w:t>
      </w:r>
    </w:p>
    <w:p w14:paraId="4FF3251E">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项目过程类指标包括资金管理和组织实施两方面的内容，由5个三级指标构成，权重分值为20分，实际得分19.7分，得分率为98.5%。</w:t>
      </w:r>
    </w:p>
    <w:p w14:paraId="3DE3C5B1">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6623F050">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14:paraId="0BC7252D">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14:paraId="71E9E957">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本项目总投资90万元，财政资金及时足额到位，到位率100%，预算资金按计划进度执行。</w:t>
      </w:r>
    </w:p>
    <w:p w14:paraId="35A99F13">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14:paraId="4748681B">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预算编制较为详细，项目资金支出总体能够按照预算执行，预算资金支出89.14万元，预算执行率为99.04%。</w:t>
      </w:r>
    </w:p>
    <w:p w14:paraId="3FCEA33C">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14:paraId="7558FCF3">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71ECF368">
      <w:pPr>
        <w:pStyle w:val="20"/>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2A42C3CF">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5E5EACBF">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7115FF57">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73F19248">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14:paraId="1585C0BB">
      <w:pPr>
        <w:pStyle w:val="13"/>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14:paraId="473F810D">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项目产出类指标包括产出数量、产出质量、产出时效、产出成本四方面的内容，由8个三级指标构成，权重分为40分，实际得分40分，得分率为100%。具体产出指标完成情况如下：</w:t>
      </w:r>
    </w:p>
    <w:p w14:paraId="6A46B59F">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14:paraId="35B2962A">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指标1：覆盖生态环境监察区域，指标值：2个 ，实际完成值：2个 ，指标完成率100%。</w:t>
      </w:r>
    </w:p>
    <w:p w14:paraId="1F379756">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指标2：形成监察报告（份数），指标值：&gt;=6份 ，实际完成值：6份 ，指标完成率100%。</w:t>
      </w:r>
    </w:p>
    <w:p w14:paraId="32B57C0F">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指标3：督察(监察)频次，指标值：&gt;=6份 ，实际完成值：6份 ，指标完成率100%。</w:t>
      </w:r>
    </w:p>
    <w:p w14:paraId="77651FAA">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14:paraId="7D7CC340">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指标1：报告质量通过率，指标值：100%，实际完成值：100%，指标完成率100%。</w:t>
      </w:r>
    </w:p>
    <w:p w14:paraId="365B7040">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指标2：派驻监察辖区地州覆盖率，指标值：100%，实际完成值：100%，指标完成率100%。</w:t>
      </w:r>
    </w:p>
    <w:p w14:paraId="6CEE26C8">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14:paraId="0752B734">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指标1：年度督察任务按时完成率，指标值：100%，实际完成值：100%，指标完成率100%。</w:t>
      </w:r>
    </w:p>
    <w:p w14:paraId="0B4AF2C7">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4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14:paraId="55506833">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指标1：监督检查工作，指标值：&lt;=48万元，实际完成值：47.8，指标完成率100%。</w:t>
      </w:r>
    </w:p>
    <w:p w14:paraId="08BA574E">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指标2：派驻监察期间费用，指标值：&lt;=42万元，实际完成值：41.34，指标完成率100%。</w:t>
      </w:r>
    </w:p>
    <w:p w14:paraId="6FB3F897">
      <w:pPr>
        <w:pStyle w:val="13"/>
        <w:numPr>
          <w:ilvl w:val="0"/>
          <w:numId w:val="5"/>
        </w:numPr>
        <w:spacing w:line="560" w:lineRule="exact"/>
        <w:ind w:firstLine="643"/>
        <w:rPr>
          <w:rFonts w:eastAsia="楷体_GB2312"/>
          <w:b/>
          <w:bCs/>
          <w:sz w:val="32"/>
          <w:szCs w:val="32"/>
        </w:rPr>
      </w:pPr>
      <w:r>
        <w:rPr>
          <w:rFonts w:hint="eastAsia" w:eastAsia="楷体_GB2312"/>
          <w:b/>
          <w:bCs/>
          <w:sz w:val="32"/>
          <w:szCs w:val="32"/>
        </w:rPr>
        <w:t>项目效益情况</w:t>
      </w:r>
    </w:p>
    <w:p w14:paraId="6654ADF7">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项目效益类指标包括项目实施效益和满意度两方面的内容，由1个三级指标构成，权重分为20分，实际得分20分，得分率为20%。具体效益指标及满意度指标完成情况如下：</w:t>
      </w:r>
    </w:p>
    <w:p w14:paraId="59A2D956">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1.实施效益</w:t>
      </w:r>
    </w:p>
    <w:p w14:paraId="577894B4">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①社会效益指标：</w:t>
      </w:r>
    </w:p>
    <w:p w14:paraId="47ED9CC6">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指标1：构建新型生态环境保护监察体系，指标值：不断提高，实际完成值：不断提高，指标完成率100%。</w:t>
      </w:r>
    </w:p>
    <w:p w14:paraId="01A43A8A">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2.满意度</w:t>
      </w:r>
    </w:p>
    <w:p w14:paraId="1466751C">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满意度指标：</w:t>
      </w:r>
    </w:p>
    <w:p w14:paraId="39A776C2">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指标1：检查人员被投诉次数，指标值：&lt;=2次，实际完成值：0次，指标完成率100%。</w:t>
      </w:r>
    </w:p>
    <w:p w14:paraId="6883CFAC">
      <w:pPr>
        <w:spacing w:line="560" w:lineRule="exact"/>
        <w:ind w:firstLine="640" w:firstLineChars="200"/>
        <w:rPr>
          <w:rFonts w:eastAsia="黑体"/>
          <w:sz w:val="32"/>
          <w:szCs w:val="32"/>
          <w:lang w:eastAsia="zh-Hans"/>
        </w:rPr>
      </w:pPr>
      <w:r>
        <w:rPr>
          <w:rFonts w:hint="eastAsia" w:eastAsia="黑体"/>
          <w:sz w:val="32"/>
          <w:szCs w:val="32"/>
          <w:lang w:eastAsia="zh-Hans"/>
        </w:rPr>
        <w:t>五、预算执行进度与绩效指标总体完成率偏差</w:t>
      </w:r>
    </w:p>
    <w:p w14:paraId="23C2DDE4">
      <w:pPr>
        <w:pStyle w:val="20"/>
        <w:spacing w:line="560" w:lineRule="exact"/>
        <w:ind w:firstLine="640"/>
        <w:rPr>
          <w:rFonts w:hint="eastAsia" w:ascii="仿宋_GB2312" w:hAnsi="仿宋_GB2312" w:eastAsia="仿宋_GB2312" w:cs="仿宋_GB2312"/>
          <w:kern w:val="2"/>
          <w:sz w:val="32"/>
          <w:szCs w:val="32"/>
        </w:rPr>
      </w:pPr>
      <w:r>
        <w:rPr>
          <w:rFonts w:hint="eastAsia" w:eastAsia="仿宋_GB2312"/>
          <w:sz w:val="32"/>
          <w:szCs w:val="32"/>
        </w:rPr>
        <w:t>生态环境厅环境监察专员办环境监</w:t>
      </w:r>
      <w:r>
        <w:rPr>
          <w:rFonts w:hint="eastAsia" w:ascii="仿宋_GB2312" w:hAnsi="仿宋_GB2312" w:eastAsia="仿宋_GB2312" w:cs="仿宋_GB2312"/>
          <w:kern w:val="2"/>
          <w:sz w:val="32"/>
          <w:szCs w:val="32"/>
        </w:rPr>
        <w:t>察专项项目年初预算90万元，全年预算90万元，实际支出89.14万元，预算执行率为99.04%，项目绩效指标总体完成率为99.7%，</w:t>
      </w:r>
      <w:r>
        <w:rPr>
          <w:rFonts w:hint="eastAsia" w:ascii="仿宋_GB2312" w:hAnsi="仿宋_GB2312" w:eastAsia="仿宋_GB2312" w:cs="仿宋_GB2312"/>
          <w:kern w:val="2"/>
          <w:sz w:val="32"/>
          <w:szCs w:val="32"/>
          <w:lang w:eastAsia="zh-Hans"/>
        </w:rPr>
        <w:t>总体</w:t>
      </w:r>
      <w:r>
        <w:rPr>
          <w:rFonts w:hint="eastAsia" w:ascii="仿宋_GB2312" w:hAnsi="仿宋_GB2312" w:eastAsia="仿宋_GB2312" w:cs="仿宋_GB2312"/>
          <w:kern w:val="2"/>
          <w:sz w:val="32"/>
          <w:szCs w:val="32"/>
        </w:rPr>
        <w:t>偏差率为0.66%。</w:t>
      </w:r>
    </w:p>
    <w:p w14:paraId="05C73698">
      <w:pPr>
        <w:spacing w:line="560" w:lineRule="exact"/>
        <w:ind w:firstLine="640" w:firstLineChars="200"/>
        <w:rPr>
          <w:rStyle w:val="19"/>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14:paraId="468612A0">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208560D0">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37DFD97D">
      <w:pPr>
        <w:pStyle w:val="11"/>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21A766A8">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2E19F122">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34445E5F">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2.因轮岗、调动、等因素使我单位绩效工作人员流动频繁，造成了工作衔接不到位的情况。</w:t>
      </w:r>
    </w:p>
    <w:p w14:paraId="3DE5451E">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14:paraId="1F996B3D">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1.多进行有关绩效管理工作方面的培训。积极组织第三方开展绩效管理工作培训，进一步夯实业务基础，提高我单位绩效人员水平。</w:t>
      </w:r>
    </w:p>
    <w:p w14:paraId="5BB3C6BE">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2.专门设定对绩效工作人员定职、定岗、定责等相关制度措施，进一步提升我单位绩效管理工作业务水平，扎实做好绩效管理工作。</w:t>
      </w:r>
    </w:p>
    <w:p w14:paraId="1ADC6116">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1385385A">
      <w:pPr>
        <w:spacing w:line="600" w:lineRule="exact"/>
        <w:ind w:firstLine="640" w:firstLineChars="200"/>
        <w:outlineLvl w:val="0"/>
        <w:rPr>
          <w:sz w:val="22"/>
          <w:szCs w:val="28"/>
        </w:rPr>
      </w:pPr>
      <w:r>
        <w:rPr>
          <w:rFonts w:hint="eastAsia" w:ascii="仿宋_GB2312" w:hAnsi="仿宋_GB2312" w:eastAsia="仿宋_GB2312" w:cs="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14:paraId="78CF8060">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4B7CDF1B">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14:paraId="1087EEF2">
      <w:pPr>
        <w:pStyle w:val="14"/>
        <w:spacing w:after="0" w:line="56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14:paraId="49E66F1D">
      <w:pPr>
        <w:pStyle w:val="14"/>
        <w:spacing w:after="0" w:line="560" w:lineRule="exact"/>
        <w:ind w:left="0" w:leftChars="0" w:firstLine="640"/>
        <w:rPr>
          <w:rFonts w:hint="eastAsia" w:ascii="仿宋_GB2312" w:hAnsi="仿宋_GB2312" w:eastAsia="仿宋_GB2312" w:cs="仿宋_GB2312"/>
          <w:sz w:val="32"/>
          <w:szCs w:val="32"/>
        </w:rPr>
      </w:pPr>
    </w:p>
    <w:p w14:paraId="28418407">
      <w:pPr>
        <w:pStyle w:val="14"/>
        <w:spacing w:after="0" w:line="560" w:lineRule="exact"/>
        <w:ind w:left="0" w:leftChars="0" w:firstLine="640"/>
        <w:rPr>
          <w:rFonts w:hint="eastAsia" w:ascii="仿宋_GB2312" w:hAnsi="仿宋_GB2312" w:eastAsia="仿宋_GB2312" w:cs="仿宋_GB2312"/>
          <w:sz w:val="32"/>
          <w:szCs w:val="32"/>
        </w:rPr>
      </w:pPr>
    </w:p>
    <w:p w14:paraId="7472C7DF">
      <w:pPr>
        <w:pStyle w:val="14"/>
        <w:spacing w:after="0" w:line="560" w:lineRule="exact"/>
        <w:ind w:left="0" w:leftChars="0" w:firstLine="0" w:firstLineChars="0"/>
        <w:rPr>
          <w:rFonts w:hint="eastAsia" w:ascii="仿宋_GB2312" w:hAnsi="仿宋_GB2312" w:eastAsia="仿宋_GB2312" w:cs="仿宋_GB2312"/>
          <w:sz w:val="32"/>
          <w:szCs w:val="32"/>
        </w:rPr>
      </w:pPr>
    </w:p>
    <w:p w14:paraId="3FADD247">
      <w:pPr>
        <w:widowControl/>
        <w:jc w:val="center"/>
        <w:textAlignment w:val="center"/>
        <w:rPr>
          <w:rFonts w:eastAsia="方正小标宋简体"/>
          <w:b/>
          <w:kern w:val="0"/>
          <w:sz w:val="32"/>
          <w:szCs w:val="32"/>
          <w:lang w:bidi="ar"/>
        </w:rPr>
        <w:sectPr>
          <w:pgSz w:w="11906" w:h="16838"/>
          <w:pgMar w:top="1440" w:right="1558" w:bottom="1440" w:left="1800" w:header="851" w:footer="992" w:gutter="0"/>
          <w:cols w:space="425" w:num="1"/>
          <w:docGrid w:type="lines" w:linePitch="312" w:charSpace="0"/>
        </w:sectPr>
      </w:pPr>
    </w:p>
    <w:tbl>
      <w:tblPr>
        <w:tblStyle w:val="15"/>
        <w:tblW w:w="15620" w:type="dxa"/>
        <w:jc w:val="center"/>
        <w:tblLayout w:type="fixed"/>
        <w:tblCellMar>
          <w:top w:w="15" w:type="dxa"/>
          <w:left w:w="15" w:type="dxa"/>
          <w:bottom w:w="15" w:type="dxa"/>
          <w:right w:w="15" w:type="dxa"/>
        </w:tblCellMar>
      </w:tblPr>
      <w:tblGrid>
        <w:gridCol w:w="897"/>
        <w:gridCol w:w="899"/>
        <w:gridCol w:w="873"/>
        <w:gridCol w:w="1996"/>
        <w:gridCol w:w="650"/>
        <w:gridCol w:w="922"/>
        <w:gridCol w:w="927"/>
        <w:gridCol w:w="760"/>
        <w:gridCol w:w="913"/>
        <w:gridCol w:w="1230"/>
        <w:gridCol w:w="1256"/>
        <w:gridCol w:w="1331"/>
        <w:gridCol w:w="1329"/>
        <w:gridCol w:w="1637"/>
      </w:tblGrid>
      <w:tr w14:paraId="3F2F8D60">
        <w:tblPrEx>
          <w:tblCellMar>
            <w:top w:w="15" w:type="dxa"/>
            <w:left w:w="15" w:type="dxa"/>
            <w:bottom w:w="15" w:type="dxa"/>
            <w:right w:w="15" w:type="dxa"/>
          </w:tblCellMar>
        </w:tblPrEx>
        <w:trPr>
          <w:trHeight w:val="420" w:hRule="atLeast"/>
          <w:jc w:val="center"/>
        </w:trPr>
        <w:tc>
          <w:tcPr>
            <w:tcW w:w="15620" w:type="dxa"/>
            <w:gridSpan w:val="14"/>
            <w:shd w:val="clear" w:color="auto" w:fill="auto"/>
            <w:vAlign w:val="center"/>
          </w:tcPr>
          <w:p w14:paraId="026A32E8">
            <w:pPr>
              <w:widowControl/>
              <w:jc w:val="center"/>
              <w:textAlignment w:val="center"/>
              <w:rPr>
                <w:rFonts w:hint="eastAsia" w:ascii="宋体" w:hAnsi="宋体" w:cs="宋体"/>
                <w:b/>
                <w:color w:val="000000"/>
                <w:sz w:val="32"/>
                <w:szCs w:val="32"/>
              </w:rPr>
            </w:pPr>
            <w:r>
              <w:rPr>
                <w:rFonts w:hint="eastAsia" w:ascii="宋体" w:hAnsi="宋体" w:cs="宋体"/>
                <w:b/>
                <w:color w:val="000000"/>
                <w:kern w:val="0"/>
                <w:sz w:val="32"/>
                <w:szCs w:val="32"/>
                <w:lang w:bidi="ar"/>
              </w:rPr>
              <w:t>项目支出绩效自评表</w:t>
            </w:r>
          </w:p>
        </w:tc>
      </w:tr>
      <w:tr w14:paraId="6B945CEF">
        <w:tblPrEx>
          <w:tblCellMar>
            <w:top w:w="15" w:type="dxa"/>
            <w:left w:w="15" w:type="dxa"/>
            <w:bottom w:w="15" w:type="dxa"/>
            <w:right w:w="15" w:type="dxa"/>
          </w:tblCellMar>
        </w:tblPrEx>
        <w:trPr>
          <w:trHeight w:val="380" w:hRule="atLeast"/>
          <w:jc w:val="center"/>
        </w:trPr>
        <w:tc>
          <w:tcPr>
            <w:tcW w:w="1562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1E4F8454">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(2023年度)</w:t>
            </w:r>
          </w:p>
        </w:tc>
      </w:tr>
      <w:tr w14:paraId="12FB252D">
        <w:tblPrEx>
          <w:tblCellMar>
            <w:top w:w="15" w:type="dxa"/>
            <w:left w:w="15" w:type="dxa"/>
            <w:bottom w:w="15" w:type="dxa"/>
            <w:right w:w="15" w:type="dxa"/>
          </w:tblCellMar>
        </w:tblPrEx>
        <w:trPr>
          <w:trHeight w:val="380" w:hRule="atLeast"/>
          <w:jc w:val="center"/>
        </w:trPr>
        <w:tc>
          <w:tcPr>
            <w:tcW w:w="1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BE3589">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项目名称</w:t>
            </w:r>
          </w:p>
        </w:tc>
        <w:tc>
          <w:tcPr>
            <w:tcW w:w="1382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D18943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生态环境厅环境监察专员办环境监察专项</w:t>
            </w:r>
          </w:p>
        </w:tc>
      </w:tr>
      <w:tr w14:paraId="42D58BD3">
        <w:tblPrEx>
          <w:tblCellMar>
            <w:top w:w="15" w:type="dxa"/>
            <w:left w:w="15" w:type="dxa"/>
            <w:bottom w:w="15" w:type="dxa"/>
            <w:right w:w="15" w:type="dxa"/>
          </w:tblCellMar>
        </w:tblPrEx>
        <w:trPr>
          <w:trHeight w:val="380" w:hRule="atLeast"/>
          <w:jc w:val="center"/>
        </w:trPr>
        <w:tc>
          <w:tcPr>
            <w:tcW w:w="17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CDFA5A">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主管部门</w:t>
            </w:r>
          </w:p>
        </w:tc>
        <w:tc>
          <w:tcPr>
            <w:tcW w:w="536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40A21B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新疆维吾尔自治区生态环境厅第二生态环境监察专员办公室</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BC4D36">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实施单位</w:t>
            </w:r>
          </w:p>
        </w:tc>
        <w:tc>
          <w:tcPr>
            <w:tcW w:w="678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9EAE16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新疆维吾尔自治区生态环境厅第二生态环境监察专员办公室</w:t>
            </w:r>
          </w:p>
        </w:tc>
      </w:tr>
      <w:tr w14:paraId="515C069E">
        <w:tblPrEx>
          <w:tblCellMar>
            <w:top w:w="15" w:type="dxa"/>
            <w:left w:w="15" w:type="dxa"/>
            <w:bottom w:w="15" w:type="dxa"/>
            <w:right w:w="15" w:type="dxa"/>
          </w:tblCellMar>
        </w:tblPrEx>
        <w:trPr>
          <w:trHeight w:val="580" w:hRule="atLeast"/>
          <w:jc w:val="center"/>
        </w:trPr>
        <w:tc>
          <w:tcPr>
            <w:tcW w:w="17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61F70B">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项目资金</w:t>
            </w:r>
            <w:r>
              <w:rPr>
                <w:rFonts w:hint="eastAsia" w:ascii="宋体" w:hAnsi="宋体" w:cs="宋体"/>
                <w:b/>
                <w:color w:val="000000"/>
                <w:kern w:val="0"/>
                <w:sz w:val="18"/>
                <w:szCs w:val="18"/>
                <w:lang w:bidi="ar"/>
              </w:rPr>
              <w:br w:type="textWrapping"/>
            </w:r>
            <w:r>
              <w:rPr>
                <w:rFonts w:hint="eastAsia" w:ascii="宋体" w:hAnsi="宋体" w:cs="宋体"/>
                <w:b/>
                <w:color w:val="000000"/>
                <w:kern w:val="0"/>
                <w:sz w:val="18"/>
                <w:szCs w:val="18"/>
                <w:lang w:bidi="ar"/>
              </w:rPr>
              <w:t>（万元）</w:t>
            </w:r>
          </w:p>
        </w:tc>
        <w:tc>
          <w:tcPr>
            <w:tcW w:w="28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4F2F38">
            <w:pPr>
              <w:jc w:val="center"/>
              <w:rPr>
                <w:rFonts w:hint="eastAsia" w:ascii="宋体" w:hAnsi="宋体" w:cs="宋体"/>
                <w:b/>
                <w:color w:val="000000"/>
                <w:sz w:val="18"/>
                <w:szCs w:val="18"/>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36975">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年初预算数</w:t>
            </w:r>
          </w:p>
        </w:tc>
        <w:tc>
          <w:tcPr>
            <w:tcW w:w="18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819FD9">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全年预算数</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DE0280">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全年执行数</w:t>
            </w:r>
          </w:p>
        </w:tc>
        <w:tc>
          <w:tcPr>
            <w:tcW w:w="24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12CAF5">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分值</w:t>
            </w:r>
          </w:p>
        </w:tc>
        <w:tc>
          <w:tcPr>
            <w:tcW w:w="2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00E667">
            <w:pPr>
              <w:widowControl/>
              <w:jc w:val="center"/>
              <w:textAlignment w:val="center"/>
              <w:rPr>
                <w:rFonts w:hint="eastAsia" w:ascii="宋体" w:hAnsi="宋体" w:cs="宋体"/>
                <w:b/>
                <w:color w:val="000000"/>
                <w:sz w:val="16"/>
                <w:szCs w:val="16"/>
              </w:rPr>
            </w:pPr>
            <w:r>
              <w:rPr>
                <w:rFonts w:hint="eastAsia" w:ascii="宋体" w:hAnsi="宋体" w:cs="宋体"/>
                <w:b/>
                <w:color w:val="000000"/>
                <w:kern w:val="0"/>
                <w:sz w:val="16"/>
                <w:szCs w:val="16"/>
                <w:lang w:bidi="ar"/>
              </w:rPr>
              <w:t>执行率</w:t>
            </w:r>
          </w:p>
        </w:tc>
        <w:tc>
          <w:tcPr>
            <w:tcW w:w="1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3EF9D">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得分</w:t>
            </w:r>
          </w:p>
        </w:tc>
      </w:tr>
      <w:tr w14:paraId="18E7617A">
        <w:tblPrEx>
          <w:tblCellMar>
            <w:top w:w="15" w:type="dxa"/>
            <w:left w:w="15" w:type="dxa"/>
            <w:bottom w:w="15" w:type="dxa"/>
            <w:right w:w="15" w:type="dxa"/>
          </w:tblCellMar>
        </w:tblPrEx>
        <w:trPr>
          <w:trHeight w:val="380" w:hRule="atLeast"/>
          <w:jc w:val="center"/>
        </w:trPr>
        <w:tc>
          <w:tcPr>
            <w:tcW w:w="17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76B829">
            <w:pPr>
              <w:jc w:val="center"/>
              <w:rPr>
                <w:rFonts w:hint="eastAsia" w:ascii="宋体" w:hAnsi="宋体" w:cs="宋体"/>
                <w:b/>
                <w:color w:val="000000"/>
                <w:sz w:val="18"/>
                <w:szCs w:val="18"/>
              </w:rPr>
            </w:pPr>
          </w:p>
        </w:tc>
        <w:tc>
          <w:tcPr>
            <w:tcW w:w="28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83D1CA">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年度资金总额</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40480">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90.00</w:t>
            </w:r>
          </w:p>
        </w:tc>
        <w:tc>
          <w:tcPr>
            <w:tcW w:w="18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FDA5B2">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90</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CA9FF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89.14</w:t>
            </w:r>
          </w:p>
        </w:tc>
        <w:tc>
          <w:tcPr>
            <w:tcW w:w="24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679BC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w:t>
            </w:r>
          </w:p>
        </w:tc>
        <w:tc>
          <w:tcPr>
            <w:tcW w:w="2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CFDAFD">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6"/>
                <w:szCs w:val="16"/>
                <w:lang w:bidi="ar"/>
              </w:rPr>
              <w:t>99.04%</w:t>
            </w:r>
          </w:p>
        </w:tc>
        <w:tc>
          <w:tcPr>
            <w:tcW w:w="1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0F082">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9.76分</w:t>
            </w:r>
          </w:p>
        </w:tc>
      </w:tr>
      <w:tr w14:paraId="08FC8078">
        <w:tblPrEx>
          <w:tblCellMar>
            <w:top w:w="15" w:type="dxa"/>
            <w:left w:w="15" w:type="dxa"/>
            <w:bottom w:w="15" w:type="dxa"/>
            <w:right w:w="15" w:type="dxa"/>
          </w:tblCellMar>
        </w:tblPrEx>
        <w:trPr>
          <w:trHeight w:val="380" w:hRule="atLeast"/>
          <w:jc w:val="center"/>
        </w:trPr>
        <w:tc>
          <w:tcPr>
            <w:tcW w:w="17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934C46">
            <w:pPr>
              <w:jc w:val="center"/>
              <w:rPr>
                <w:rFonts w:hint="eastAsia" w:ascii="宋体" w:hAnsi="宋体" w:cs="宋体"/>
                <w:b/>
                <w:color w:val="000000"/>
                <w:sz w:val="18"/>
                <w:szCs w:val="18"/>
              </w:rPr>
            </w:pPr>
          </w:p>
        </w:tc>
        <w:tc>
          <w:tcPr>
            <w:tcW w:w="28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E21A28">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其中：当年财政拨款</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24CC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90</w:t>
            </w:r>
          </w:p>
        </w:tc>
        <w:tc>
          <w:tcPr>
            <w:tcW w:w="18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17EC0C">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90</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C750F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89.14</w:t>
            </w:r>
          </w:p>
        </w:tc>
        <w:tc>
          <w:tcPr>
            <w:tcW w:w="24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79EDF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w:t>
            </w:r>
          </w:p>
        </w:tc>
        <w:tc>
          <w:tcPr>
            <w:tcW w:w="2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AA2B10">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6"/>
                <w:szCs w:val="16"/>
                <w:lang w:bidi="ar"/>
              </w:rPr>
              <w:t>—</w:t>
            </w:r>
          </w:p>
        </w:tc>
        <w:tc>
          <w:tcPr>
            <w:tcW w:w="1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2EFF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w:t>
            </w:r>
          </w:p>
        </w:tc>
      </w:tr>
      <w:tr w14:paraId="43B2F890">
        <w:tblPrEx>
          <w:tblCellMar>
            <w:top w:w="15" w:type="dxa"/>
            <w:left w:w="15" w:type="dxa"/>
            <w:bottom w:w="15" w:type="dxa"/>
            <w:right w:w="15" w:type="dxa"/>
          </w:tblCellMar>
        </w:tblPrEx>
        <w:trPr>
          <w:trHeight w:val="380" w:hRule="atLeast"/>
          <w:jc w:val="center"/>
        </w:trPr>
        <w:tc>
          <w:tcPr>
            <w:tcW w:w="17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935BD">
            <w:pPr>
              <w:jc w:val="center"/>
              <w:rPr>
                <w:rFonts w:hint="eastAsia" w:ascii="宋体" w:hAnsi="宋体" w:cs="宋体"/>
                <w:b/>
                <w:color w:val="000000"/>
                <w:sz w:val="18"/>
                <w:szCs w:val="18"/>
              </w:rPr>
            </w:pPr>
          </w:p>
        </w:tc>
        <w:tc>
          <w:tcPr>
            <w:tcW w:w="28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EF6BB3">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 xml:space="preserve">  其他资金</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39C4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0</w:t>
            </w:r>
          </w:p>
        </w:tc>
        <w:tc>
          <w:tcPr>
            <w:tcW w:w="18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8F192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0</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C499FA">
            <w:pPr>
              <w:jc w:val="center"/>
              <w:rPr>
                <w:rFonts w:hint="eastAsia" w:ascii="宋体" w:hAnsi="宋体" w:cs="宋体"/>
                <w:color w:val="000000"/>
                <w:sz w:val="18"/>
                <w:szCs w:val="18"/>
              </w:rPr>
            </w:pPr>
          </w:p>
        </w:tc>
        <w:tc>
          <w:tcPr>
            <w:tcW w:w="24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53D720">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w:t>
            </w:r>
          </w:p>
        </w:tc>
        <w:tc>
          <w:tcPr>
            <w:tcW w:w="2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70AF29">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6"/>
                <w:szCs w:val="16"/>
                <w:lang w:bidi="ar"/>
              </w:rPr>
              <w:t>—</w:t>
            </w:r>
          </w:p>
        </w:tc>
        <w:tc>
          <w:tcPr>
            <w:tcW w:w="1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C64C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w:t>
            </w:r>
          </w:p>
        </w:tc>
      </w:tr>
      <w:tr w14:paraId="12502031">
        <w:tblPrEx>
          <w:tblCellMar>
            <w:top w:w="15" w:type="dxa"/>
            <w:left w:w="15" w:type="dxa"/>
            <w:bottom w:w="15" w:type="dxa"/>
            <w:right w:w="15" w:type="dxa"/>
          </w:tblCellMar>
        </w:tblPrEx>
        <w:trPr>
          <w:trHeight w:val="380" w:hRule="atLeast"/>
          <w:jc w:val="center"/>
        </w:trPr>
        <w:tc>
          <w:tcPr>
            <w:tcW w:w="8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F69716">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年度总体目标</w:t>
            </w:r>
          </w:p>
        </w:tc>
        <w:tc>
          <w:tcPr>
            <w:tcW w:w="626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60EFA9C">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预期目标</w:t>
            </w:r>
          </w:p>
        </w:tc>
        <w:tc>
          <w:tcPr>
            <w:tcW w:w="845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7B127C8">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实际完成情况</w:t>
            </w:r>
          </w:p>
        </w:tc>
      </w:tr>
      <w:tr w14:paraId="16E5E03B">
        <w:tblPrEx>
          <w:tblCellMar>
            <w:top w:w="15" w:type="dxa"/>
            <w:left w:w="15" w:type="dxa"/>
            <w:bottom w:w="15" w:type="dxa"/>
            <w:right w:w="15" w:type="dxa"/>
          </w:tblCellMar>
        </w:tblPrEx>
        <w:trPr>
          <w:trHeight w:val="1941" w:hRule="atLeast"/>
          <w:jc w:val="center"/>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EFA6EF">
            <w:pPr>
              <w:jc w:val="center"/>
              <w:rPr>
                <w:rFonts w:hint="eastAsia" w:ascii="宋体" w:hAnsi="宋体" w:cs="宋体"/>
                <w:b/>
                <w:color w:val="000000"/>
                <w:sz w:val="18"/>
                <w:szCs w:val="18"/>
              </w:rPr>
            </w:pPr>
          </w:p>
        </w:tc>
        <w:tc>
          <w:tcPr>
            <w:tcW w:w="626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2E3DBF7">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根据生态环境监察专员办公室职责，2023年第二专员办将紧紧围绕生态环境保护年度监察目标任务，配合做好中央、自治区生态环境保护督察反馈问题整改落实工作以及新一轮自治区生态环境保护督察工作；同时，围绕昌吉、阿勒泰两地州重点生态环境领域突出问题做好日常派驻监察，在此基础上推进昌吉州大气污染防治等专项调研检查，不断促进辖区生态环境保护质量持续改善。覆盖生态环境监察区域2个，形成督察检查专项报告6次，监察频次6次，报告质量通过率和区域覆盖率达到100%。持续开展生态环境保护监察、督察工作，不断构建新型生态环境保护监察体系。</w:t>
            </w:r>
          </w:p>
        </w:tc>
        <w:tc>
          <w:tcPr>
            <w:tcW w:w="845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A7A74F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本年度已按要求配合做好中央、自治区生态环境保护督察反馈问题整改落实工作4轮次，配合完成自治区生态环境保护督察工作3轮次；针对昌吉州、阿勒泰地区形成督察检查专项报告6次，监察频次6次，报告质量通过率和区域覆盖率达到100%。通过持续开展生态环境保护监察、督察工作，新型生态环境保护监察体系不断提高。</w:t>
            </w:r>
          </w:p>
        </w:tc>
      </w:tr>
      <w:tr w14:paraId="36CD3DAF">
        <w:tblPrEx>
          <w:tblCellMar>
            <w:top w:w="15" w:type="dxa"/>
            <w:left w:w="15" w:type="dxa"/>
            <w:bottom w:w="15" w:type="dxa"/>
            <w:right w:w="15" w:type="dxa"/>
          </w:tblCellMar>
        </w:tblPrEx>
        <w:trPr>
          <w:trHeight w:val="312" w:hRule="atLeast"/>
          <w:jc w:val="center"/>
        </w:trPr>
        <w:tc>
          <w:tcPr>
            <w:tcW w:w="8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D7E944">
            <w:pPr>
              <w:jc w:val="center"/>
              <w:rPr>
                <w:rFonts w:hint="eastAsia" w:ascii="宋体" w:hAnsi="宋体" w:cs="宋体"/>
                <w:color w:val="000000"/>
                <w:sz w:val="18"/>
                <w:szCs w:val="18"/>
              </w:rPr>
            </w:pPr>
          </w:p>
        </w:tc>
        <w:tc>
          <w:tcPr>
            <w:tcW w:w="8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1C8129">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一级指标</w:t>
            </w:r>
          </w:p>
        </w:tc>
        <w:tc>
          <w:tcPr>
            <w:tcW w:w="8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93E938">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二级指标</w:t>
            </w:r>
          </w:p>
        </w:tc>
        <w:tc>
          <w:tcPr>
            <w:tcW w:w="19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66F5C5">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三级指标</w:t>
            </w:r>
          </w:p>
        </w:tc>
        <w:tc>
          <w:tcPr>
            <w:tcW w:w="6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EF33AC">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权重</w:t>
            </w:r>
          </w:p>
        </w:tc>
        <w:tc>
          <w:tcPr>
            <w:tcW w:w="9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9E34A9">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目标值</w:t>
            </w:r>
          </w:p>
        </w:tc>
        <w:tc>
          <w:tcPr>
            <w:tcW w:w="9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572CCE">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业绩值</w:t>
            </w:r>
          </w:p>
        </w:tc>
        <w:tc>
          <w:tcPr>
            <w:tcW w:w="7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5ECCF3">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完成率</w:t>
            </w:r>
          </w:p>
        </w:tc>
        <w:tc>
          <w:tcPr>
            <w:tcW w:w="9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E9789E">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指标得分</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C52649">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指标值设定依据</w:t>
            </w:r>
          </w:p>
        </w:tc>
        <w:tc>
          <w:tcPr>
            <w:tcW w:w="12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5A6CAE">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上年完成情况</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07FE7D">
            <w:pPr>
              <w:widowControl/>
              <w:jc w:val="center"/>
              <w:textAlignment w:val="center"/>
              <w:rPr>
                <w:rFonts w:hint="eastAsia" w:ascii="宋体" w:hAnsi="宋体" w:cs="宋体"/>
                <w:b/>
                <w:color w:val="000000"/>
                <w:sz w:val="16"/>
                <w:szCs w:val="16"/>
              </w:rPr>
            </w:pPr>
            <w:r>
              <w:rPr>
                <w:rFonts w:hint="eastAsia" w:ascii="宋体" w:hAnsi="宋体" w:cs="宋体"/>
                <w:b/>
                <w:color w:val="000000"/>
                <w:kern w:val="0"/>
                <w:sz w:val="16"/>
                <w:szCs w:val="16"/>
                <w:lang w:bidi="ar"/>
              </w:rPr>
              <w:t>赋分规则</w:t>
            </w:r>
          </w:p>
        </w:tc>
        <w:tc>
          <w:tcPr>
            <w:tcW w:w="13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BAF2DA">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佐证资料</w:t>
            </w:r>
          </w:p>
        </w:tc>
        <w:tc>
          <w:tcPr>
            <w:tcW w:w="16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036F2E">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偏差原因分析及改进措施</w:t>
            </w:r>
          </w:p>
        </w:tc>
      </w:tr>
      <w:tr w14:paraId="6F94AD20">
        <w:tblPrEx>
          <w:tblCellMar>
            <w:top w:w="15" w:type="dxa"/>
            <w:left w:w="15" w:type="dxa"/>
            <w:bottom w:w="15" w:type="dxa"/>
            <w:right w:w="15" w:type="dxa"/>
          </w:tblCellMar>
        </w:tblPrEx>
        <w:trPr>
          <w:trHeight w:val="480" w:hRule="atLeast"/>
          <w:jc w:val="center"/>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C433B8">
            <w:pPr>
              <w:jc w:val="center"/>
              <w:rPr>
                <w:rFonts w:hint="eastAsia" w:ascii="宋体" w:hAnsi="宋体" w:cs="宋体"/>
                <w:color w:val="000000"/>
                <w:sz w:val="18"/>
                <w:szCs w:val="18"/>
              </w:rPr>
            </w:pPr>
          </w:p>
        </w:tc>
        <w:tc>
          <w:tcPr>
            <w:tcW w:w="8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010F2E">
            <w:pPr>
              <w:jc w:val="center"/>
              <w:rPr>
                <w:rFonts w:hint="eastAsia" w:ascii="宋体" w:hAnsi="宋体" w:cs="宋体"/>
                <w:b/>
                <w:color w:val="000000"/>
                <w:sz w:val="18"/>
                <w:szCs w:val="18"/>
              </w:rPr>
            </w:pPr>
          </w:p>
        </w:tc>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B042EF">
            <w:pPr>
              <w:jc w:val="center"/>
              <w:rPr>
                <w:rFonts w:hint="eastAsia" w:ascii="宋体" w:hAnsi="宋体" w:cs="宋体"/>
                <w:b/>
                <w:color w:val="000000"/>
                <w:sz w:val="18"/>
                <w:szCs w:val="18"/>
              </w:rPr>
            </w:pPr>
          </w:p>
        </w:tc>
        <w:tc>
          <w:tcPr>
            <w:tcW w:w="1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04A1E4">
            <w:pPr>
              <w:jc w:val="center"/>
              <w:rPr>
                <w:rFonts w:hint="eastAsia" w:ascii="宋体" w:hAnsi="宋体" w:cs="宋体"/>
                <w:b/>
                <w:color w:val="000000"/>
                <w:sz w:val="18"/>
                <w:szCs w:val="18"/>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C38437">
            <w:pPr>
              <w:jc w:val="center"/>
              <w:rPr>
                <w:rFonts w:hint="eastAsia" w:ascii="宋体" w:hAnsi="宋体" w:cs="宋体"/>
                <w:b/>
                <w:color w:val="000000"/>
                <w:sz w:val="18"/>
                <w:szCs w:val="18"/>
              </w:rPr>
            </w:pPr>
          </w:p>
        </w:tc>
        <w:tc>
          <w:tcPr>
            <w:tcW w:w="9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B40A65">
            <w:pPr>
              <w:jc w:val="center"/>
              <w:rPr>
                <w:rFonts w:hint="eastAsia" w:ascii="宋体" w:hAnsi="宋体" w:cs="宋体"/>
                <w:b/>
                <w:color w:val="000000"/>
                <w:sz w:val="18"/>
                <w:szCs w:val="18"/>
              </w:rPr>
            </w:pPr>
          </w:p>
        </w:tc>
        <w:tc>
          <w:tcPr>
            <w:tcW w:w="9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FFAB6B">
            <w:pPr>
              <w:jc w:val="center"/>
              <w:rPr>
                <w:rFonts w:hint="eastAsia" w:ascii="宋体" w:hAnsi="宋体" w:cs="宋体"/>
                <w:b/>
                <w:color w:val="000000"/>
                <w:sz w:val="18"/>
                <w:szCs w:val="18"/>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6002D6">
            <w:pPr>
              <w:jc w:val="center"/>
              <w:rPr>
                <w:rFonts w:hint="eastAsia" w:ascii="宋体" w:hAnsi="宋体" w:cs="宋体"/>
                <w:b/>
                <w:color w:val="000000"/>
                <w:sz w:val="18"/>
                <w:szCs w:val="18"/>
              </w:rPr>
            </w:pPr>
          </w:p>
        </w:tc>
        <w:tc>
          <w:tcPr>
            <w:tcW w:w="9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992D9">
            <w:pPr>
              <w:jc w:val="center"/>
              <w:rPr>
                <w:rFonts w:hint="eastAsia" w:ascii="宋体" w:hAnsi="宋体" w:cs="宋体"/>
                <w:b/>
                <w:color w:val="00000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637721">
            <w:pPr>
              <w:jc w:val="center"/>
              <w:rPr>
                <w:rFonts w:hint="eastAsia" w:ascii="宋体" w:hAnsi="宋体" w:cs="宋体"/>
                <w:b/>
                <w:color w:val="000000"/>
                <w:sz w:val="18"/>
                <w:szCs w:val="18"/>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DE2733">
            <w:pPr>
              <w:jc w:val="center"/>
              <w:rPr>
                <w:rFonts w:hint="eastAsia" w:ascii="宋体" w:hAnsi="宋体" w:cs="宋体"/>
                <w:b/>
                <w:color w:val="000000"/>
                <w:sz w:val="18"/>
                <w:szCs w:val="18"/>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928CE4">
            <w:pPr>
              <w:jc w:val="center"/>
              <w:rPr>
                <w:rFonts w:hint="eastAsia" w:ascii="宋体" w:hAnsi="宋体" w:cs="宋体"/>
                <w:b/>
                <w:color w:val="000000"/>
                <w:sz w:val="16"/>
                <w:szCs w:val="16"/>
              </w:rPr>
            </w:pPr>
          </w:p>
        </w:tc>
        <w:tc>
          <w:tcPr>
            <w:tcW w:w="13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33FDF7">
            <w:pPr>
              <w:jc w:val="center"/>
              <w:rPr>
                <w:rFonts w:hint="eastAsia" w:ascii="宋体" w:hAnsi="宋体" w:cs="宋体"/>
                <w:b/>
                <w:color w:val="000000"/>
                <w:sz w:val="18"/>
                <w:szCs w:val="18"/>
              </w:rPr>
            </w:pPr>
          </w:p>
        </w:tc>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A2BF61">
            <w:pPr>
              <w:jc w:val="center"/>
              <w:rPr>
                <w:rFonts w:hint="eastAsia" w:ascii="宋体" w:hAnsi="宋体" w:cs="宋体"/>
                <w:b/>
                <w:color w:val="000000"/>
                <w:sz w:val="18"/>
                <w:szCs w:val="18"/>
              </w:rPr>
            </w:pPr>
          </w:p>
        </w:tc>
      </w:tr>
      <w:tr w14:paraId="6CC2633C">
        <w:tblPrEx>
          <w:tblCellMar>
            <w:top w:w="15" w:type="dxa"/>
            <w:left w:w="15" w:type="dxa"/>
            <w:bottom w:w="15" w:type="dxa"/>
            <w:right w:w="15" w:type="dxa"/>
          </w:tblCellMar>
        </w:tblPrEx>
        <w:trPr>
          <w:trHeight w:val="380" w:hRule="atLeast"/>
          <w:jc w:val="center"/>
        </w:trPr>
        <w:tc>
          <w:tcPr>
            <w:tcW w:w="8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C28A01">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年度绩效指标完成情况</w:t>
            </w:r>
          </w:p>
        </w:tc>
        <w:tc>
          <w:tcPr>
            <w:tcW w:w="8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35191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产出指标</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F465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数量指标</w:t>
            </w: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A550C">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覆盖生态环境监察区域</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D64E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3FC6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=2个</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7E8FF">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=2个</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23ABB">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3E55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1E012">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历史标准</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DE57D">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2个</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9A2CE">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6"/>
                <w:szCs w:val="16"/>
                <w:lang w:bidi="ar"/>
              </w:rPr>
              <w:t>按照完成比例赋分</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7B41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工作资料</w:t>
            </w:r>
          </w:p>
        </w:tc>
        <w:tc>
          <w:tcPr>
            <w:tcW w:w="1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4E5D7">
            <w:pPr>
              <w:jc w:val="center"/>
              <w:rPr>
                <w:rFonts w:hint="eastAsia" w:ascii="宋体" w:hAnsi="宋体" w:cs="宋体"/>
                <w:color w:val="000000"/>
                <w:sz w:val="18"/>
                <w:szCs w:val="18"/>
              </w:rPr>
            </w:pPr>
          </w:p>
        </w:tc>
      </w:tr>
      <w:tr w14:paraId="54B9CDD0">
        <w:tblPrEx>
          <w:tblCellMar>
            <w:top w:w="15" w:type="dxa"/>
            <w:left w:w="15" w:type="dxa"/>
            <w:bottom w:w="15" w:type="dxa"/>
            <w:right w:w="15" w:type="dxa"/>
          </w:tblCellMar>
        </w:tblPrEx>
        <w:trPr>
          <w:trHeight w:val="380" w:hRule="atLeast"/>
          <w:jc w:val="center"/>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65F7FE">
            <w:pPr>
              <w:jc w:val="center"/>
              <w:rPr>
                <w:rFonts w:hint="eastAsia" w:ascii="宋体" w:hAnsi="宋体" w:cs="宋体"/>
                <w:b/>
                <w:color w:val="000000"/>
                <w:sz w:val="18"/>
                <w:szCs w:val="18"/>
              </w:rPr>
            </w:pPr>
          </w:p>
        </w:tc>
        <w:tc>
          <w:tcPr>
            <w:tcW w:w="8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E7CD92">
            <w:pPr>
              <w:jc w:val="center"/>
              <w:rPr>
                <w:rFonts w:hint="eastAsia" w:ascii="宋体" w:hAnsi="宋体"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6557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数量指标</w:t>
            </w: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8D68C">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形成监察报告（份数）</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B946D">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12</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9CBBB">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&gt;=6份</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965E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=6份</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725C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0885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AB3DD">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历史标准</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30BB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6份</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52A92">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6"/>
                <w:szCs w:val="16"/>
                <w:lang w:bidi="ar"/>
              </w:rPr>
              <w:t>按照完成比例赋分</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EFAA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工作资料</w:t>
            </w:r>
          </w:p>
        </w:tc>
        <w:tc>
          <w:tcPr>
            <w:tcW w:w="1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1D94B">
            <w:pPr>
              <w:jc w:val="center"/>
              <w:rPr>
                <w:rFonts w:hint="eastAsia" w:ascii="宋体" w:hAnsi="宋体" w:cs="宋体"/>
                <w:color w:val="000000"/>
                <w:sz w:val="18"/>
                <w:szCs w:val="18"/>
              </w:rPr>
            </w:pPr>
          </w:p>
        </w:tc>
      </w:tr>
      <w:tr w14:paraId="778FF0B9">
        <w:tblPrEx>
          <w:tblCellMar>
            <w:top w:w="15" w:type="dxa"/>
            <w:left w:w="15" w:type="dxa"/>
            <w:bottom w:w="15" w:type="dxa"/>
            <w:right w:w="15" w:type="dxa"/>
          </w:tblCellMar>
        </w:tblPrEx>
        <w:trPr>
          <w:trHeight w:val="380" w:hRule="atLeast"/>
          <w:jc w:val="center"/>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198DE9">
            <w:pPr>
              <w:jc w:val="center"/>
              <w:rPr>
                <w:rFonts w:hint="eastAsia" w:ascii="宋体" w:hAnsi="宋体" w:cs="宋体"/>
                <w:b/>
                <w:color w:val="000000"/>
                <w:sz w:val="18"/>
                <w:szCs w:val="18"/>
              </w:rPr>
            </w:pPr>
          </w:p>
        </w:tc>
        <w:tc>
          <w:tcPr>
            <w:tcW w:w="8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660C52">
            <w:pPr>
              <w:jc w:val="center"/>
              <w:rPr>
                <w:rFonts w:hint="eastAsia" w:ascii="宋体" w:hAnsi="宋体"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37630">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数量指标</w:t>
            </w: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9E57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督察(监察)频次</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48110">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6</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8083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&gt;=6次</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F47A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=6次</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C6AEC">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E9B60">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6</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BA23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计划标准</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A166D">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6次</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B51A1">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6"/>
                <w:szCs w:val="16"/>
                <w:lang w:bidi="ar"/>
              </w:rPr>
              <w:t>按照完成比例赋分</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754E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工作资料</w:t>
            </w:r>
          </w:p>
        </w:tc>
        <w:tc>
          <w:tcPr>
            <w:tcW w:w="1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0B300">
            <w:pPr>
              <w:jc w:val="center"/>
              <w:rPr>
                <w:rFonts w:hint="eastAsia" w:ascii="宋体" w:hAnsi="宋体" w:cs="宋体"/>
                <w:color w:val="000000"/>
                <w:sz w:val="18"/>
                <w:szCs w:val="18"/>
              </w:rPr>
            </w:pPr>
          </w:p>
        </w:tc>
      </w:tr>
      <w:tr w14:paraId="67D67A67">
        <w:tblPrEx>
          <w:tblCellMar>
            <w:top w:w="15" w:type="dxa"/>
            <w:left w:w="15" w:type="dxa"/>
            <w:bottom w:w="15" w:type="dxa"/>
            <w:right w:w="15" w:type="dxa"/>
          </w:tblCellMar>
        </w:tblPrEx>
        <w:trPr>
          <w:trHeight w:val="380" w:hRule="atLeast"/>
          <w:jc w:val="center"/>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12CE5C">
            <w:pPr>
              <w:jc w:val="center"/>
              <w:rPr>
                <w:rFonts w:hint="eastAsia" w:ascii="宋体" w:hAnsi="宋体" w:cs="宋体"/>
                <w:b/>
                <w:color w:val="000000"/>
                <w:sz w:val="18"/>
                <w:szCs w:val="18"/>
              </w:rPr>
            </w:pPr>
          </w:p>
        </w:tc>
        <w:tc>
          <w:tcPr>
            <w:tcW w:w="8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8381A7">
            <w:pPr>
              <w:jc w:val="center"/>
              <w:rPr>
                <w:rFonts w:hint="eastAsia" w:ascii="宋体" w:hAnsi="宋体"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1C28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质量指标</w:t>
            </w: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08D3C">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报告质量通过率</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7089F">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27CB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7B18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3611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0744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A18EB">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历史标准</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AC7B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C70E0">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6"/>
                <w:szCs w:val="16"/>
                <w:lang w:bidi="ar"/>
              </w:rPr>
              <w:t>按照完成比例赋分</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3207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工作资料</w:t>
            </w:r>
          </w:p>
        </w:tc>
        <w:tc>
          <w:tcPr>
            <w:tcW w:w="1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1159A">
            <w:pPr>
              <w:jc w:val="center"/>
              <w:rPr>
                <w:rFonts w:hint="eastAsia" w:ascii="宋体" w:hAnsi="宋体" w:cs="宋体"/>
                <w:color w:val="000000"/>
                <w:sz w:val="18"/>
                <w:szCs w:val="18"/>
              </w:rPr>
            </w:pPr>
          </w:p>
        </w:tc>
      </w:tr>
      <w:tr w14:paraId="301F27D2">
        <w:tblPrEx>
          <w:tblCellMar>
            <w:top w:w="15" w:type="dxa"/>
            <w:left w:w="15" w:type="dxa"/>
            <w:bottom w:w="15" w:type="dxa"/>
            <w:right w:w="15" w:type="dxa"/>
          </w:tblCellMar>
        </w:tblPrEx>
        <w:trPr>
          <w:trHeight w:val="380" w:hRule="atLeast"/>
          <w:jc w:val="center"/>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22A9DF">
            <w:pPr>
              <w:jc w:val="center"/>
              <w:rPr>
                <w:rFonts w:hint="eastAsia" w:ascii="宋体" w:hAnsi="宋体" w:cs="宋体"/>
                <w:b/>
                <w:color w:val="000000"/>
                <w:sz w:val="18"/>
                <w:szCs w:val="18"/>
              </w:rPr>
            </w:pPr>
          </w:p>
        </w:tc>
        <w:tc>
          <w:tcPr>
            <w:tcW w:w="8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DB8B6F">
            <w:pPr>
              <w:jc w:val="center"/>
              <w:rPr>
                <w:rFonts w:hint="eastAsia" w:ascii="宋体" w:hAnsi="宋体"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0D660">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质量指标</w:t>
            </w: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CEB6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派驻监察辖区地州覆盖率</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0AA8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B1FDD">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22FCF">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0FFD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3238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6149B">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历史标准</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16B1B">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6BAC1">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6"/>
                <w:szCs w:val="16"/>
                <w:lang w:bidi="ar"/>
              </w:rPr>
              <w:t>按照完成比例赋分</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7770C">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工作资料</w:t>
            </w:r>
          </w:p>
        </w:tc>
        <w:tc>
          <w:tcPr>
            <w:tcW w:w="1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EE7CB">
            <w:pPr>
              <w:jc w:val="center"/>
              <w:rPr>
                <w:rFonts w:hint="eastAsia" w:ascii="宋体" w:hAnsi="宋体" w:cs="宋体"/>
                <w:color w:val="000000"/>
                <w:sz w:val="18"/>
                <w:szCs w:val="18"/>
              </w:rPr>
            </w:pPr>
          </w:p>
        </w:tc>
      </w:tr>
      <w:tr w14:paraId="3B73E168">
        <w:tblPrEx>
          <w:tblCellMar>
            <w:top w:w="15" w:type="dxa"/>
            <w:left w:w="15" w:type="dxa"/>
            <w:bottom w:w="15" w:type="dxa"/>
            <w:right w:w="15" w:type="dxa"/>
          </w:tblCellMar>
        </w:tblPrEx>
        <w:trPr>
          <w:trHeight w:val="380" w:hRule="atLeast"/>
          <w:jc w:val="center"/>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476B4C">
            <w:pPr>
              <w:jc w:val="center"/>
              <w:rPr>
                <w:rFonts w:hint="eastAsia" w:ascii="宋体" w:hAnsi="宋体" w:cs="宋体"/>
                <w:b/>
                <w:color w:val="000000"/>
                <w:sz w:val="18"/>
                <w:szCs w:val="18"/>
              </w:rPr>
            </w:pPr>
          </w:p>
        </w:tc>
        <w:tc>
          <w:tcPr>
            <w:tcW w:w="8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EC0B70">
            <w:pPr>
              <w:jc w:val="center"/>
              <w:rPr>
                <w:rFonts w:hint="eastAsia" w:ascii="宋体" w:hAnsi="宋体"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FB6CF">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时效指标</w:t>
            </w: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4E50F">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年度督察任务按时完成率</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463B0">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7</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13EB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FBBE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8B3C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5ED4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7</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C8CB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历史标准</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0279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BD281">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6"/>
                <w:szCs w:val="16"/>
                <w:lang w:bidi="ar"/>
              </w:rPr>
              <w:t>按照完成比例赋分</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761FF">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工作资料</w:t>
            </w:r>
          </w:p>
        </w:tc>
        <w:tc>
          <w:tcPr>
            <w:tcW w:w="1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76A3F">
            <w:pPr>
              <w:jc w:val="center"/>
              <w:rPr>
                <w:rFonts w:hint="eastAsia" w:ascii="宋体" w:hAnsi="宋体" w:cs="宋体"/>
                <w:color w:val="000000"/>
                <w:sz w:val="18"/>
                <w:szCs w:val="18"/>
              </w:rPr>
            </w:pPr>
          </w:p>
        </w:tc>
      </w:tr>
      <w:tr w14:paraId="7125B4AF">
        <w:tblPrEx>
          <w:tblCellMar>
            <w:top w:w="15" w:type="dxa"/>
            <w:left w:w="15" w:type="dxa"/>
            <w:bottom w:w="15" w:type="dxa"/>
            <w:right w:w="15" w:type="dxa"/>
          </w:tblCellMar>
        </w:tblPrEx>
        <w:trPr>
          <w:trHeight w:val="380" w:hRule="atLeast"/>
          <w:jc w:val="center"/>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9B299F">
            <w:pPr>
              <w:jc w:val="center"/>
              <w:rPr>
                <w:rFonts w:hint="eastAsia" w:ascii="宋体" w:hAnsi="宋体" w:cs="宋体"/>
                <w:b/>
                <w:color w:val="000000"/>
                <w:sz w:val="18"/>
                <w:szCs w:val="18"/>
              </w:rPr>
            </w:pPr>
          </w:p>
        </w:tc>
        <w:tc>
          <w:tcPr>
            <w:tcW w:w="8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98A69B">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成本指标</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C6D1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经济成本指标</w:t>
            </w: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1CA9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监督检查工作</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60EBF">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093F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&lt;=48万元</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88D99">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6"/>
                <w:szCs w:val="16"/>
                <w:lang w:bidi="ar"/>
              </w:rPr>
              <w:t>=47.8万元</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CE28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99.58</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B148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9.89</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E934D">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预算支出标准</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59CF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≤48万元</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32E62">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6"/>
                <w:szCs w:val="16"/>
                <w:lang w:bidi="ar"/>
              </w:rPr>
              <w:t>按照完成比例赋分</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7351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原始凭证</w:t>
            </w:r>
          </w:p>
        </w:tc>
        <w:tc>
          <w:tcPr>
            <w:tcW w:w="1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CF592">
            <w:pPr>
              <w:jc w:val="center"/>
              <w:rPr>
                <w:rFonts w:hint="eastAsia" w:ascii="宋体" w:hAnsi="宋体" w:cs="宋体"/>
                <w:color w:val="000000"/>
                <w:sz w:val="18"/>
                <w:szCs w:val="18"/>
              </w:rPr>
            </w:pPr>
          </w:p>
        </w:tc>
      </w:tr>
      <w:tr w14:paraId="4AFB63BA">
        <w:tblPrEx>
          <w:tblCellMar>
            <w:top w:w="15" w:type="dxa"/>
            <w:left w:w="15" w:type="dxa"/>
            <w:bottom w:w="15" w:type="dxa"/>
            <w:right w:w="15" w:type="dxa"/>
          </w:tblCellMar>
        </w:tblPrEx>
        <w:trPr>
          <w:trHeight w:val="380" w:hRule="atLeast"/>
          <w:jc w:val="center"/>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9184D3">
            <w:pPr>
              <w:jc w:val="center"/>
              <w:rPr>
                <w:rFonts w:hint="eastAsia" w:ascii="宋体" w:hAnsi="宋体" w:cs="宋体"/>
                <w:b/>
                <w:color w:val="000000"/>
                <w:sz w:val="18"/>
                <w:szCs w:val="18"/>
              </w:rPr>
            </w:pPr>
          </w:p>
        </w:tc>
        <w:tc>
          <w:tcPr>
            <w:tcW w:w="8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A1782E">
            <w:pPr>
              <w:jc w:val="center"/>
              <w:rPr>
                <w:rFonts w:hint="eastAsia" w:ascii="宋体" w:hAnsi="宋体"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C5B4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经济成本指标</w:t>
            </w: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648C0">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派驻监察期间费用</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1A9B2">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7D12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&lt;=42万元</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EB30F">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6"/>
                <w:szCs w:val="16"/>
                <w:lang w:bidi="ar"/>
              </w:rPr>
              <w:t>=41.34万元</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818A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98.43</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655C0">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9.61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45820">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预算支出标准</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5B85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≤42万元</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EA1A1">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6"/>
                <w:szCs w:val="16"/>
                <w:lang w:bidi="ar"/>
              </w:rPr>
              <w:t>按照完成比例赋分</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B48CC">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原始凭证</w:t>
            </w:r>
          </w:p>
        </w:tc>
        <w:tc>
          <w:tcPr>
            <w:tcW w:w="1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49380">
            <w:pPr>
              <w:jc w:val="center"/>
              <w:rPr>
                <w:rFonts w:hint="eastAsia" w:ascii="宋体" w:hAnsi="宋体" w:cs="宋体"/>
                <w:color w:val="000000"/>
                <w:sz w:val="18"/>
                <w:szCs w:val="18"/>
              </w:rPr>
            </w:pPr>
          </w:p>
        </w:tc>
      </w:tr>
      <w:tr w14:paraId="4A978441">
        <w:tblPrEx>
          <w:tblCellMar>
            <w:top w:w="15" w:type="dxa"/>
            <w:left w:w="15" w:type="dxa"/>
            <w:bottom w:w="15" w:type="dxa"/>
            <w:right w:w="15" w:type="dxa"/>
          </w:tblCellMar>
        </w:tblPrEx>
        <w:trPr>
          <w:trHeight w:val="380" w:hRule="atLeast"/>
          <w:jc w:val="center"/>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2DA253">
            <w:pPr>
              <w:jc w:val="center"/>
              <w:rPr>
                <w:rFonts w:hint="eastAsia" w:ascii="宋体" w:hAnsi="宋体" w:cs="宋体"/>
                <w:b/>
                <w:color w:val="000000"/>
                <w:sz w:val="18"/>
                <w:szCs w:val="18"/>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9162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效益指标</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2D0E0">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社会效益指标</w:t>
            </w: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3CF8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构建新型生态环境保护监察体系</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D6A0C">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20</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A3FCC">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不断提高</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E757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不断提高</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D0F8D">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A6C5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B107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历史标准</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343F4">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不断提高</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2AD40">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6"/>
                <w:szCs w:val="16"/>
                <w:lang w:bidi="ar"/>
              </w:rPr>
              <w:t>按评判等级赋分</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D404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工作资料</w:t>
            </w:r>
          </w:p>
        </w:tc>
        <w:tc>
          <w:tcPr>
            <w:tcW w:w="1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796F8">
            <w:pPr>
              <w:jc w:val="center"/>
              <w:rPr>
                <w:rFonts w:hint="eastAsia" w:ascii="宋体" w:hAnsi="宋体" w:cs="宋体"/>
                <w:color w:val="000000"/>
                <w:sz w:val="18"/>
                <w:szCs w:val="18"/>
              </w:rPr>
            </w:pPr>
          </w:p>
        </w:tc>
      </w:tr>
      <w:tr w14:paraId="018D3F73">
        <w:tblPrEx>
          <w:tblCellMar>
            <w:top w:w="15" w:type="dxa"/>
            <w:left w:w="15" w:type="dxa"/>
            <w:bottom w:w="15" w:type="dxa"/>
            <w:right w:w="15" w:type="dxa"/>
          </w:tblCellMar>
        </w:tblPrEx>
        <w:trPr>
          <w:trHeight w:val="380" w:hRule="atLeast"/>
          <w:jc w:val="center"/>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B99B7D">
            <w:pPr>
              <w:jc w:val="center"/>
              <w:rPr>
                <w:rFonts w:hint="eastAsia" w:ascii="宋体" w:hAnsi="宋体" w:cs="宋体"/>
                <w:b/>
                <w:color w:val="000000"/>
                <w:sz w:val="18"/>
                <w:szCs w:val="18"/>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ED723">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满意度指标</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0338D">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满意度指标</w:t>
            </w: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6A04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检查人员被投诉次数</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EDD5D">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F2D5F">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&lt;=2次</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C87A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=0次</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BF78A">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450FC">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3A3F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历史标准</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550E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0次</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EA862">
            <w:pPr>
              <w:widowControl/>
              <w:jc w:val="center"/>
              <w:textAlignment w:val="center"/>
              <w:rPr>
                <w:rFonts w:hint="eastAsia" w:ascii="宋体" w:hAnsi="宋体" w:cs="宋体"/>
                <w:color w:val="000000"/>
                <w:sz w:val="16"/>
                <w:szCs w:val="16"/>
              </w:rPr>
            </w:pPr>
            <w:r>
              <w:rPr>
                <w:rFonts w:hint="eastAsia" w:ascii="宋体" w:hAnsi="宋体" w:cs="宋体"/>
                <w:color w:val="000000"/>
                <w:kern w:val="0"/>
                <w:sz w:val="16"/>
                <w:szCs w:val="16"/>
                <w:lang w:bidi="ar"/>
              </w:rPr>
              <w:t>满意度赋分</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E7CFC">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工作资料</w:t>
            </w:r>
          </w:p>
        </w:tc>
        <w:tc>
          <w:tcPr>
            <w:tcW w:w="1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DB108">
            <w:pPr>
              <w:jc w:val="center"/>
              <w:rPr>
                <w:rFonts w:hint="eastAsia" w:ascii="宋体" w:hAnsi="宋体" w:cs="宋体"/>
                <w:color w:val="000000"/>
                <w:sz w:val="18"/>
                <w:szCs w:val="18"/>
              </w:rPr>
            </w:pPr>
          </w:p>
        </w:tc>
      </w:tr>
      <w:tr w14:paraId="20242283">
        <w:tblPrEx>
          <w:tblCellMar>
            <w:top w:w="15" w:type="dxa"/>
            <w:left w:w="15" w:type="dxa"/>
            <w:bottom w:w="15" w:type="dxa"/>
            <w:right w:w="15" w:type="dxa"/>
          </w:tblCellMar>
        </w:tblPrEx>
        <w:trPr>
          <w:trHeight w:val="380" w:hRule="atLeast"/>
          <w:jc w:val="center"/>
        </w:trPr>
        <w:tc>
          <w:tcPr>
            <w:tcW w:w="4665" w:type="dxa"/>
            <w:gridSpan w:val="4"/>
            <w:tcBorders>
              <w:top w:val="single" w:color="000000" w:sz="4" w:space="0"/>
              <w:left w:val="single" w:color="000000" w:sz="4" w:space="0"/>
              <w:bottom w:val="single" w:color="000000" w:sz="4" w:space="0"/>
            </w:tcBorders>
            <w:shd w:val="clear" w:color="auto" w:fill="auto"/>
            <w:vAlign w:val="center"/>
          </w:tcPr>
          <w:p w14:paraId="22C7D374">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lang w:bidi="ar"/>
              </w:rPr>
              <w:t>总分</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7D73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922" w:type="dxa"/>
            <w:tcBorders>
              <w:top w:val="single" w:color="000000" w:sz="4" w:space="0"/>
              <w:bottom w:val="single" w:color="000000" w:sz="4" w:space="0"/>
              <w:right w:val="single" w:color="000000" w:sz="4" w:space="0"/>
            </w:tcBorders>
            <w:shd w:val="clear" w:color="auto" w:fill="auto"/>
            <w:vAlign w:val="center"/>
          </w:tcPr>
          <w:p w14:paraId="32D848AA">
            <w:pPr>
              <w:rPr>
                <w:rFonts w:hint="eastAsia" w:ascii="宋体" w:hAnsi="宋体" w:cs="宋体"/>
                <w:b/>
                <w:color w:val="000000"/>
                <w:sz w:val="18"/>
                <w:szCs w:val="18"/>
              </w:rPr>
            </w:pP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85E4D">
            <w:pPr>
              <w:jc w:val="center"/>
              <w:rPr>
                <w:rFonts w:hint="eastAsia" w:ascii="宋体" w:hAnsi="宋体" w:cs="宋体"/>
                <w:color w:val="000000"/>
                <w:sz w:val="18"/>
                <w:szCs w:val="18"/>
              </w:rPr>
            </w:pP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680D1">
            <w:pPr>
              <w:jc w:val="center"/>
              <w:rPr>
                <w:rFonts w:hint="eastAsia" w:ascii="宋体" w:hAnsi="宋体" w:cs="宋体"/>
                <w:color w:val="000000"/>
                <w:sz w:val="18"/>
                <w:szCs w:val="18"/>
              </w:rPr>
            </w:pP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8D1C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99.26分</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3AE74">
            <w:pPr>
              <w:rPr>
                <w:rFonts w:hint="eastAsia" w:ascii="宋体" w:hAnsi="宋体" w:cs="宋体"/>
                <w:color w:val="000000"/>
                <w:sz w:val="18"/>
                <w:szCs w:val="18"/>
              </w:rPr>
            </w:pP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89413">
            <w:pPr>
              <w:rPr>
                <w:rFonts w:hint="eastAsia" w:ascii="宋体" w:hAnsi="宋体" w:cs="宋体"/>
                <w:color w:val="000000"/>
                <w:sz w:val="18"/>
                <w:szCs w:val="18"/>
              </w:rPr>
            </w:pP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56103">
            <w:pPr>
              <w:rPr>
                <w:rFonts w:hint="eastAsia" w:ascii="宋体" w:hAnsi="宋体" w:cs="宋体"/>
                <w:color w:val="000000"/>
                <w:sz w:val="16"/>
                <w:szCs w:val="16"/>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78E33">
            <w:pPr>
              <w:rPr>
                <w:rFonts w:hint="eastAsia" w:ascii="宋体" w:hAnsi="宋体" w:cs="宋体"/>
                <w:color w:val="000000"/>
                <w:sz w:val="18"/>
                <w:szCs w:val="18"/>
              </w:rPr>
            </w:pPr>
          </w:p>
        </w:tc>
        <w:tc>
          <w:tcPr>
            <w:tcW w:w="1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719C4">
            <w:pPr>
              <w:rPr>
                <w:rFonts w:hint="eastAsia" w:ascii="宋体" w:hAnsi="宋体" w:cs="宋体"/>
                <w:color w:val="000000"/>
                <w:sz w:val="18"/>
                <w:szCs w:val="18"/>
              </w:rPr>
            </w:pPr>
          </w:p>
        </w:tc>
      </w:tr>
    </w:tbl>
    <w:p w14:paraId="7A4C6247">
      <w:pPr>
        <w:pStyle w:val="2"/>
        <w:sectPr>
          <w:pgSz w:w="16838" w:h="11906" w:orient="landscape"/>
          <w:pgMar w:top="1803" w:right="986" w:bottom="1559" w:left="986" w:header="851" w:footer="992" w:gutter="0"/>
          <w:cols w:space="0" w:num="1"/>
          <w:docGrid w:type="lines" w:linePitch="312" w:charSpace="0"/>
        </w:sectPr>
      </w:pPr>
    </w:p>
    <w:p w14:paraId="0B5AA00A">
      <w:pPr>
        <w:spacing w:line="600" w:lineRule="exact"/>
        <w:rPr>
          <w:rFonts w:hint="eastAsia" w:ascii="黑体" w:hAnsi="黑体" w:eastAsia="黑体" w:cs="黑体"/>
        </w:rPr>
      </w:pPr>
      <w:r>
        <w:rPr>
          <w:rFonts w:hint="eastAsia" w:ascii="黑体" w:hAnsi="黑体" w:eastAsia="黑体" w:cs="黑体"/>
          <w:bCs/>
          <w:sz w:val="32"/>
          <w:szCs w:val="32"/>
        </w:rPr>
        <w:t>附件1</w:t>
      </w:r>
    </w:p>
    <w:p w14:paraId="2EBA5402">
      <w:pPr>
        <w:pStyle w:val="20"/>
        <w:ind w:firstLine="562"/>
        <w:jc w:val="center"/>
        <w:rPr>
          <w:sz w:val="28"/>
          <w:szCs w:val="40"/>
        </w:rPr>
      </w:pPr>
      <w:bookmarkStart w:id="7" w:name="_Toc26499_WPSOffice_Level2"/>
      <w:bookmarkStart w:id="8" w:name="_Toc30064_WPSOffice_Level1"/>
      <w:r>
        <w:rPr>
          <w:rFonts w:hint="eastAsia"/>
          <w:b/>
          <w:bCs/>
          <w:sz w:val="28"/>
          <w:szCs w:val="40"/>
        </w:rPr>
        <w:t>生态环境厅环境监察专员办环境监察专项绩效评价指标体系及综合评分表</w:t>
      </w:r>
      <w:bookmarkEnd w:id="7"/>
      <w:bookmarkEnd w:id="8"/>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14:paraId="74724E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14:paraId="3D35A94B">
            <w:pPr>
              <w:widowControl/>
              <w:spacing w:line="0" w:lineRule="atLeast"/>
              <w:jc w:val="center"/>
              <w:rPr>
                <w:b/>
                <w:bCs/>
                <w:color w:val="000000"/>
                <w:kern w:val="0"/>
                <w:sz w:val="22"/>
                <w:szCs w:val="22"/>
              </w:rPr>
            </w:pPr>
            <w:r>
              <w:rPr>
                <w:b/>
                <w:bCs/>
                <w:color w:val="000000"/>
                <w:kern w:val="0"/>
                <w:sz w:val="22"/>
                <w:szCs w:val="22"/>
              </w:rPr>
              <w:t>一级指标</w:t>
            </w:r>
          </w:p>
        </w:tc>
        <w:tc>
          <w:tcPr>
            <w:tcW w:w="764" w:type="dxa"/>
            <w:shd w:val="clear" w:color="auto" w:fill="FFFFFF"/>
            <w:vAlign w:val="center"/>
          </w:tcPr>
          <w:p w14:paraId="4EAC708C">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14:paraId="48667D94">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14:paraId="1EEC84FD">
            <w:pPr>
              <w:widowControl/>
              <w:spacing w:line="0" w:lineRule="atLeast"/>
              <w:jc w:val="center"/>
              <w:rPr>
                <w:b/>
                <w:bCs/>
                <w:color w:val="000000"/>
                <w:kern w:val="0"/>
                <w:sz w:val="22"/>
                <w:szCs w:val="22"/>
              </w:rPr>
            </w:pPr>
            <w:r>
              <w:rPr>
                <w:b/>
                <w:bCs/>
                <w:color w:val="000000"/>
                <w:kern w:val="0"/>
                <w:sz w:val="22"/>
                <w:szCs w:val="22"/>
              </w:rPr>
              <w:t>指标解释</w:t>
            </w:r>
          </w:p>
        </w:tc>
        <w:tc>
          <w:tcPr>
            <w:tcW w:w="5198" w:type="dxa"/>
            <w:shd w:val="clear" w:color="auto" w:fill="FFFFFF"/>
            <w:vAlign w:val="center"/>
          </w:tcPr>
          <w:p w14:paraId="72B698CD">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14:paraId="6210E7D5">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14:paraId="3D9ABDDB">
            <w:pPr>
              <w:widowControl/>
              <w:spacing w:line="0" w:lineRule="atLeast"/>
              <w:jc w:val="center"/>
              <w:rPr>
                <w:b/>
                <w:bCs/>
                <w:color w:val="000000"/>
                <w:kern w:val="0"/>
                <w:sz w:val="22"/>
                <w:szCs w:val="22"/>
              </w:rPr>
            </w:pPr>
            <w:r>
              <w:rPr>
                <w:b/>
                <w:bCs/>
                <w:color w:val="000000"/>
                <w:kern w:val="0"/>
                <w:sz w:val="22"/>
                <w:szCs w:val="22"/>
              </w:rPr>
              <w:t>得分</w:t>
            </w:r>
          </w:p>
        </w:tc>
      </w:tr>
      <w:tr w14:paraId="5F99FF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14:paraId="603988F1">
            <w:pPr>
              <w:widowControl/>
              <w:spacing w:line="0" w:lineRule="atLeast"/>
              <w:jc w:val="center"/>
              <w:rPr>
                <w:color w:val="000000"/>
                <w:kern w:val="0"/>
                <w:sz w:val="22"/>
                <w:szCs w:val="22"/>
              </w:rPr>
            </w:pPr>
          </w:p>
          <w:p w14:paraId="1A4771AD">
            <w:pPr>
              <w:widowControl/>
              <w:spacing w:line="0" w:lineRule="atLeast"/>
              <w:jc w:val="center"/>
              <w:rPr>
                <w:color w:val="000000"/>
                <w:kern w:val="0"/>
                <w:sz w:val="22"/>
                <w:szCs w:val="22"/>
              </w:rPr>
            </w:pPr>
          </w:p>
          <w:p w14:paraId="41E0B172">
            <w:pPr>
              <w:widowControl/>
              <w:spacing w:line="0" w:lineRule="atLeast"/>
              <w:jc w:val="center"/>
              <w:rPr>
                <w:color w:val="000000"/>
                <w:kern w:val="0"/>
                <w:sz w:val="22"/>
                <w:szCs w:val="22"/>
              </w:rPr>
            </w:pPr>
          </w:p>
          <w:p w14:paraId="640433B6">
            <w:pPr>
              <w:widowControl/>
              <w:spacing w:line="0" w:lineRule="atLeast"/>
              <w:jc w:val="center"/>
              <w:rPr>
                <w:color w:val="000000"/>
                <w:kern w:val="0"/>
                <w:sz w:val="22"/>
                <w:szCs w:val="22"/>
              </w:rPr>
            </w:pPr>
          </w:p>
          <w:p w14:paraId="1040AA08">
            <w:pPr>
              <w:widowControl/>
              <w:spacing w:line="0" w:lineRule="atLeast"/>
              <w:jc w:val="center"/>
              <w:rPr>
                <w:color w:val="000000"/>
                <w:kern w:val="0"/>
                <w:sz w:val="22"/>
                <w:szCs w:val="22"/>
              </w:rPr>
            </w:pPr>
          </w:p>
          <w:p w14:paraId="1BC7B160">
            <w:pPr>
              <w:widowControl/>
              <w:spacing w:line="0" w:lineRule="atLeast"/>
              <w:jc w:val="center"/>
              <w:rPr>
                <w:color w:val="000000"/>
                <w:kern w:val="0"/>
                <w:sz w:val="22"/>
                <w:szCs w:val="22"/>
              </w:rPr>
            </w:pPr>
          </w:p>
          <w:p w14:paraId="56EC79C1">
            <w:pPr>
              <w:widowControl/>
              <w:spacing w:line="0" w:lineRule="atLeast"/>
              <w:jc w:val="center"/>
              <w:rPr>
                <w:color w:val="000000"/>
                <w:kern w:val="0"/>
                <w:sz w:val="22"/>
                <w:szCs w:val="22"/>
              </w:rPr>
            </w:pPr>
            <w:r>
              <w:rPr>
                <w:color w:val="000000"/>
                <w:kern w:val="0"/>
                <w:sz w:val="22"/>
                <w:szCs w:val="22"/>
              </w:rPr>
              <w:t>决策　</w:t>
            </w:r>
          </w:p>
        </w:tc>
        <w:tc>
          <w:tcPr>
            <w:tcW w:w="764" w:type="dxa"/>
            <w:vMerge w:val="restart"/>
            <w:shd w:val="clear" w:color="auto" w:fill="FFFFFF"/>
            <w:vAlign w:val="center"/>
          </w:tcPr>
          <w:p w14:paraId="4907BEB3">
            <w:pPr>
              <w:widowControl/>
              <w:spacing w:line="0" w:lineRule="atLeast"/>
              <w:jc w:val="center"/>
              <w:rPr>
                <w:color w:val="000000"/>
                <w:kern w:val="0"/>
                <w:sz w:val="22"/>
                <w:szCs w:val="22"/>
              </w:rPr>
            </w:pPr>
            <w:r>
              <w:rPr>
                <w:color w:val="000000"/>
                <w:kern w:val="0"/>
                <w:sz w:val="22"/>
                <w:szCs w:val="22"/>
              </w:rPr>
              <w:t>项目立项　</w:t>
            </w:r>
          </w:p>
        </w:tc>
        <w:tc>
          <w:tcPr>
            <w:tcW w:w="873" w:type="dxa"/>
            <w:shd w:val="clear" w:color="auto" w:fill="FFFFFF"/>
            <w:vAlign w:val="center"/>
          </w:tcPr>
          <w:p w14:paraId="492BADD9">
            <w:pPr>
              <w:widowControl/>
              <w:spacing w:line="0" w:lineRule="atLeast"/>
              <w:jc w:val="center"/>
              <w:rPr>
                <w:color w:val="000000"/>
                <w:kern w:val="0"/>
                <w:sz w:val="22"/>
                <w:szCs w:val="22"/>
              </w:rPr>
            </w:pPr>
            <w:r>
              <w:rPr>
                <w:color w:val="000000"/>
                <w:kern w:val="0"/>
                <w:sz w:val="22"/>
                <w:szCs w:val="22"/>
              </w:rPr>
              <w:t>立项依据</w:t>
            </w:r>
          </w:p>
          <w:p w14:paraId="2BB928FD">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14:paraId="79662C80">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5FC62C59">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300" w:type="dxa"/>
            <w:shd w:val="clear" w:color="auto" w:fill="FFFFFF"/>
            <w:vAlign w:val="center"/>
          </w:tcPr>
          <w:p w14:paraId="50A04A4B">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14:paraId="304EF1AB">
            <w:pPr>
              <w:widowControl/>
              <w:spacing w:line="0" w:lineRule="atLeast"/>
              <w:jc w:val="center"/>
              <w:rPr>
                <w:b/>
                <w:bCs/>
                <w:color w:val="000000"/>
                <w:kern w:val="0"/>
                <w:sz w:val="22"/>
                <w:szCs w:val="22"/>
              </w:rPr>
            </w:pPr>
            <w:r>
              <w:rPr>
                <w:rFonts w:hint="eastAsia"/>
                <w:b/>
                <w:bCs/>
                <w:color w:val="000000"/>
                <w:kern w:val="0"/>
                <w:sz w:val="22"/>
                <w:szCs w:val="22"/>
              </w:rPr>
              <w:t>3</w:t>
            </w:r>
          </w:p>
        </w:tc>
      </w:tr>
      <w:tr w14:paraId="20448B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31EA69F9">
            <w:pPr>
              <w:spacing w:line="0" w:lineRule="atLeast"/>
              <w:jc w:val="center"/>
              <w:rPr>
                <w:color w:val="000000"/>
                <w:kern w:val="0"/>
                <w:sz w:val="22"/>
                <w:szCs w:val="22"/>
              </w:rPr>
            </w:pPr>
          </w:p>
        </w:tc>
        <w:tc>
          <w:tcPr>
            <w:tcW w:w="764" w:type="dxa"/>
            <w:vMerge w:val="continue"/>
            <w:shd w:val="clear" w:color="auto" w:fill="FFFFFF"/>
            <w:vAlign w:val="center"/>
          </w:tcPr>
          <w:p w14:paraId="08F044F6">
            <w:pPr>
              <w:widowControl/>
              <w:spacing w:line="0" w:lineRule="atLeast"/>
              <w:jc w:val="center"/>
              <w:rPr>
                <w:color w:val="000000"/>
                <w:kern w:val="0"/>
                <w:sz w:val="22"/>
                <w:szCs w:val="22"/>
              </w:rPr>
            </w:pPr>
          </w:p>
        </w:tc>
        <w:tc>
          <w:tcPr>
            <w:tcW w:w="873" w:type="dxa"/>
            <w:shd w:val="clear" w:color="auto" w:fill="FFFFFF"/>
            <w:vAlign w:val="center"/>
          </w:tcPr>
          <w:p w14:paraId="04923A22">
            <w:pPr>
              <w:widowControl/>
              <w:spacing w:line="0" w:lineRule="atLeast"/>
              <w:jc w:val="center"/>
              <w:rPr>
                <w:color w:val="000000"/>
                <w:kern w:val="0"/>
                <w:sz w:val="22"/>
                <w:szCs w:val="22"/>
              </w:rPr>
            </w:pPr>
            <w:r>
              <w:rPr>
                <w:color w:val="000000"/>
                <w:kern w:val="0"/>
                <w:sz w:val="22"/>
                <w:szCs w:val="22"/>
              </w:rPr>
              <w:t>立项程序</w:t>
            </w:r>
          </w:p>
          <w:p w14:paraId="78CCD6A2">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14:paraId="6552EC1A">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98" w:type="dxa"/>
            <w:shd w:val="clear" w:color="auto" w:fill="FFFFFF"/>
            <w:vAlign w:val="center"/>
          </w:tcPr>
          <w:p w14:paraId="393886F9">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300" w:type="dxa"/>
            <w:shd w:val="clear" w:color="auto" w:fill="FFFFFF"/>
            <w:vAlign w:val="center"/>
          </w:tcPr>
          <w:p w14:paraId="489EDD04">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14:paraId="1191C523">
            <w:pPr>
              <w:widowControl/>
              <w:spacing w:line="0" w:lineRule="atLeast"/>
              <w:jc w:val="center"/>
              <w:rPr>
                <w:b/>
                <w:bCs/>
                <w:color w:val="000000"/>
                <w:kern w:val="0"/>
                <w:sz w:val="22"/>
                <w:szCs w:val="22"/>
              </w:rPr>
            </w:pPr>
            <w:r>
              <w:rPr>
                <w:rFonts w:hint="eastAsia"/>
                <w:b/>
                <w:bCs/>
                <w:color w:val="000000"/>
                <w:kern w:val="0"/>
                <w:sz w:val="22"/>
                <w:szCs w:val="22"/>
              </w:rPr>
              <w:t>3</w:t>
            </w:r>
          </w:p>
        </w:tc>
      </w:tr>
      <w:tr w14:paraId="46FA92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00AE91DD">
            <w:pPr>
              <w:spacing w:line="0" w:lineRule="atLeast"/>
              <w:jc w:val="center"/>
              <w:rPr>
                <w:color w:val="000000"/>
                <w:kern w:val="0"/>
                <w:sz w:val="22"/>
                <w:szCs w:val="22"/>
              </w:rPr>
            </w:pPr>
          </w:p>
        </w:tc>
        <w:tc>
          <w:tcPr>
            <w:tcW w:w="764" w:type="dxa"/>
            <w:vMerge w:val="restart"/>
            <w:shd w:val="clear" w:color="auto" w:fill="FFFFFF"/>
            <w:vAlign w:val="center"/>
          </w:tcPr>
          <w:p w14:paraId="441E78FE">
            <w:pPr>
              <w:widowControl/>
              <w:spacing w:line="0" w:lineRule="atLeast"/>
              <w:jc w:val="center"/>
              <w:rPr>
                <w:color w:val="000000"/>
                <w:kern w:val="0"/>
                <w:sz w:val="22"/>
                <w:szCs w:val="22"/>
              </w:rPr>
            </w:pPr>
            <w:r>
              <w:rPr>
                <w:color w:val="000000"/>
                <w:kern w:val="0"/>
                <w:sz w:val="22"/>
                <w:szCs w:val="22"/>
              </w:rPr>
              <w:t>绩效目标　</w:t>
            </w:r>
          </w:p>
        </w:tc>
        <w:tc>
          <w:tcPr>
            <w:tcW w:w="873" w:type="dxa"/>
            <w:shd w:val="clear" w:color="auto" w:fill="FFFFFF"/>
            <w:vAlign w:val="center"/>
          </w:tcPr>
          <w:p w14:paraId="60147A78">
            <w:pPr>
              <w:widowControl/>
              <w:spacing w:line="0" w:lineRule="atLeast"/>
              <w:jc w:val="center"/>
              <w:rPr>
                <w:color w:val="000000"/>
                <w:kern w:val="0"/>
                <w:sz w:val="22"/>
                <w:szCs w:val="22"/>
              </w:rPr>
            </w:pPr>
            <w:r>
              <w:rPr>
                <w:color w:val="000000"/>
                <w:kern w:val="0"/>
                <w:sz w:val="22"/>
                <w:szCs w:val="22"/>
              </w:rPr>
              <w:t>绩效目标</w:t>
            </w:r>
          </w:p>
          <w:p w14:paraId="0CAB3CDE">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14:paraId="204ABA03">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6DCEC2C1">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14:paraId="301252C3">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1300" w:type="dxa"/>
            <w:shd w:val="clear" w:color="000000" w:fill="FFFFFF"/>
            <w:vAlign w:val="center"/>
          </w:tcPr>
          <w:p w14:paraId="49FDC500">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14:paraId="277B79C0">
            <w:pPr>
              <w:widowControl/>
              <w:spacing w:line="0" w:lineRule="atLeast"/>
              <w:jc w:val="center"/>
              <w:rPr>
                <w:b/>
                <w:bCs/>
                <w:color w:val="000000"/>
                <w:kern w:val="0"/>
                <w:sz w:val="22"/>
                <w:szCs w:val="22"/>
              </w:rPr>
            </w:pPr>
            <w:r>
              <w:rPr>
                <w:rFonts w:hint="eastAsia"/>
                <w:b/>
                <w:bCs/>
                <w:color w:val="000000"/>
                <w:kern w:val="0"/>
                <w:sz w:val="22"/>
                <w:szCs w:val="22"/>
              </w:rPr>
              <w:t>3</w:t>
            </w:r>
          </w:p>
        </w:tc>
      </w:tr>
      <w:tr w14:paraId="4E3E62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14:paraId="15C17AED">
            <w:pPr>
              <w:widowControl/>
              <w:spacing w:line="0" w:lineRule="atLeast"/>
              <w:jc w:val="center"/>
              <w:rPr>
                <w:color w:val="000000"/>
                <w:kern w:val="0"/>
                <w:sz w:val="22"/>
                <w:szCs w:val="22"/>
              </w:rPr>
            </w:pPr>
          </w:p>
        </w:tc>
        <w:tc>
          <w:tcPr>
            <w:tcW w:w="764" w:type="dxa"/>
            <w:vMerge w:val="continue"/>
            <w:shd w:val="clear" w:color="auto" w:fill="FFFFFF"/>
            <w:vAlign w:val="center"/>
          </w:tcPr>
          <w:p w14:paraId="3A95A227">
            <w:pPr>
              <w:widowControl/>
              <w:spacing w:line="0" w:lineRule="atLeast"/>
              <w:jc w:val="center"/>
              <w:rPr>
                <w:color w:val="000000"/>
                <w:kern w:val="0"/>
                <w:sz w:val="22"/>
                <w:szCs w:val="22"/>
              </w:rPr>
            </w:pPr>
          </w:p>
        </w:tc>
        <w:tc>
          <w:tcPr>
            <w:tcW w:w="873" w:type="dxa"/>
            <w:shd w:val="clear" w:color="auto" w:fill="FFFFFF"/>
            <w:vAlign w:val="center"/>
          </w:tcPr>
          <w:p w14:paraId="197A73A8">
            <w:pPr>
              <w:widowControl/>
              <w:spacing w:line="0" w:lineRule="atLeast"/>
              <w:jc w:val="center"/>
              <w:rPr>
                <w:color w:val="000000"/>
                <w:kern w:val="0"/>
                <w:sz w:val="22"/>
                <w:szCs w:val="22"/>
              </w:rPr>
            </w:pPr>
            <w:r>
              <w:rPr>
                <w:color w:val="000000"/>
                <w:kern w:val="0"/>
                <w:sz w:val="22"/>
                <w:szCs w:val="22"/>
              </w:rPr>
              <w:t>绩效指标</w:t>
            </w:r>
          </w:p>
          <w:p w14:paraId="09B3C46F">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14:paraId="508385FA">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60B7B5BD">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300" w:type="dxa"/>
            <w:shd w:val="clear" w:color="000000" w:fill="FFFFFF"/>
            <w:vAlign w:val="center"/>
          </w:tcPr>
          <w:p w14:paraId="02C3FF69">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14:paraId="342A1A44">
            <w:pPr>
              <w:widowControl/>
              <w:spacing w:line="0" w:lineRule="atLeast"/>
              <w:jc w:val="center"/>
              <w:rPr>
                <w:b/>
                <w:bCs/>
                <w:color w:val="000000"/>
                <w:kern w:val="0"/>
                <w:sz w:val="22"/>
                <w:szCs w:val="22"/>
              </w:rPr>
            </w:pPr>
            <w:r>
              <w:rPr>
                <w:rFonts w:hint="eastAsia"/>
                <w:b/>
                <w:bCs/>
                <w:color w:val="000000"/>
                <w:kern w:val="0"/>
                <w:sz w:val="22"/>
                <w:szCs w:val="22"/>
              </w:rPr>
              <w:t>3</w:t>
            </w:r>
          </w:p>
        </w:tc>
      </w:tr>
      <w:tr w14:paraId="55337D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14:paraId="4A4BD690">
            <w:pPr>
              <w:spacing w:line="0" w:lineRule="atLeast"/>
              <w:jc w:val="center"/>
              <w:rPr>
                <w:color w:val="000000"/>
                <w:kern w:val="0"/>
                <w:sz w:val="22"/>
                <w:szCs w:val="22"/>
              </w:rPr>
            </w:pPr>
          </w:p>
        </w:tc>
        <w:tc>
          <w:tcPr>
            <w:tcW w:w="764" w:type="dxa"/>
            <w:vMerge w:val="restart"/>
            <w:shd w:val="clear" w:color="auto" w:fill="FFFFFF"/>
            <w:vAlign w:val="center"/>
          </w:tcPr>
          <w:p w14:paraId="5A733DAF">
            <w:pPr>
              <w:widowControl/>
              <w:spacing w:line="0" w:lineRule="atLeast"/>
              <w:jc w:val="center"/>
              <w:rPr>
                <w:color w:val="000000"/>
                <w:kern w:val="0"/>
                <w:sz w:val="22"/>
                <w:szCs w:val="22"/>
              </w:rPr>
            </w:pPr>
            <w:r>
              <w:rPr>
                <w:color w:val="000000"/>
                <w:kern w:val="0"/>
                <w:sz w:val="22"/>
                <w:szCs w:val="22"/>
              </w:rPr>
              <w:t>资金投入</w:t>
            </w:r>
          </w:p>
          <w:p w14:paraId="12124795">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14:paraId="6250CCE9">
            <w:pPr>
              <w:widowControl/>
              <w:spacing w:line="0" w:lineRule="atLeast"/>
              <w:jc w:val="center"/>
              <w:rPr>
                <w:color w:val="000000"/>
                <w:kern w:val="0"/>
                <w:sz w:val="22"/>
                <w:szCs w:val="22"/>
              </w:rPr>
            </w:pPr>
            <w:r>
              <w:rPr>
                <w:color w:val="000000"/>
                <w:kern w:val="0"/>
                <w:sz w:val="22"/>
                <w:szCs w:val="22"/>
              </w:rPr>
              <w:t>预算编制</w:t>
            </w:r>
          </w:p>
          <w:p w14:paraId="50D1DFCF">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14:paraId="1E83E7E3">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4563A138">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300" w:type="dxa"/>
            <w:shd w:val="clear" w:color="auto" w:fill="FFFFFF"/>
            <w:vAlign w:val="center"/>
          </w:tcPr>
          <w:p w14:paraId="1A2CAC33">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14:paraId="3ED6E59D">
            <w:pPr>
              <w:widowControl/>
              <w:spacing w:line="0" w:lineRule="atLeast"/>
              <w:jc w:val="center"/>
              <w:rPr>
                <w:b/>
                <w:bCs/>
                <w:color w:val="000000"/>
                <w:kern w:val="0"/>
                <w:sz w:val="22"/>
                <w:szCs w:val="22"/>
              </w:rPr>
            </w:pPr>
            <w:r>
              <w:rPr>
                <w:rFonts w:hint="eastAsia"/>
                <w:b/>
                <w:bCs/>
                <w:color w:val="000000"/>
                <w:kern w:val="0"/>
                <w:sz w:val="22"/>
                <w:szCs w:val="22"/>
              </w:rPr>
              <w:t>4</w:t>
            </w:r>
          </w:p>
        </w:tc>
      </w:tr>
      <w:tr w14:paraId="21B7E6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14:paraId="3367F2F7">
            <w:pPr>
              <w:widowControl/>
              <w:spacing w:line="0" w:lineRule="atLeast"/>
              <w:jc w:val="center"/>
              <w:rPr>
                <w:color w:val="000000"/>
                <w:kern w:val="0"/>
                <w:sz w:val="22"/>
                <w:szCs w:val="22"/>
              </w:rPr>
            </w:pPr>
          </w:p>
        </w:tc>
        <w:tc>
          <w:tcPr>
            <w:tcW w:w="764" w:type="dxa"/>
            <w:vMerge w:val="continue"/>
            <w:shd w:val="clear" w:color="auto" w:fill="FFFFFF"/>
            <w:vAlign w:val="center"/>
          </w:tcPr>
          <w:p w14:paraId="35E0C745">
            <w:pPr>
              <w:widowControl/>
              <w:spacing w:line="0" w:lineRule="atLeast"/>
              <w:jc w:val="center"/>
              <w:rPr>
                <w:color w:val="000000"/>
                <w:kern w:val="0"/>
                <w:sz w:val="22"/>
                <w:szCs w:val="22"/>
              </w:rPr>
            </w:pPr>
          </w:p>
        </w:tc>
        <w:tc>
          <w:tcPr>
            <w:tcW w:w="873" w:type="dxa"/>
            <w:shd w:val="clear" w:color="auto" w:fill="FFFFFF"/>
            <w:vAlign w:val="center"/>
          </w:tcPr>
          <w:p w14:paraId="0B497E3B">
            <w:pPr>
              <w:widowControl/>
              <w:spacing w:line="0" w:lineRule="atLeast"/>
              <w:jc w:val="center"/>
              <w:rPr>
                <w:color w:val="000000"/>
                <w:kern w:val="0"/>
                <w:sz w:val="22"/>
                <w:szCs w:val="22"/>
              </w:rPr>
            </w:pPr>
            <w:r>
              <w:rPr>
                <w:color w:val="000000"/>
                <w:kern w:val="0"/>
                <w:sz w:val="22"/>
                <w:szCs w:val="22"/>
              </w:rPr>
              <w:t>资金分配</w:t>
            </w:r>
          </w:p>
          <w:p w14:paraId="1D7C60F2">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14:paraId="479FF0A4">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5DDF9D6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300" w:type="dxa"/>
            <w:shd w:val="clear" w:color="auto" w:fill="FFFFFF"/>
            <w:vAlign w:val="center"/>
          </w:tcPr>
          <w:p w14:paraId="66A6E38A">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14:paraId="2B7424E3">
            <w:pPr>
              <w:widowControl/>
              <w:spacing w:line="0" w:lineRule="atLeast"/>
              <w:jc w:val="center"/>
              <w:rPr>
                <w:b/>
                <w:bCs/>
                <w:color w:val="000000"/>
                <w:kern w:val="0"/>
                <w:sz w:val="22"/>
                <w:szCs w:val="22"/>
              </w:rPr>
            </w:pPr>
            <w:r>
              <w:rPr>
                <w:rFonts w:hint="eastAsia"/>
                <w:b/>
                <w:bCs/>
                <w:color w:val="000000"/>
                <w:kern w:val="0"/>
                <w:sz w:val="22"/>
                <w:szCs w:val="22"/>
              </w:rPr>
              <w:t>4</w:t>
            </w:r>
          </w:p>
        </w:tc>
      </w:tr>
      <w:tr w14:paraId="1B0481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14:paraId="2719E00E">
            <w:pPr>
              <w:spacing w:line="0" w:lineRule="atLeast"/>
              <w:jc w:val="center"/>
              <w:rPr>
                <w:color w:val="000000"/>
                <w:kern w:val="0"/>
                <w:sz w:val="22"/>
                <w:szCs w:val="22"/>
              </w:rPr>
            </w:pPr>
          </w:p>
          <w:p w14:paraId="26B54511">
            <w:pPr>
              <w:spacing w:line="0" w:lineRule="atLeast"/>
              <w:jc w:val="center"/>
              <w:rPr>
                <w:color w:val="000000"/>
                <w:kern w:val="0"/>
                <w:sz w:val="22"/>
                <w:szCs w:val="22"/>
              </w:rPr>
            </w:pPr>
          </w:p>
          <w:p w14:paraId="132757B3">
            <w:pPr>
              <w:spacing w:line="0" w:lineRule="atLeast"/>
              <w:jc w:val="center"/>
              <w:rPr>
                <w:color w:val="000000"/>
                <w:kern w:val="0"/>
                <w:sz w:val="22"/>
                <w:szCs w:val="22"/>
              </w:rPr>
            </w:pPr>
          </w:p>
          <w:p w14:paraId="675C1C2E">
            <w:pPr>
              <w:spacing w:line="0" w:lineRule="atLeast"/>
              <w:jc w:val="center"/>
              <w:rPr>
                <w:color w:val="000000"/>
                <w:kern w:val="0"/>
                <w:sz w:val="22"/>
                <w:szCs w:val="22"/>
              </w:rPr>
            </w:pPr>
          </w:p>
          <w:p w14:paraId="53B20CB7">
            <w:pPr>
              <w:spacing w:line="0" w:lineRule="atLeast"/>
              <w:jc w:val="center"/>
              <w:rPr>
                <w:color w:val="000000"/>
                <w:kern w:val="0"/>
                <w:sz w:val="22"/>
                <w:szCs w:val="22"/>
              </w:rPr>
            </w:pPr>
          </w:p>
          <w:p w14:paraId="709EB9EB">
            <w:pPr>
              <w:spacing w:line="0" w:lineRule="atLeast"/>
              <w:jc w:val="center"/>
              <w:rPr>
                <w:color w:val="000000"/>
                <w:kern w:val="0"/>
                <w:sz w:val="22"/>
                <w:szCs w:val="22"/>
              </w:rPr>
            </w:pPr>
          </w:p>
          <w:p w14:paraId="144F6CBA">
            <w:pPr>
              <w:spacing w:line="0" w:lineRule="atLeast"/>
              <w:jc w:val="center"/>
              <w:rPr>
                <w:color w:val="000000"/>
                <w:kern w:val="0"/>
                <w:sz w:val="22"/>
                <w:szCs w:val="22"/>
              </w:rPr>
            </w:pPr>
          </w:p>
          <w:p w14:paraId="460AD4E4">
            <w:pPr>
              <w:spacing w:line="0" w:lineRule="atLeast"/>
              <w:jc w:val="center"/>
              <w:rPr>
                <w:color w:val="000000"/>
                <w:kern w:val="0"/>
                <w:sz w:val="22"/>
                <w:szCs w:val="22"/>
              </w:rPr>
            </w:pPr>
          </w:p>
          <w:p w14:paraId="289606F2">
            <w:pPr>
              <w:spacing w:line="0" w:lineRule="atLeast"/>
              <w:jc w:val="center"/>
              <w:rPr>
                <w:color w:val="000000"/>
                <w:kern w:val="0"/>
                <w:sz w:val="22"/>
                <w:szCs w:val="22"/>
              </w:rPr>
            </w:pPr>
          </w:p>
          <w:p w14:paraId="1E953CC5">
            <w:pPr>
              <w:spacing w:line="0" w:lineRule="atLeast"/>
              <w:jc w:val="center"/>
              <w:rPr>
                <w:color w:val="000000"/>
                <w:kern w:val="0"/>
                <w:sz w:val="22"/>
                <w:szCs w:val="22"/>
              </w:rPr>
            </w:pPr>
          </w:p>
          <w:p w14:paraId="5E4916A6">
            <w:pPr>
              <w:spacing w:line="0" w:lineRule="atLeast"/>
              <w:jc w:val="center"/>
              <w:rPr>
                <w:color w:val="000000"/>
                <w:kern w:val="0"/>
                <w:sz w:val="22"/>
                <w:szCs w:val="22"/>
              </w:rPr>
            </w:pPr>
          </w:p>
          <w:p w14:paraId="34F6CA47">
            <w:pPr>
              <w:spacing w:line="0" w:lineRule="atLeast"/>
              <w:jc w:val="center"/>
              <w:rPr>
                <w:color w:val="000000"/>
                <w:kern w:val="0"/>
                <w:sz w:val="22"/>
                <w:szCs w:val="22"/>
              </w:rPr>
            </w:pPr>
          </w:p>
          <w:p w14:paraId="7ABAD5D0">
            <w:pPr>
              <w:spacing w:line="0" w:lineRule="atLeast"/>
              <w:jc w:val="center"/>
              <w:rPr>
                <w:color w:val="000000"/>
                <w:kern w:val="0"/>
                <w:sz w:val="22"/>
                <w:szCs w:val="22"/>
              </w:rPr>
            </w:pPr>
          </w:p>
          <w:p w14:paraId="6CA98C76">
            <w:pPr>
              <w:spacing w:line="0" w:lineRule="atLeast"/>
              <w:jc w:val="center"/>
              <w:rPr>
                <w:color w:val="000000"/>
                <w:kern w:val="0"/>
                <w:sz w:val="22"/>
                <w:szCs w:val="22"/>
              </w:rPr>
            </w:pPr>
          </w:p>
          <w:p w14:paraId="3F7E8D78">
            <w:pPr>
              <w:spacing w:line="0" w:lineRule="atLeast"/>
              <w:jc w:val="center"/>
              <w:rPr>
                <w:color w:val="000000"/>
                <w:kern w:val="0"/>
                <w:sz w:val="22"/>
                <w:szCs w:val="22"/>
              </w:rPr>
            </w:pPr>
          </w:p>
          <w:p w14:paraId="7505FF25">
            <w:pPr>
              <w:spacing w:line="0" w:lineRule="atLeast"/>
              <w:jc w:val="center"/>
              <w:rPr>
                <w:color w:val="000000"/>
                <w:kern w:val="0"/>
                <w:sz w:val="22"/>
                <w:szCs w:val="22"/>
              </w:rPr>
            </w:pPr>
            <w:r>
              <w:rPr>
                <w:color w:val="000000"/>
                <w:kern w:val="0"/>
                <w:sz w:val="22"/>
                <w:szCs w:val="22"/>
              </w:rPr>
              <w:t>过程</w:t>
            </w:r>
          </w:p>
          <w:p w14:paraId="021A2462">
            <w:pPr>
              <w:widowControl/>
              <w:spacing w:line="0" w:lineRule="atLeast"/>
              <w:jc w:val="center"/>
              <w:rPr>
                <w:color w:val="000000"/>
                <w:kern w:val="0"/>
                <w:sz w:val="22"/>
                <w:szCs w:val="22"/>
              </w:rPr>
            </w:pPr>
            <w:r>
              <w:rPr>
                <w:color w:val="000000"/>
                <w:kern w:val="0"/>
                <w:sz w:val="22"/>
                <w:szCs w:val="22"/>
              </w:rPr>
              <w:t>　　</w:t>
            </w:r>
          </w:p>
        </w:tc>
        <w:tc>
          <w:tcPr>
            <w:tcW w:w="764" w:type="dxa"/>
            <w:vMerge w:val="restart"/>
            <w:shd w:val="clear" w:color="auto" w:fill="FFFFFF"/>
            <w:vAlign w:val="center"/>
          </w:tcPr>
          <w:p w14:paraId="3FF2737B">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14:paraId="53451226">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14:paraId="1BD60BD5">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7D909D8D">
            <w:pPr>
              <w:widowControl/>
              <w:spacing w:line="0" w:lineRule="atLeast"/>
              <w:rPr>
                <w:color w:val="000000"/>
                <w:kern w:val="0"/>
                <w:sz w:val="22"/>
                <w:szCs w:val="22"/>
              </w:rPr>
            </w:pPr>
            <w:r>
              <w:rPr>
                <w:color w:val="000000"/>
                <w:kern w:val="0"/>
                <w:sz w:val="22"/>
                <w:szCs w:val="22"/>
              </w:rPr>
              <w:t>资金到位率=（实际到位资金/预算资金）×100%。</w:t>
            </w:r>
          </w:p>
          <w:p w14:paraId="2FF92CC0">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0536856A">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14:paraId="17A8E7D0">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14:paraId="45D1C1CC">
            <w:pPr>
              <w:widowControl/>
              <w:spacing w:line="0" w:lineRule="atLeast"/>
              <w:jc w:val="center"/>
              <w:rPr>
                <w:b/>
                <w:bCs/>
                <w:color w:val="000000"/>
                <w:kern w:val="0"/>
                <w:sz w:val="22"/>
                <w:szCs w:val="22"/>
              </w:rPr>
            </w:pPr>
            <w:r>
              <w:rPr>
                <w:rFonts w:hint="eastAsia"/>
                <w:b/>
                <w:bCs/>
                <w:color w:val="000000"/>
                <w:kern w:val="0"/>
                <w:sz w:val="22"/>
                <w:szCs w:val="22"/>
              </w:rPr>
              <w:t>4</w:t>
            </w:r>
          </w:p>
        </w:tc>
      </w:tr>
      <w:tr w14:paraId="5D05CF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14:paraId="16EA10C1">
            <w:pPr>
              <w:spacing w:line="0" w:lineRule="atLeast"/>
              <w:jc w:val="center"/>
              <w:rPr>
                <w:color w:val="000000"/>
                <w:kern w:val="0"/>
                <w:sz w:val="22"/>
                <w:szCs w:val="22"/>
              </w:rPr>
            </w:pPr>
          </w:p>
        </w:tc>
        <w:tc>
          <w:tcPr>
            <w:tcW w:w="764" w:type="dxa"/>
            <w:vMerge w:val="continue"/>
            <w:shd w:val="clear" w:color="auto" w:fill="FFFFFF"/>
            <w:vAlign w:val="center"/>
          </w:tcPr>
          <w:p w14:paraId="2C91877E">
            <w:pPr>
              <w:spacing w:line="0" w:lineRule="atLeast"/>
              <w:jc w:val="center"/>
              <w:rPr>
                <w:color w:val="000000"/>
                <w:kern w:val="0"/>
                <w:sz w:val="22"/>
                <w:szCs w:val="22"/>
              </w:rPr>
            </w:pPr>
          </w:p>
        </w:tc>
        <w:tc>
          <w:tcPr>
            <w:tcW w:w="873" w:type="dxa"/>
            <w:shd w:val="clear" w:color="auto" w:fill="FFFFFF"/>
            <w:vAlign w:val="center"/>
          </w:tcPr>
          <w:p w14:paraId="6607BC45">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14:paraId="51CE988E">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98" w:type="dxa"/>
            <w:shd w:val="clear" w:color="auto" w:fill="FFFFFF"/>
            <w:vAlign w:val="center"/>
          </w:tcPr>
          <w:p w14:paraId="7DBF523A">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300" w:type="dxa"/>
            <w:shd w:val="clear" w:color="auto" w:fill="FFFFFF"/>
            <w:vAlign w:val="center"/>
          </w:tcPr>
          <w:p w14:paraId="2FC288B0">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14:paraId="5502871A">
            <w:pPr>
              <w:widowControl/>
              <w:spacing w:line="0" w:lineRule="atLeast"/>
              <w:jc w:val="center"/>
              <w:rPr>
                <w:b/>
                <w:bCs/>
                <w:color w:val="000000"/>
                <w:kern w:val="0"/>
                <w:sz w:val="22"/>
                <w:szCs w:val="22"/>
              </w:rPr>
            </w:pPr>
            <w:r>
              <w:rPr>
                <w:rFonts w:hint="eastAsia"/>
                <w:b/>
                <w:bCs/>
                <w:color w:val="000000"/>
                <w:kern w:val="0"/>
                <w:sz w:val="22"/>
                <w:szCs w:val="22"/>
              </w:rPr>
              <w:t>3.7</w:t>
            </w:r>
          </w:p>
        </w:tc>
      </w:tr>
      <w:tr w14:paraId="0607C4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42E33C0B">
            <w:pPr>
              <w:spacing w:line="0" w:lineRule="atLeast"/>
              <w:jc w:val="center"/>
              <w:rPr>
                <w:color w:val="000000"/>
                <w:kern w:val="0"/>
                <w:sz w:val="22"/>
                <w:szCs w:val="22"/>
              </w:rPr>
            </w:pPr>
          </w:p>
        </w:tc>
        <w:tc>
          <w:tcPr>
            <w:tcW w:w="764" w:type="dxa"/>
            <w:shd w:val="clear" w:color="auto" w:fill="FFFFFF"/>
            <w:vAlign w:val="center"/>
          </w:tcPr>
          <w:p w14:paraId="2283544E">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14:paraId="2345F3CD">
            <w:pPr>
              <w:widowControl/>
              <w:spacing w:line="0" w:lineRule="atLeast"/>
              <w:jc w:val="center"/>
              <w:rPr>
                <w:color w:val="000000"/>
                <w:kern w:val="0"/>
                <w:sz w:val="22"/>
                <w:szCs w:val="22"/>
              </w:rPr>
            </w:pPr>
            <w:r>
              <w:rPr>
                <w:color w:val="000000"/>
                <w:kern w:val="0"/>
                <w:sz w:val="22"/>
                <w:szCs w:val="22"/>
              </w:rPr>
              <w:t>资金使用</w:t>
            </w:r>
          </w:p>
          <w:p w14:paraId="4DA6D38B">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14:paraId="140E4DB2">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03C7631C">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300" w:type="dxa"/>
            <w:shd w:val="clear" w:color="000000" w:fill="FFFFFF"/>
            <w:vAlign w:val="center"/>
          </w:tcPr>
          <w:p w14:paraId="1331DA8D">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14:paraId="7A9A2198">
            <w:pPr>
              <w:widowControl/>
              <w:spacing w:line="0" w:lineRule="atLeast"/>
              <w:jc w:val="center"/>
              <w:rPr>
                <w:b/>
                <w:bCs/>
                <w:color w:val="000000"/>
                <w:kern w:val="0"/>
                <w:sz w:val="22"/>
                <w:szCs w:val="22"/>
              </w:rPr>
            </w:pPr>
            <w:r>
              <w:rPr>
                <w:rFonts w:hint="eastAsia"/>
                <w:b/>
                <w:bCs/>
                <w:color w:val="000000"/>
                <w:kern w:val="0"/>
                <w:sz w:val="22"/>
                <w:szCs w:val="22"/>
              </w:rPr>
              <w:t>4</w:t>
            </w:r>
          </w:p>
        </w:tc>
      </w:tr>
      <w:tr w14:paraId="6093B5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14:paraId="7301753D">
            <w:pPr>
              <w:spacing w:line="0" w:lineRule="atLeast"/>
              <w:jc w:val="center"/>
              <w:rPr>
                <w:color w:val="000000"/>
                <w:kern w:val="0"/>
                <w:sz w:val="22"/>
                <w:szCs w:val="22"/>
              </w:rPr>
            </w:pPr>
          </w:p>
        </w:tc>
        <w:tc>
          <w:tcPr>
            <w:tcW w:w="764" w:type="dxa"/>
            <w:vMerge w:val="restart"/>
            <w:shd w:val="clear" w:color="auto" w:fill="FFFFFF"/>
            <w:vAlign w:val="center"/>
          </w:tcPr>
          <w:p w14:paraId="19FB8DC3">
            <w:pPr>
              <w:widowControl/>
              <w:spacing w:line="0" w:lineRule="atLeast"/>
              <w:jc w:val="center"/>
              <w:rPr>
                <w:color w:val="000000"/>
                <w:kern w:val="0"/>
                <w:sz w:val="22"/>
                <w:szCs w:val="22"/>
              </w:rPr>
            </w:pPr>
            <w:r>
              <w:rPr>
                <w:color w:val="000000"/>
                <w:kern w:val="0"/>
                <w:sz w:val="22"/>
                <w:szCs w:val="22"/>
              </w:rPr>
              <w:t>组织实施</w:t>
            </w:r>
          </w:p>
          <w:p w14:paraId="627A3B31">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14:paraId="063DC057">
            <w:pPr>
              <w:widowControl/>
              <w:spacing w:line="0" w:lineRule="atLeast"/>
              <w:jc w:val="center"/>
              <w:rPr>
                <w:color w:val="000000"/>
                <w:kern w:val="0"/>
                <w:sz w:val="22"/>
                <w:szCs w:val="22"/>
              </w:rPr>
            </w:pPr>
            <w:r>
              <w:rPr>
                <w:color w:val="000000"/>
                <w:kern w:val="0"/>
                <w:sz w:val="22"/>
                <w:szCs w:val="22"/>
              </w:rPr>
              <w:t>管理制度</w:t>
            </w:r>
          </w:p>
          <w:p w14:paraId="0A086E8C">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14:paraId="0085B965">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25260493">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300" w:type="dxa"/>
            <w:shd w:val="clear" w:color="000000" w:fill="FFFFFF"/>
            <w:vAlign w:val="center"/>
          </w:tcPr>
          <w:p w14:paraId="3E8A4DAD">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14:paraId="5AD2B5C2">
            <w:pPr>
              <w:widowControl/>
              <w:spacing w:line="0" w:lineRule="atLeast"/>
              <w:jc w:val="center"/>
              <w:rPr>
                <w:b/>
                <w:bCs/>
                <w:color w:val="000000"/>
                <w:kern w:val="0"/>
                <w:sz w:val="22"/>
                <w:szCs w:val="22"/>
              </w:rPr>
            </w:pPr>
            <w:r>
              <w:rPr>
                <w:rFonts w:hint="eastAsia"/>
                <w:b/>
                <w:bCs/>
                <w:color w:val="000000"/>
                <w:kern w:val="0"/>
                <w:sz w:val="22"/>
                <w:szCs w:val="22"/>
              </w:rPr>
              <w:t>4</w:t>
            </w:r>
          </w:p>
        </w:tc>
      </w:tr>
      <w:tr w14:paraId="516265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14:paraId="1DB19F7C">
            <w:pPr>
              <w:widowControl/>
              <w:spacing w:line="0" w:lineRule="atLeast"/>
              <w:jc w:val="center"/>
              <w:rPr>
                <w:color w:val="000000"/>
                <w:kern w:val="0"/>
                <w:sz w:val="22"/>
                <w:szCs w:val="22"/>
              </w:rPr>
            </w:pPr>
          </w:p>
        </w:tc>
        <w:tc>
          <w:tcPr>
            <w:tcW w:w="764" w:type="dxa"/>
            <w:vMerge w:val="continue"/>
            <w:shd w:val="clear" w:color="auto" w:fill="FFFFFF"/>
            <w:vAlign w:val="center"/>
          </w:tcPr>
          <w:p w14:paraId="42402C1E">
            <w:pPr>
              <w:widowControl/>
              <w:spacing w:line="0" w:lineRule="atLeast"/>
              <w:jc w:val="center"/>
              <w:rPr>
                <w:color w:val="000000"/>
                <w:kern w:val="0"/>
                <w:sz w:val="22"/>
                <w:szCs w:val="22"/>
              </w:rPr>
            </w:pPr>
          </w:p>
        </w:tc>
        <w:tc>
          <w:tcPr>
            <w:tcW w:w="873" w:type="dxa"/>
            <w:shd w:val="clear" w:color="auto" w:fill="FFFFFF"/>
            <w:vAlign w:val="center"/>
          </w:tcPr>
          <w:p w14:paraId="32E94D19">
            <w:pPr>
              <w:widowControl/>
              <w:spacing w:line="0" w:lineRule="atLeast"/>
              <w:jc w:val="center"/>
              <w:rPr>
                <w:color w:val="000000"/>
                <w:kern w:val="0"/>
                <w:sz w:val="22"/>
                <w:szCs w:val="22"/>
              </w:rPr>
            </w:pPr>
            <w:r>
              <w:rPr>
                <w:color w:val="000000"/>
                <w:kern w:val="0"/>
                <w:sz w:val="22"/>
                <w:szCs w:val="22"/>
              </w:rPr>
              <w:t>制度执行</w:t>
            </w:r>
          </w:p>
          <w:p w14:paraId="3B3F7586">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14:paraId="0C8C6D6D">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98" w:type="dxa"/>
            <w:shd w:val="clear" w:color="000000" w:fill="FFFFFF"/>
            <w:vAlign w:val="center"/>
          </w:tcPr>
          <w:p w14:paraId="024E969D">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300" w:type="dxa"/>
            <w:shd w:val="clear" w:color="000000" w:fill="FFFFFF"/>
            <w:vAlign w:val="center"/>
          </w:tcPr>
          <w:p w14:paraId="1BF4B85D">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14:paraId="16518B87">
            <w:pPr>
              <w:widowControl/>
              <w:spacing w:line="0" w:lineRule="atLeast"/>
              <w:jc w:val="center"/>
              <w:rPr>
                <w:b/>
                <w:bCs/>
                <w:color w:val="000000"/>
                <w:kern w:val="0"/>
                <w:sz w:val="22"/>
                <w:szCs w:val="22"/>
              </w:rPr>
            </w:pPr>
            <w:r>
              <w:rPr>
                <w:rFonts w:hint="eastAsia"/>
                <w:b/>
                <w:bCs/>
                <w:color w:val="000000"/>
                <w:kern w:val="0"/>
                <w:sz w:val="22"/>
                <w:szCs w:val="22"/>
              </w:rPr>
              <w:t>4</w:t>
            </w:r>
          </w:p>
        </w:tc>
      </w:tr>
      <w:tr w14:paraId="29369D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14:paraId="46EE060D">
            <w:pPr>
              <w:widowControl/>
              <w:spacing w:line="0" w:lineRule="atLeast"/>
              <w:jc w:val="center"/>
              <w:rPr>
                <w:color w:val="000000"/>
                <w:kern w:val="0"/>
                <w:sz w:val="22"/>
                <w:szCs w:val="22"/>
              </w:rPr>
            </w:pPr>
            <w:r>
              <w:rPr>
                <w:color w:val="000000"/>
                <w:kern w:val="0"/>
                <w:sz w:val="22"/>
                <w:szCs w:val="22"/>
              </w:rPr>
              <w:t>产出</w:t>
            </w:r>
          </w:p>
        </w:tc>
        <w:tc>
          <w:tcPr>
            <w:tcW w:w="764" w:type="dxa"/>
            <w:shd w:val="clear" w:color="auto" w:fill="FFFFFF"/>
            <w:vAlign w:val="center"/>
          </w:tcPr>
          <w:p w14:paraId="346AF458">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14:paraId="062CA2B9">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14:paraId="796B4302">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22F69F96">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6A54FAB5">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5922DAF4">
            <w:pPr>
              <w:widowControl/>
              <w:spacing w:line="0" w:lineRule="atLeast"/>
              <w:jc w:val="center"/>
              <w:rPr>
                <w:b/>
                <w:bCs/>
                <w:color w:val="000000"/>
                <w:kern w:val="0"/>
                <w:sz w:val="22"/>
                <w:szCs w:val="22"/>
              </w:rPr>
            </w:pPr>
            <w:r>
              <w:rPr>
                <w:rFonts w:hint="eastAsia"/>
                <w:b/>
                <w:bCs/>
                <w:color w:val="000000"/>
                <w:kern w:val="0"/>
                <w:sz w:val="22"/>
                <w:szCs w:val="22"/>
              </w:rPr>
              <w:t>10</w:t>
            </w:r>
          </w:p>
        </w:tc>
      </w:tr>
      <w:tr w14:paraId="61885A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14:paraId="2F406ACE">
            <w:pPr>
              <w:widowControl/>
              <w:spacing w:line="0" w:lineRule="atLeast"/>
              <w:jc w:val="center"/>
              <w:rPr>
                <w:color w:val="000000"/>
                <w:kern w:val="0"/>
                <w:sz w:val="22"/>
                <w:szCs w:val="22"/>
              </w:rPr>
            </w:pPr>
          </w:p>
        </w:tc>
        <w:tc>
          <w:tcPr>
            <w:tcW w:w="764" w:type="dxa"/>
            <w:shd w:val="clear" w:color="auto" w:fill="FFFFFF"/>
            <w:vAlign w:val="center"/>
          </w:tcPr>
          <w:p w14:paraId="554E2F23">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14:paraId="33732470">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14:paraId="6349A48B">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1B3A49C1">
            <w:pPr>
              <w:widowControl/>
              <w:spacing w:line="0" w:lineRule="atLeast"/>
              <w:rPr>
                <w:color w:val="000000"/>
                <w:kern w:val="0"/>
                <w:sz w:val="22"/>
                <w:szCs w:val="22"/>
              </w:rPr>
            </w:pPr>
            <w:r>
              <w:rPr>
                <w:color w:val="000000"/>
                <w:kern w:val="0"/>
                <w:sz w:val="22"/>
                <w:szCs w:val="22"/>
              </w:rPr>
              <w:t>质量达标率=（质量达标产出数/实际产出数）×100%。</w:t>
            </w:r>
          </w:p>
          <w:p w14:paraId="262C421D">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0AF11394">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5D88BB5A">
            <w:pPr>
              <w:widowControl/>
              <w:spacing w:line="0" w:lineRule="atLeast"/>
              <w:jc w:val="center"/>
              <w:rPr>
                <w:b/>
                <w:bCs/>
                <w:color w:val="000000"/>
                <w:kern w:val="0"/>
                <w:sz w:val="22"/>
                <w:szCs w:val="22"/>
              </w:rPr>
            </w:pPr>
            <w:r>
              <w:rPr>
                <w:rFonts w:hint="eastAsia"/>
                <w:b/>
                <w:bCs/>
                <w:color w:val="000000"/>
                <w:kern w:val="0"/>
                <w:sz w:val="22"/>
                <w:szCs w:val="22"/>
              </w:rPr>
              <w:t>10</w:t>
            </w:r>
          </w:p>
        </w:tc>
      </w:tr>
      <w:tr w14:paraId="104989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14:paraId="4702665C">
            <w:pPr>
              <w:spacing w:line="0" w:lineRule="atLeast"/>
              <w:jc w:val="center"/>
              <w:rPr>
                <w:color w:val="000000"/>
                <w:kern w:val="0"/>
                <w:sz w:val="22"/>
                <w:szCs w:val="22"/>
              </w:rPr>
            </w:pPr>
          </w:p>
        </w:tc>
        <w:tc>
          <w:tcPr>
            <w:tcW w:w="764" w:type="dxa"/>
            <w:shd w:val="clear" w:color="auto" w:fill="FFFFFF"/>
            <w:vAlign w:val="center"/>
          </w:tcPr>
          <w:p w14:paraId="421DB1EF">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14:paraId="084007DA">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14:paraId="1B79EA7F">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98" w:type="dxa"/>
            <w:shd w:val="clear" w:color="000000" w:fill="FFFFFF"/>
            <w:vAlign w:val="center"/>
          </w:tcPr>
          <w:p w14:paraId="2F25DBBC">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300" w:type="dxa"/>
            <w:shd w:val="clear" w:color="000000" w:fill="FFFFFF"/>
            <w:vAlign w:val="center"/>
          </w:tcPr>
          <w:p w14:paraId="5A6B8DB7">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6B289E30">
            <w:pPr>
              <w:widowControl/>
              <w:spacing w:line="0" w:lineRule="atLeast"/>
              <w:jc w:val="center"/>
              <w:rPr>
                <w:b/>
                <w:bCs/>
                <w:color w:val="000000"/>
                <w:kern w:val="0"/>
                <w:sz w:val="22"/>
                <w:szCs w:val="22"/>
              </w:rPr>
            </w:pPr>
            <w:r>
              <w:rPr>
                <w:rFonts w:hint="eastAsia"/>
                <w:b/>
                <w:bCs/>
                <w:color w:val="000000"/>
                <w:kern w:val="0"/>
                <w:sz w:val="22"/>
                <w:szCs w:val="22"/>
              </w:rPr>
              <w:t>10</w:t>
            </w:r>
          </w:p>
        </w:tc>
      </w:tr>
      <w:tr w14:paraId="212C23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7020795B">
            <w:pPr>
              <w:widowControl/>
              <w:spacing w:line="0" w:lineRule="atLeast"/>
              <w:jc w:val="center"/>
              <w:rPr>
                <w:color w:val="000000"/>
                <w:kern w:val="0"/>
                <w:sz w:val="22"/>
                <w:szCs w:val="22"/>
              </w:rPr>
            </w:pPr>
          </w:p>
        </w:tc>
        <w:tc>
          <w:tcPr>
            <w:tcW w:w="764" w:type="dxa"/>
            <w:shd w:val="clear" w:color="auto" w:fill="FFFFFF"/>
            <w:vAlign w:val="center"/>
          </w:tcPr>
          <w:p w14:paraId="28DC9B7C">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14:paraId="3245AE9A">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14:paraId="36481985">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0707D96A">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14:paraId="532C5FAB">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685F0ABF">
            <w:pPr>
              <w:widowControl/>
              <w:spacing w:line="0" w:lineRule="atLeast"/>
              <w:jc w:val="center"/>
              <w:rPr>
                <w:b/>
                <w:bCs/>
                <w:color w:val="000000"/>
                <w:kern w:val="0"/>
                <w:sz w:val="22"/>
                <w:szCs w:val="22"/>
              </w:rPr>
            </w:pPr>
            <w:r>
              <w:rPr>
                <w:rFonts w:hint="eastAsia"/>
                <w:b/>
                <w:bCs/>
                <w:color w:val="000000"/>
                <w:kern w:val="0"/>
                <w:sz w:val="22"/>
                <w:szCs w:val="22"/>
              </w:rPr>
              <w:t>10</w:t>
            </w:r>
          </w:p>
        </w:tc>
      </w:tr>
      <w:tr w14:paraId="37B1C7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14:paraId="3550E3E8">
            <w:pPr>
              <w:widowControl/>
              <w:spacing w:line="0" w:lineRule="atLeast"/>
              <w:jc w:val="center"/>
              <w:rPr>
                <w:color w:val="000000"/>
                <w:kern w:val="0"/>
                <w:sz w:val="22"/>
                <w:szCs w:val="22"/>
              </w:rPr>
            </w:pPr>
            <w:r>
              <w:rPr>
                <w:color w:val="000000"/>
                <w:kern w:val="0"/>
                <w:sz w:val="22"/>
                <w:szCs w:val="22"/>
              </w:rPr>
              <w:t>效益　</w:t>
            </w:r>
          </w:p>
        </w:tc>
        <w:tc>
          <w:tcPr>
            <w:tcW w:w="764" w:type="dxa"/>
            <w:vMerge w:val="restart"/>
            <w:shd w:val="clear" w:color="auto" w:fill="FFFFFF"/>
            <w:vAlign w:val="center"/>
          </w:tcPr>
          <w:p w14:paraId="7B4401B6">
            <w:pPr>
              <w:widowControl/>
              <w:spacing w:line="0" w:lineRule="atLeast"/>
              <w:jc w:val="center"/>
              <w:rPr>
                <w:color w:val="000000"/>
                <w:kern w:val="0"/>
                <w:sz w:val="22"/>
                <w:szCs w:val="22"/>
              </w:rPr>
            </w:pPr>
            <w:r>
              <w:rPr>
                <w:color w:val="000000"/>
                <w:kern w:val="0"/>
                <w:sz w:val="22"/>
                <w:szCs w:val="22"/>
              </w:rPr>
              <w:t>项目效益　</w:t>
            </w:r>
          </w:p>
        </w:tc>
        <w:tc>
          <w:tcPr>
            <w:tcW w:w="873" w:type="dxa"/>
            <w:shd w:val="clear" w:color="auto" w:fill="FFFFFF"/>
            <w:vAlign w:val="center"/>
          </w:tcPr>
          <w:p w14:paraId="7B02996D">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14:paraId="2DC4E39C">
            <w:pPr>
              <w:widowControl/>
              <w:spacing w:line="0" w:lineRule="atLeast"/>
              <w:jc w:val="left"/>
              <w:rPr>
                <w:color w:val="000000"/>
                <w:kern w:val="0"/>
                <w:sz w:val="22"/>
                <w:szCs w:val="22"/>
              </w:rPr>
            </w:pPr>
            <w:r>
              <w:rPr>
                <w:color w:val="000000"/>
                <w:kern w:val="0"/>
                <w:sz w:val="22"/>
                <w:szCs w:val="22"/>
              </w:rPr>
              <w:t>项目实施所产生的效益。</w:t>
            </w:r>
          </w:p>
        </w:tc>
        <w:tc>
          <w:tcPr>
            <w:tcW w:w="5198" w:type="dxa"/>
            <w:shd w:val="clear" w:color="auto" w:fill="FFFFFF"/>
            <w:vAlign w:val="center"/>
          </w:tcPr>
          <w:p w14:paraId="755C98A2">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7C586B32">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auto" w:fill="FFFFFF"/>
            <w:vAlign w:val="center"/>
          </w:tcPr>
          <w:p w14:paraId="6715502D">
            <w:pPr>
              <w:widowControl/>
              <w:spacing w:line="0" w:lineRule="atLeast"/>
              <w:jc w:val="center"/>
              <w:rPr>
                <w:b/>
                <w:bCs/>
                <w:color w:val="000000"/>
                <w:kern w:val="0"/>
                <w:sz w:val="22"/>
                <w:szCs w:val="22"/>
              </w:rPr>
            </w:pPr>
            <w:r>
              <w:rPr>
                <w:rFonts w:hint="eastAsia"/>
                <w:b/>
                <w:bCs/>
                <w:color w:val="000000"/>
                <w:kern w:val="0"/>
                <w:sz w:val="22"/>
                <w:szCs w:val="22"/>
              </w:rPr>
              <w:t>10</w:t>
            </w:r>
          </w:p>
        </w:tc>
      </w:tr>
      <w:tr w14:paraId="3AFF8B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14:paraId="3A4554CB">
            <w:pPr>
              <w:widowControl/>
              <w:spacing w:line="0" w:lineRule="atLeast"/>
              <w:jc w:val="center"/>
              <w:rPr>
                <w:color w:val="000000"/>
                <w:kern w:val="0"/>
                <w:sz w:val="22"/>
                <w:szCs w:val="22"/>
              </w:rPr>
            </w:pPr>
          </w:p>
        </w:tc>
        <w:tc>
          <w:tcPr>
            <w:tcW w:w="764" w:type="dxa"/>
            <w:vMerge w:val="continue"/>
            <w:shd w:val="clear" w:color="auto" w:fill="FFFFFF"/>
            <w:vAlign w:val="center"/>
          </w:tcPr>
          <w:p w14:paraId="10D2C4A5">
            <w:pPr>
              <w:widowControl/>
              <w:spacing w:line="0" w:lineRule="atLeast"/>
              <w:jc w:val="center"/>
              <w:rPr>
                <w:color w:val="000000"/>
                <w:kern w:val="0"/>
                <w:sz w:val="22"/>
                <w:szCs w:val="22"/>
              </w:rPr>
            </w:pPr>
          </w:p>
        </w:tc>
        <w:tc>
          <w:tcPr>
            <w:tcW w:w="873" w:type="dxa"/>
            <w:shd w:val="clear" w:color="auto" w:fill="FFFFFF"/>
            <w:vAlign w:val="center"/>
          </w:tcPr>
          <w:p w14:paraId="00CE99B4">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14:paraId="10EB44DE">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98" w:type="dxa"/>
            <w:shd w:val="clear" w:color="000000" w:fill="FFFFFF"/>
            <w:vAlign w:val="center"/>
          </w:tcPr>
          <w:p w14:paraId="2CBDAE26">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03CEC14F">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2DDAB932">
            <w:pPr>
              <w:widowControl/>
              <w:spacing w:line="0" w:lineRule="atLeast"/>
              <w:jc w:val="center"/>
              <w:rPr>
                <w:b/>
                <w:bCs/>
                <w:color w:val="000000"/>
                <w:kern w:val="0"/>
                <w:sz w:val="22"/>
                <w:szCs w:val="22"/>
              </w:rPr>
            </w:pPr>
            <w:r>
              <w:rPr>
                <w:rFonts w:hint="eastAsia"/>
                <w:b/>
                <w:bCs/>
                <w:color w:val="000000"/>
                <w:kern w:val="0"/>
                <w:sz w:val="22"/>
                <w:szCs w:val="22"/>
              </w:rPr>
              <w:t>10</w:t>
            </w:r>
          </w:p>
        </w:tc>
      </w:tr>
    </w:tbl>
    <w:p w14:paraId="78A782E8"/>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5936E0A-F829-44B8-9DE0-48D7ACAD9AD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embedRegular r:id="rId2" w:fontKey="{63D57196-752E-488D-B7CF-233EEA8928E8}"/>
  </w:font>
  <w:font w:name="华文中宋">
    <w:altName w:val="宋体"/>
    <w:panose1 w:val="02010600040101010101"/>
    <w:charset w:val="86"/>
    <w:family w:val="auto"/>
    <w:pitch w:val="default"/>
    <w:sig w:usb0="00000000" w:usb1="00000000" w:usb2="00000010" w:usb3="00000000" w:csb0="0004009F" w:csb1="00000000"/>
    <w:embedRegular r:id="rId3" w:fontKey="{084279F5-8EB1-44A7-805C-40ED0A7DFB9B}"/>
  </w:font>
  <w:font w:name="方正小标宋_GBK">
    <w:altName w:val="微软雅黑"/>
    <w:panose1 w:val="00000000000000000000"/>
    <w:charset w:val="86"/>
    <w:family w:val="script"/>
    <w:pitch w:val="default"/>
    <w:sig w:usb0="00000000" w:usb1="00000000" w:usb2="00000000" w:usb3="00000000" w:csb0="00040000" w:csb1="00000000"/>
    <w:embedRegular r:id="rId4" w:fontKey="{70A9B4A0-D6FF-4791-9F7A-F7F3DF3E1C6E}"/>
  </w:font>
  <w:font w:name="楷体_GB2312">
    <w:altName w:val="楷体"/>
    <w:panose1 w:val="02010609030101010101"/>
    <w:charset w:val="86"/>
    <w:family w:val="modern"/>
    <w:pitch w:val="default"/>
    <w:sig w:usb0="00000000" w:usb1="00000000" w:usb2="00000010" w:usb3="00000000" w:csb0="00040000" w:csb1="00000000"/>
    <w:embedRegular r:id="rId5" w:fontKey="{D209875A-6F7B-4A1E-BCC5-42D39B1812B8}"/>
  </w:font>
  <w:font w:name="方正仿宋_GBK">
    <w:altName w:val="微软雅黑"/>
    <w:panose1 w:val="00000000000000000000"/>
    <w:charset w:val="86"/>
    <w:family w:val="auto"/>
    <w:pitch w:val="default"/>
    <w:sig w:usb0="00000000" w:usb1="00000000" w:usb2="00000000" w:usb3="00000000" w:csb0="00040000" w:csb1="00000000"/>
    <w:embedRegular r:id="rId6" w:fontKey="{F5F08459-E319-4D23-9E67-EB1CA5752689}"/>
  </w:font>
  <w:font w:name="楷体">
    <w:panose1 w:val="02010609060101010101"/>
    <w:charset w:val="86"/>
    <w:family w:val="modern"/>
    <w:pitch w:val="default"/>
    <w:sig w:usb0="800002BF" w:usb1="38CF7CFA" w:usb2="00000016" w:usb3="00000000" w:csb0="00040001" w:csb1="00000000"/>
    <w:embedRegular r:id="rId7" w:fontKey="{B34DBF6C-1DC8-4E69-B230-10DE1F89972A}"/>
  </w:font>
  <w:font w:name="方正小标宋简体">
    <w:panose1 w:val="02000000000000000000"/>
    <w:charset w:val="86"/>
    <w:family w:val="script"/>
    <w:pitch w:val="default"/>
    <w:sig w:usb0="00000001" w:usb1="08000000" w:usb2="00000000" w:usb3="00000000" w:csb0="00040000" w:csb1="00000000"/>
    <w:embedRegular r:id="rId8" w:fontKey="{915C1C9C-6F7F-4C13-BEF9-C87DE9AD4679}"/>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82BE210">
        <w:pPr>
          <w:pStyle w:val="9"/>
          <w:jc w:val="center"/>
        </w:pPr>
        <w:r>
          <w:fldChar w:fldCharType="begin"/>
        </w:r>
        <w:r>
          <w:instrText xml:space="preserve">PAGE   \* MERGEFORMAT</w:instrText>
        </w:r>
        <w:r>
          <w:fldChar w:fldCharType="separate"/>
        </w:r>
        <w:r>
          <w:rPr>
            <w:lang w:val="zh-CN"/>
          </w:rPr>
          <w:t>13</w:t>
        </w:r>
        <w:r>
          <w:fldChar w:fldCharType="end"/>
        </w:r>
      </w:p>
    </w:sdtContent>
  </w:sdt>
  <w:p w14:paraId="568C51B5">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3ZmU4OGMwMzQyMTdiOTMzODE5NDZkNjI3MDU0NDYifQ=="/>
  </w:docVars>
  <w:rsids>
    <w:rsidRoot w:val="FF6C4049"/>
    <w:rsid w:val="000B0995"/>
    <w:rsid w:val="001B3743"/>
    <w:rsid w:val="00302242"/>
    <w:rsid w:val="00456239"/>
    <w:rsid w:val="006C3B5D"/>
    <w:rsid w:val="006F7242"/>
    <w:rsid w:val="00775305"/>
    <w:rsid w:val="007B168A"/>
    <w:rsid w:val="008B2CFE"/>
    <w:rsid w:val="00A2355E"/>
    <w:rsid w:val="00F26FF6"/>
    <w:rsid w:val="01F419DA"/>
    <w:rsid w:val="04D178D1"/>
    <w:rsid w:val="07397B77"/>
    <w:rsid w:val="0775538E"/>
    <w:rsid w:val="0AEC01AE"/>
    <w:rsid w:val="0BDD1691"/>
    <w:rsid w:val="0E6C1BD9"/>
    <w:rsid w:val="103531C8"/>
    <w:rsid w:val="10ED552F"/>
    <w:rsid w:val="11457119"/>
    <w:rsid w:val="13471461"/>
    <w:rsid w:val="13B90F01"/>
    <w:rsid w:val="17A561F9"/>
    <w:rsid w:val="181066D2"/>
    <w:rsid w:val="19573E8D"/>
    <w:rsid w:val="1C671E73"/>
    <w:rsid w:val="201E5402"/>
    <w:rsid w:val="263E61F2"/>
    <w:rsid w:val="26744C6B"/>
    <w:rsid w:val="273B4DEE"/>
    <w:rsid w:val="2A9619EB"/>
    <w:rsid w:val="38CA40DD"/>
    <w:rsid w:val="38FD5C33"/>
    <w:rsid w:val="39002C48"/>
    <w:rsid w:val="395F2B56"/>
    <w:rsid w:val="3BECE841"/>
    <w:rsid w:val="3F712734"/>
    <w:rsid w:val="3FF7797D"/>
    <w:rsid w:val="411F04C2"/>
    <w:rsid w:val="43F50764"/>
    <w:rsid w:val="4CAF130F"/>
    <w:rsid w:val="4ECA59BF"/>
    <w:rsid w:val="52BB0A0D"/>
    <w:rsid w:val="572B79A6"/>
    <w:rsid w:val="58351B55"/>
    <w:rsid w:val="5A673229"/>
    <w:rsid w:val="5BFF6039"/>
    <w:rsid w:val="5D76A616"/>
    <w:rsid w:val="5D7F20B9"/>
    <w:rsid w:val="5DAC7D0E"/>
    <w:rsid w:val="5ECF5649"/>
    <w:rsid w:val="5F98B5AF"/>
    <w:rsid w:val="5FFE8511"/>
    <w:rsid w:val="5FFEACE2"/>
    <w:rsid w:val="60B01E1E"/>
    <w:rsid w:val="63057155"/>
    <w:rsid w:val="643EE26D"/>
    <w:rsid w:val="6F5C41AC"/>
    <w:rsid w:val="6FAF6C78"/>
    <w:rsid w:val="72947C69"/>
    <w:rsid w:val="7317C656"/>
    <w:rsid w:val="734ED73F"/>
    <w:rsid w:val="7495487D"/>
    <w:rsid w:val="762D18C7"/>
    <w:rsid w:val="77FD8BE9"/>
    <w:rsid w:val="781B5927"/>
    <w:rsid w:val="79A9BD3F"/>
    <w:rsid w:val="79CB7152"/>
    <w:rsid w:val="7B1542C5"/>
    <w:rsid w:val="7B821819"/>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5">
    <w:name w:val="annotation text"/>
    <w:basedOn w:val="1"/>
    <w:link w:val="23"/>
    <w:qFormat/>
    <w:uiPriority w:val="0"/>
    <w:pPr>
      <w:jc w:val="left"/>
    </w:pPr>
  </w:style>
  <w:style w:type="paragraph" w:styleId="6">
    <w:name w:val="Body Text"/>
    <w:basedOn w:val="1"/>
    <w:qFormat/>
    <w:uiPriority w:val="0"/>
    <w:pPr>
      <w:spacing w:after="120"/>
    </w:pPr>
  </w:style>
  <w:style w:type="paragraph" w:styleId="7">
    <w:name w:val="Body Text Indent"/>
    <w:basedOn w:val="1"/>
    <w:qFormat/>
    <w:uiPriority w:val="0"/>
    <w:pPr>
      <w:spacing w:after="120"/>
      <w:ind w:left="420" w:leftChars="200"/>
    </w:pPr>
    <w:rPr>
      <w:rFonts w:ascii="Calibri" w:hAnsi="Calibri"/>
    </w:rPr>
  </w:style>
  <w:style w:type="paragraph" w:styleId="8">
    <w:name w:val="Balloon Text"/>
    <w:basedOn w:val="1"/>
    <w:link w:val="21"/>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5"/>
    <w:next w:val="5"/>
    <w:link w:val="24"/>
    <w:qFormat/>
    <w:uiPriority w:val="0"/>
    <w:rPr>
      <w:b/>
      <w:bCs/>
    </w:rPr>
  </w:style>
  <w:style w:type="paragraph" w:styleId="13">
    <w:name w:val="Body Text First Indent"/>
    <w:basedOn w:val="6"/>
    <w:qFormat/>
    <w:uiPriority w:val="0"/>
    <w:pPr>
      <w:spacing w:after="0"/>
      <w:ind w:firstLine="200" w:firstLineChars="200"/>
    </w:pPr>
  </w:style>
  <w:style w:type="paragraph" w:styleId="14">
    <w:name w:val="Body Text First Indent 2"/>
    <w:basedOn w:val="7"/>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8"/>
    <w:qFormat/>
    <w:uiPriority w:val="0"/>
    <w:rPr>
      <w:rFonts w:ascii="Times New Roman" w:hAnsi="Times New Roman" w:eastAsia="宋体" w:cs="Times New Roman"/>
      <w:kern w:val="2"/>
      <w:sz w:val="18"/>
      <w:szCs w:val="18"/>
    </w:rPr>
  </w:style>
  <w:style w:type="character" w:customStyle="1" w:styleId="22">
    <w:name w:val="页眉 字符"/>
    <w:basedOn w:val="16"/>
    <w:link w:val="10"/>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10052</Words>
  <Characters>10474</Characters>
  <Lines>79</Lines>
  <Paragraphs>22</Paragraphs>
  <TotalTime>51</TotalTime>
  <ScaleCrop>false</ScaleCrop>
  <LinksUpToDate>false</LinksUpToDate>
  <CharactersWithSpaces>10498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153****3886</cp:lastModifiedBy>
  <cp:lastPrinted>2024-02-26T07:39:00Z</cp:lastPrinted>
  <dcterms:modified xsi:type="dcterms:W3CDTF">2024-08-27T08:49:03Z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DEB37354E36D40D48F20A3DAB18895C3</vt:lpwstr>
  </property>
</Properties>
</file>