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8EFB7">
      <w:pPr>
        <w:spacing w:line="540" w:lineRule="exact"/>
        <w:jc w:val="left"/>
        <w:rPr>
          <w:rFonts w:hint="eastAsia" w:ascii="黑体" w:hAnsi="黑体" w:eastAsia="黑体" w:cs="黑体"/>
          <w:b w:val="0"/>
          <w:bCs/>
          <w:kern w:val="0"/>
          <w:sz w:val="32"/>
          <w:szCs w:val="32"/>
          <w:lang w:val="en-US" w:eastAsia="zh-CN"/>
        </w:rPr>
      </w:pPr>
    </w:p>
    <w:p w14:paraId="56F334DC">
      <w:pPr>
        <w:spacing w:line="540" w:lineRule="exact"/>
        <w:rPr>
          <w:rFonts w:eastAsia="华文中宋"/>
          <w:b/>
          <w:kern w:val="0"/>
          <w:sz w:val="72"/>
          <w:szCs w:val="72"/>
        </w:rPr>
      </w:pPr>
    </w:p>
    <w:p w14:paraId="4BD9445A">
      <w:pPr>
        <w:spacing w:line="540" w:lineRule="exact"/>
        <w:jc w:val="center"/>
        <w:rPr>
          <w:rFonts w:eastAsia="华文中宋"/>
          <w:b/>
          <w:kern w:val="0"/>
          <w:sz w:val="52"/>
          <w:szCs w:val="52"/>
        </w:rPr>
      </w:pPr>
    </w:p>
    <w:p w14:paraId="53D4A137">
      <w:pPr>
        <w:spacing w:line="540" w:lineRule="exact"/>
        <w:jc w:val="center"/>
        <w:rPr>
          <w:rFonts w:eastAsia="华文中宋"/>
          <w:b/>
          <w:kern w:val="0"/>
          <w:sz w:val="52"/>
          <w:szCs w:val="52"/>
        </w:rPr>
      </w:pPr>
    </w:p>
    <w:p w14:paraId="7A432EBA">
      <w:pPr>
        <w:spacing w:line="540" w:lineRule="exact"/>
        <w:jc w:val="center"/>
        <w:rPr>
          <w:rFonts w:eastAsia="方正小标宋_GBK"/>
          <w:kern w:val="0"/>
          <w:sz w:val="48"/>
          <w:szCs w:val="48"/>
        </w:rPr>
      </w:pPr>
      <w:r>
        <w:rPr>
          <w:rFonts w:hint="eastAsia" w:eastAsia="方正小标宋_GBK"/>
          <w:kern w:val="0"/>
          <w:sz w:val="48"/>
          <w:szCs w:val="48"/>
        </w:rPr>
        <w:t>生态环境厅</w:t>
      </w:r>
      <w:r>
        <w:rPr>
          <w:rFonts w:hint="eastAsia" w:eastAsia="方正小标宋_GBK"/>
          <w:kern w:val="0"/>
          <w:sz w:val="48"/>
          <w:szCs w:val="48"/>
          <w:lang w:eastAsia="zh-CN"/>
        </w:rPr>
        <w:t>第一专员办</w:t>
      </w:r>
      <w:r>
        <w:rPr>
          <w:rFonts w:hint="eastAsia" w:eastAsia="方正小标宋_GBK"/>
          <w:kern w:val="0"/>
          <w:sz w:val="48"/>
          <w:szCs w:val="48"/>
        </w:rPr>
        <w:t>环境监察专员办环境监察专项</w:t>
      </w:r>
      <w:r>
        <w:rPr>
          <w:rFonts w:eastAsia="方正小标宋_GBK"/>
          <w:kern w:val="0"/>
          <w:sz w:val="48"/>
          <w:szCs w:val="48"/>
        </w:rPr>
        <w:t>资金项目支出绩效评价</w:t>
      </w:r>
    </w:p>
    <w:p w14:paraId="197272CE">
      <w:pPr>
        <w:spacing w:line="540" w:lineRule="exact"/>
        <w:jc w:val="center"/>
        <w:rPr>
          <w:rFonts w:eastAsia="华文中宋"/>
          <w:b/>
          <w:kern w:val="0"/>
          <w:sz w:val="52"/>
          <w:szCs w:val="52"/>
        </w:rPr>
      </w:pPr>
      <w:r>
        <w:rPr>
          <w:rFonts w:eastAsia="方正小标宋_GBK"/>
          <w:kern w:val="0"/>
          <w:sz w:val="48"/>
          <w:szCs w:val="48"/>
        </w:rPr>
        <w:t>报告</w:t>
      </w:r>
    </w:p>
    <w:p w14:paraId="22F2B5BC">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3</w:t>
      </w:r>
      <w:r>
        <w:rPr>
          <w:rFonts w:eastAsia="仿宋_GB2312"/>
          <w:kern w:val="0"/>
          <w:sz w:val="36"/>
          <w:szCs w:val="36"/>
        </w:rPr>
        <w:t>年度）</w:t>
      </w:r>
    </w:p>
    <w:p w14:paraId="4CA64BF4">
      <w:pPr>
        <w:spacing w:line="540" w:lineRule="exact"/>
        <w:jc w:val="center"/>
        <w:rPr>
          <w:rFonts w:eastAsia="仿宋_GB2312"/>
          <w:kern w:val="0"/>
          <w:sz w:val="30"/>
          <w:szCs w:val="30"/>
        </w:rPr>
      </w:pPr>
    </w:p>
    <w:p w14:paraId="0AE245EC">
      <w:pPr>
        <w:spacing w:line="540" w:lineRule="exact"/>
        <w:jc w:val="center"/>
        <w:rPr>
          <w:rFonts w:eastAsia="仿宋_GB2312"/>
          <w:kern w:val="0"/>
          <w:sz w:val="30"/>
          <w:szCs w:val="30"/>
        </w:rPr>
      </w:pPr>
    </w:p>
    <w:p w14:paraId="1F9DAA08">
      <w:pPr>
        <w:spacing w:line="540" w:lineRule="exact"/>
        <w:jc w:val="center"/>
        <w:rPr>
          <w:rFonts w:eastAsia="仿宋_GB2312"/>
          <w:kern w:val="0"/>
          <w:sz w:val="30"/>
          <w:szCs w:val="30"/>
        </w:rPr>
      </w:pPr>
    </w:p>
    <w:p w14:paraId="1DF59023">
      <w:pPr>
        <w:spacing w:line="540" w:lineRule="exact"/>
        <w:jc w:val="center"/>
        <w:rPr>
          <w:rFonts w:eastAsia="仿宋_GB2312"/>
          <w:kern w:val="0"/>
          <w:sz w:val="30"/>
          <w:szCs w:val="30"/>
        </w:rPr>
      </w:pPr>
    </w:p>
    <w:p w14:paraId="7C97FA00">
      <w:pPr>
        <w:spacing w:line="540" w:lineRule="exact"/>
        <w:rPr>
          <w:rFonts w:eastAsia="仿宋_GB2312"/>
          <w:kern w:val="0"/>
          <w:sz w:val="30"/>
          <w:szCs w:val="30"/>
        </w:rPr>
      </w:pPr>
    </w:p>
    <w:p w14:paraId="7AEE64FC">
      <w:pPr>
        <w:spacing w:line="700" w:lineRule="exact"/>
        <w:ind w:firstLine="1440" w:firstLineChars="400"/>
        <w:jc w:val="left"/>
        <w:rPr>
          <w:rFonts w:hint="eastAsia" w:eastAsia="仿宋_GB2312"/>
          <w:kern w:val="0"/>
          <w:sz w:val="36"/>
          <w:szCs w:val="36"/>
        </w:rPr>
      </w:pPr>
      <w:r>
        <w:rPr>
          <w:rFonts w:eastAsia="仿宋_GB2312"/>
          <w:kern w:val="0"/>
          <w:sz w:val="36"/>
          <w:szCs w:val="36"/>
        </w:rPr>
        <w:t>项目名称：</w:t>
      </w:r>
      <w:r>
        <w:rPr>
          <w:rFonts w:hint="eastAsia" w:eastAsia="仿宋_GB2312"/>
          <w:kern w:val="0"/>
          <w:sz w:val="36"/>
          <w:szCs w:val="36"/>
        </w:rPr>
        <w:t>生态环境厅环境监察专员办环境监察专项</w:t>
      </w:r>
    </w:p>
    <w:p w14:paraId="58395D16">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新疆维吾尔自治区生态环境厅第一生态环境监察专员办公室</w:t>
      </w:r>
    </w:p>
    <w:p w14:paraId="555581A0">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新疆维吾尔自治区生态环境厅</w:t>
      </w:r>
    </w:p>
    <w:p w14:paraId="0DA9240A">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胡厚军</w:t>
      </w:r>
    </w:p>
    <w:p w14:paraId="5DAB2FE5">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21</w:t>
      </w:r>
      <w:r>
        <w:rPr>
          <w:rFonts w:eastAsia="仿宋_GB2312"/>
          <w:kern w:val="0"/>
          <w:sz w:val="36"/>
          <w:szCs w:val="36"/>
        </w:rPr>
        <w:t>日</w:t>
      </w:r>
    </w:p>
    <w:p w14:paraId="69CE4958">
      <w:pPr>
        <w:spacing w:line="540" w:lineRule="exact"/>
        <w:jc w:val="center"/>
        <w:rPr>
          <w:rFonts w:eastAsia="仿宋_GB2312"/>
          <w:kern w:val="0"/>
          <w:sz w:val="30"/>
          <w:szCs w:val="30"/>
        </w:rPr>
      </w:pPr>
    </w:p>
    <w:p w14:paraId="53869010">
      <w:pPr>
        <w:spacing w:line="540" w:lineRule="exact"/>
        <w:rPr>
          <w:rStyle w:val="25"/>
          <w:rFonts w:eastAsia="黑体"/>
          <w:b w:val="0"/>
          <w:spacing w:val="-4"/>
          <w:sz w:val="32"/>
          <w:szCs w:val="32"/>
        </w:rPr>
      </w:pPr>
    </w:p>
    <w:p w14:paraId="6FE97A95">
      <w:pPr>
        <w:pStyle w:val="3"/>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一、基本情况</w:t>
      </w:r>
    </w:p>
    <w:p w14:paraId="68952196">
      <w:pPr>
        <w:pStyle w:val="4"/>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i w:val="0"/>
          <w:iCs w:val="0"/>
          <w:sz w:val="32"/>
          <w:szCs w:val="32"/>
        </w:rPr>
      </w:pPr>
      <w:r>
        <w:rPr>
          <w:rFonts w:hint="eastAsia" w:ascii="仿宋_GB2312" w:hAnsi="仿宋_GB2312" w:eastAsia="仿宋_GB2312" w:cs="仿宋_GB2312"/>
          <w:i w:val="0"/>
          <w:iCs w:val="0"/>
          <w:sz w:val="32"/>
          <w:szCs w:val="32"/>
        </w:rPr>
        <w:t>（一）项目概况</w:t>
      </w:r>
    </w:p>
    <w:p w14:paraId="544CF780">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项目背景</w:t>
      </w:r>
    </w:p>
    <w:p w14:paraId="36362EF4">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自治区党委办公厅自治区人民政府办公厅印发&lt;自治区生态环境机构监测监察执法垂直管理制度改革实施方案&gt;的通知》（新党厅字〔2019〕60号），建立生态环境保护监察专员制度，在自治区生态环境厅设生态环境保护监察专员。跨区域设立生态环境保护监察专员办公室，驻地（州、市）开展生态环境保护监察和督察工作，人员和工作经费由自治区本级承担。</w:t>
      </w:r>
    </w:p>
    <w:p w14:paraId="40351104">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2019年自治区生态环境厅在全疆设立六个监察专员办公室。</w:t>
      </w:r>
      <w:r>
        <w:rPr>
          <w:rFonts w:hint="eastAsia" w:ascii="仿宋_GB2312" w:hAnsi="仿宋_GB2312" w:eastAsia="仿宋_GB2312" w:cs="仿宋_GB2312"/>
          <w:sz w:val="32"/>
          <w:szCs w:val="32"/>
          <w:lang w:eastAsia="zh-CN"/>
        </w:rPr>
        <w:t>新疆维吾尔自治区生态环境厅第一生态环境监察专员办公室根据《关于自治区生态环境厅</w:t>
      </w:r>
      <w:r>
        <w:rPr>
          <w:rFonts w:hint="eastAsia" w:ascii="仿宋_GB2312" w:hAnsi="仿宋_GB2312" w:eastAsia="仿宋_GB2312" w:cs="仿宋_GB2312"/>
          <w:sz w:val="32"/>
          <w:szCs w:val="32"/>
          <w:lang w:val="en-US" w:eastAsia="zh-CN"/>
        </w:rPr>
        <w:t>6个生态环境监察专员办公室编制和具体职责的批复</w:t>
      </w:r>
      <w:r>
        <w:rPr>
          <w:rFonts w:hint="eastAsia" w:ascii="仿宋_GB2312" w:hAnsi="仿宋_GB2312" w:eastAsia="仿宋_GB2312" w:cs="仿宋_GB2312"/>
          <w:sz w:val="32"/>
          <w:szCs w:val="32"/>
          <w:lang w:eastAsia="zh-CN"/>
        </w:rPr>
        <w:t>》（新党编办</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lang w:val="en-US" w:eastAsia="zh-CN"/>
        </w:rPr>
        <w:t>2019</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lang w:val="en-US" w:eastAsia="zh-CN"/>
        </w:rPr>
        <w:t>59号）要求，我办负责对伊犁州、克拉玛依市、博州、塔城地区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14:paraId="4C07231D">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资金投入及使用情况：2023年项目预算金额为100万元，执行金额为</w:t>
      </w:r>
      <w:r>
        <w:rPr>
          <w:rFonts w:hint="eastAsia" w:ascii="仿宋_GB2312" w:hAnsi="仿宋_GB2312" w:eastAsia="仿宋_GB2312" w:cs="仿宋_GB2312"/>
          <w:b w:val="0"/>
          <w:kern w:val="10"/>
          <w:sz w:val="32"/>
          <w:szCs w:val="32"/>
          <w:lang w:val="en-US" w:eastAsia="zh-CN" w:bidi="en-US"/>
        </w:rPr>
        <w:t>99.51</w:t>
      </w:r>
      <w:r>
        <w:rPr>
          <w:rFonts w:hint="eastAsia" w:ascii="仿宋_GB2312" w:hAnsi="仿宋_GB2312" w:eastAsia="仿宋_GB2312" w:cs="仿宋_GB2312"/>
          <w:sz w:val="32"/>
          <w:szCs w:val="32"/>
          <w:lang w:val="en-US" w:eastAsia="zh-CN"/>
        </w:rPr>
        <w:t>万元，预算执行率为99.51%。各子项目执行情况如下表：</w:t>
      </w:r>
    </w:p>
    <w:tbl>
      <w:tblPr>
        <w:tblStyle w:val="23"/>
        <w:tblpPr w:leftFromText="180" w:rightFromText="180" w:vertAnchor="text" w:horzAnchor="page" w:tblpX="1934" w:tblpY="424"/>
        <w:tblOverlap w:val="never"/>
        <w:tblW w:w="86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3914"/>
        <w:gridCol w:w="1915"/>
        <w:gridCol w:w="1928"/>
      </w:tblGrid>
      <w:tr w14:paraId="4FF94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886" w:type="dxa"/>
            <w:vAlign w:val="center"/>
          </w:tcPr>
          <w:p w14:paraId="66398D45">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序号</w:t>
            </w:r>
          </w:p>
        </w:tc>
        <w:tc>
          <w:tcPr>
            <w:tcW w:w="3914" w:type="dxa"/>
            <w:vAlign w:val="center"/>
          </w:tcPr>
          <w:p w14:paraId="7D0E5538">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sz w:val="32"/>
                <w:szCs w:val="32"/>
                <w:vertAlign w:val="baseline"/>
                <w:lang w:val="en-US" w:eastAsia="zh-CN"/>
              </w:rPr>
              <w:t>名称</w:t>
            </w:r>
          </w:p>
        </w:tc>
        <w:tc>
          <w:tcPr>
            <w:tcW w:w="1915" w:type="dxa"/>
          </w:tcPr>
          <w:p w14:paraId="7F57F90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预算金额（万元）</w:t>
            </w:r>
          </w:p>
        </w:tc>
        <w:tc>
          <w:tcPr>
            <w:tcW w:w="1928" w:type="dxa"/>
          </w:tcPr>
          <w:p w14:paraId="094A149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执行金额 （万元）</w:t>
            </w:r>
          </w:p>
        </w:tc>
      </w:tr>
      <w:tr w14:paraId="0F120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6" w:type="dxa"/>
          </w:tcPr>
          <w:p w14:paraId="5D279E22">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1</w:t>
            </w:r>
          </w:p>
        </w:tc>
        <w:tc>
          <w:tcPr>
            <w:tcW w:w="3914" w:type="dxa"/>
          </w:tcPr>
          <w:p w14:paraId="3E8551ED">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sz w:val="32"/>
                <w:szCs w:val="32"/>
                <w:lang w:val="en-US" w:eastAsia="zh-CN"/>
              </w:rPr>
              <w:t>差旅费</w:t>
            </w:r>
          </w:p>
        </w:tc>
        <w:tc>
          <w:tcPr>
            <w:tcW w:w="1915" w:type="dxa"/>
          </w:tcPr>
          <w:p w14:paraId="0934FB76">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36</w:t>
            </w:r>
          </w:p>
        </w:tc>
        <w:tc>
          <w:tcPr>
            <w:tcW w:w="1928" w:type="dxa"/>
          </w:tcPr>
          <w:p w14:paraId="29F27E6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36</w:t>
            </w:r>
          </w:p>
        </w:tc>
      </w:tr>
      <w:tr w14:paraId="5DB35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6" w:type="dxa"/>
          </w:tcPr>
          <w:p w14:paraId="47D8EF97">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2</w:t>
            </w:r>
          </w:p>
        </w:tc>
        <w:tc>
          <w:tcPr>
            <w:tcW w:w="3914" w:type="dxa"/>
          </w:tcPr>
          <w:p w14:paraId="7BA7ABBE">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sz w:val="32"/>
                <w:szCs w:val="32"/>
                <w:lang w:val="en-US" w:eastAsia="zh-CN"/>
              </w:rPr>
              <w:t>劳务费</w:t>
            </w:r>
          </w:p>
        </w:tc>
        <w:tc>
          <w:tcPr>
            <w:tcW w:w="1915" w:type="dxa"/>
          </w:tcPr>
          <w:p w14:paraId="6D981D2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9</w:t>
            </w:r>
          </w:p>
        </w:tc>
        <w:tc>
          <w:tcPr>
            <w:tcW w:w="1928" w:type="dxa"/>
            <w:vAlign w:val="top"/>
          </w:tcPr>
          <w:p w14:paraId="115C7C86">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kern w:val="2"/>
                <w:sz w:val="32"/>
                <w:szCs w:val="32"/>
                <w:vertAlign w:val="baseline"/>
                <w:lang w:val="en-US" w:eastAsia="zh-CN" w:bidi="ar-SA"/>
              </w:rPr>
              <w:t>9</w:t>
            </w:r>
          </w:p>
        </w:tc>
      </w:tr>
      <w:tr w14:paraId="07119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6" w:type="dxa"/>
          </w:tcPr>
          <w:p w14:paraId="542FF033">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3</w:t>
            </w:r>
          </w:p>
        </w:tc>
        <w:tc>
          <w:tcPr>
            <w:tcW w:w="3914" w:type="dxa"/>
          </w:tcPr>
          <w:p w14:paraId="2B92DDA7">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sz w:val="32"/>
                <w:szCs w:val="32"/>
                <w:lang w:val="en-US" w:eastAsia="zh-CN"/>
              </w:rPr>
              <w:t>资本性支出</w:t>
            </w:r>
          </w:p>
        </w:tc>
        <w:tc>
          <w:tcPr>
            <w:tcW w:w="1915" w:type="dxa"/>
          </w:tcPr>
          <w:p w14:paraId="6F6A59FC">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17</w:t>
            </w:r>
          </w:p>
        </w:tc>
        <w:tc>
          <w:tcPr>
            <w:tcW w:w="1928" w:type="dxa"/>
            <w:vAlign w:val="top"/>
          </w:tcPr>
          <w:p w14:paraId="3F8BC2AA">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32"/>
                <w:szCs w:val="32"/>
                <w:vertAlign w:val="baseline"/>
                <w:lang w:val="en-US" w:eastAsia="zh-CN" w:bidi="ar-SA"/>
              </w:rPr>
            </w:pPr>
            <w:r>
              <w:rPr>
                <w:rFonts w:hint="eastAsia" w:ascii="仿宋_GB2312" w:hAnsi="仿宋_GB2312" w:eastAsia="仿宋_GB2312" w:cs="仿宋_GB2312"/>
                <w:kern w:val="2"/>
                <w:sz w:val="32"/>
                <w:szCs w:val="32"/>
                <w:vertAlign w:val="baseline"/>
                <w:lang w:val="en-US" w:eastAsia="zh-CN" w:bidi="ar-SA"/>
              </w:rPr>
              <w:t>16.51</w:t>
            </w:r>
          </w:p>
        </w:tc>
      </w:tr>
      <w:tr w14:paraId="24B5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6" w:type="dxa"/>
            <w:vAlign w:val="top"/>
          </w:tcPr>
          <w:p w14:paraId="3E4F18F7">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lang w:val="en-US" w:eastAsia="zh-CN"/>
              </w:rPr>
              <w:t>4</w:t>
            </w:r>
          </w:p>
        </w:tc>
        <w:tc>
          <w:tcPr>
            <w:tcW w:w="3914" w:type="dxa"/>
            <w:vAlign w:val="top"/>
          </w:tcPr>
          <w:p w14:paraId="7C6B8078">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租赁费</w:t>
            </w:r>
          </w:p>
        </w:tc>
        <w:tc>
          <w:tcPr>
            <w:tcW w:w="1915" w:type="dxa"/>
            <w:vAlign w:val="top"/>
          </w:tcPr>
          <w:p w14:paraId="265B330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25</w:t>
            </w:r>
          </w:p>
        </w:tc>
        <w:tc>
          <w:tcPr>
            <w:tcW w:w="1928" w:type="dxa"/>
            <w:vAlign w:val="top"/>
          </w:tcPr>
          <w:p w14:paraId="5776C4BE">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25</w:t>
            </w:r>
          </w:p>
        </w:tc>
      </w:tr>
      <w:tr w14:paraId="699CF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6" w:type="dxa"/>
            <w:vAlign w:val="top"/>
          </w:tcPr>
          <w:p w14:paraId="77FBAB16">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p>
        </w:tc>
        <w:tc>
          <w:tcPr>
            <w:tcW w:w="3914" w:type="dxa"/>
            <w:vAlign w:val="top"/>
          </w:tcPr>
          <w:p w14:paraId="6BD75785">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其他交通费</w:t>
            </w:r>
          </w:p>
        </w:tc>
        <w:tc>
          <w:tcPr>
            <w:tcW w:w="1915" w:type="dxa"/>
            <w:vAlign w:val="top"/>
          </w:tcPr>
          <w:p w14:paraId="04B650DB">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13</w:t>
            </w:r>
          </w:p>
        </w:tc>
        <w:tc>
          <w:tcPr>
            <w:tcW w:w="1928" w:type="dxa"/>
            <w:vAlign w:val="top"/>
          </w:tcPr>
          <w:p w14:paraId="622E5687">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vertAlign w:val="baseline"/>
                <w:lang w:val="en-US" w:eastAsia="zh-CN"/>
              </w:rPr>
            </w:pPr>
            <w:r>
              <w:rPr>
                <w:rFonts w:hint="eastAsia" w:ascii="仿宋_GB2312" w:hAnsi="仿宋_GB2312" w:eastAsia="仿宋_GB2312" w:cs="仿宋_GB2312"/>
                <w:sz w:val="32"/>
                <w:szCs w:val="32"/>
                <w:vertAlign w:val="baseline"/>
                <w:lang w:val="en-US" w:eastAsia="zh-CN"/>
              </w:rPr>
              <w:t>13</w:t>
            </w:r>
          </w:p>
        </w:tc>
      </w:tr>
    </w:tbl>
    <w:p w14:paraId="1A418067">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项目主要内容</w:t>
      </w:r>
    </w:p>
    <w:p w14:paraId="76C52571">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年第</w:t>
      </w:r>
      <w:r>
        <w:rPr>
          <w:rFonts w:hint="eastAsia" w:ascii="仿宋_GB2312" w:hAnsi="仿宋_GB2312" w:eastAsia="仿宋_GB2312" w:cs="仿宋_GB2312"/>
          <w:color w:val="auto"/>
          <w:kern w:val="0"/>
          <w:sz w:val="32"/>
          <w:szCs w:val="32"/>
          <w:highlight w:val="none"/>
          <w:lang w:eastAsia="zh-CN"/>
        </w:rPr>
        <w:t>一</w:t>
      </w:r>
      <w:r>
        <w:rPr>
          <w:rFonts w:hint="eastAsia" w:ascii="仿宋_GB2312" w:hAnsi="仿宋_GB2312" w:eastAsia="仿宋_GB2312" w:cs="仿宋_GB2312"/>
          <w:color w:val="auto"/>
          <w:kern w:val="0"/>
          <w:sz w:val="32"/>
          <w:szCs w:val="32"/>
          <w:highlight w:val="none"/>
        </w:rPr>
        <w:t>生态环境监察专员办公室将根据中央生态环境保护督察涉及到的整改任务，按照自治区党委、人民政府及生态环境厅的统一部署，开展对</w:t>
      </w:r>
      <w:r>
        <w:rPr>
          <w:rFonts w:hint="eastAsia" w:ascii="仿宋_GB2312" w:hAnsi="仿宋_GB2312" w:eastAsia="仿宋_GB2312" w:cs="仿宋_GB2312"/>
          <w:color w:val="auto"/>
          <w:kern w:val="0"/>
          <w:sz w:val="32"/>
          <w:szCs w:val="32"/>
          <w:highlight w:val="none"/>
          <w:lang w:eastAsia="zh-CN"/>
        </w:rPr>
        <w:t>伊犁州、克拉玛依市、博州、塔城地区四</w:t>
      </w:r>
      <w:r>
        <w:rPr>
          <w:rFonts w:hint="eastAsia" w:ascii="仿宋_GB2312" w:hAnsi="仿宋_GB2312" w:eastAsia="仿宋_GB2312" w:cs="仿宋_GB2312"/>
          <w:color w:val="auto"/>
          <w:kern w:val="0"/>
          <w:sz w:val="32"/>
          <w:szCs w:val="32"/>
          <w:highlight w:val="none"/>
        </w:rPr>
        <w:t>个地州生态环境监察工作，通过日常监察、现场巡查等方式，督促当地生态环境保护工作持续改善。</w:t>
      </w:r>
      <w:r>
        <w:rPr>
          <w:rFonts w:hint="eastAsia" w:ascii="仿宋_GB2312" w:hAnsi="仿宋_GB2312" w:eastAsia="仿宋_GB2312" w:cs="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51DF8C99">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40EFA9B9">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本项目总投资</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万元，其中：财政本级资金</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rPr>
        <w:t>。项目实际支出</w:t>
      </w:r>
      <w:r>
        <w:rPr>
          <w:rFonts w:hint="eastAsia" w:ascii="仿宋_GB2312" w:hAnsi="仿宋_GB2312" w:eastAsia="仿宋_GB2312" w:cs="仿宋_GB2312"/>
          <w:sz w:val="32"/>
          <w:szCs w:val="32"/>
          <w:lang w:val="en-US" w:eastAsia="zh-CN"/>
        </w:rPr>
        <w:t>99.51万</w:t>
      </w:r>
      <w:r>
        <w:rPr>
          <w:rFonts w:hint="eastAsia" w:ascii="仿宋_GB2312" w:hAnsi="仿宋_GB2312" w:eastAsia="仿宋_GB2312" w:cs="仿宋_GB2312"/>
          <w:sz w:val="32"/>
          <w:szCs w:val="32"/>
        </w:rPr>
        <w:t>元，支出率为</w:t>
      </w:r>
      <w:r>
        <w:rPr>
          <w:rFonts w:hint="eastAsia" w:ascii="仿宋_GB2312" w:hAnsi="仿宋_GB2312" w:eastAsia="仿宋_GB2312" w:cs="仿宋_GB2312"/>
          <w:sz w:val="32"/>
          <w:szCs w:val="32"/>
          <w:lang w:val="en-US" w:eastAsia="zh-CN"/>
        </w:rPr>
        <w:t>99.51</w:t>
      </w:r>
      <w:r>
        <w:rPr>
          <w:rFonts w:hint="eastAsia" w:ascii="仿宋_GB2312" w:hAnsi="仿宋_GB2312" w:eastAsia="仿宋_GB2312" w:cs="仿宋_GB2312"/>
          <w:sz w:val="32"/>
          <w:szCs w:val="32"/>
        </w:rPr>
        <w:t>%。</w:t>
      </w:r>
    </w:p>
    <w:p w14:paraId="4E0C283A">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3.资金投入和使用情况</w:t>
      </w:r>
    </w:p>
    <w:p w14:paraId="695DBF19">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（1）资金安排</w:t>
      </w:r>
    </w:p>
    <w:p w14:paraId="34AABDAA">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项目总投资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万元，按照单位财务制度等相关规定，资金支出符合生态环境厅环境监察专员办环境监察专项专项资金费用范围，做到了专款专用。在项目资金拨付和使用过程中，为确保项目资金的安全性，提高项目资金使用效率，严格遵循</w:t>
      </w:r>
      <w:r>
        <w:rPr>
          <w:rFonts w:hint="eastAsia" w:ascii="仿宋_GB2312" w:hAnsi="仿宋_GB2312" w:eastAsia="仿宋_GB2312" w:cs="仿宋_GB2312"/>
          <w:sz w:val="32"/>
          <w:szCs w:val="32"/>
          <w:lang w:eastAsia="zh-CN"/>
        </w:rPr>
        <w:t>财政拨款</w:t>
      </w:r>
      <w:r>
        <w:rPr>
          <w:rFonts w:hint="eastAsia" w:ascii="仿宋_GB2312" w:hAnsi="仿宋_GB2312" w:eastAsia="仿宋_GB2312" w:cs="仿宋_GB2312"/>
          <w:sz w:val="32"/>
          <w:szCs w:val="32"/>
        </w:rPr>
        <w:t>资金的拨付程序，认真审核项目实施各阶段的相关材料和手续，根据项目实施进展情况拨付资金。</w:t>
      </w:r>
    </w:p>
    <w:p w14:paraId="0078A1FB">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（2）预算资金来源及使用情况</w:t>
      </w:r>
      <w:bookmarkStart w:id="0" w:name="page10"/>
      <w:bookmarkEnd w:id="0"/>
    </w:p>
    <w:p w14:paraId="096CFAA8">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项目预算资金来源于一般公共预算，项目资金到位100万元，全年执行99.51万元，预算执行率为99.51%,主要用于支付项目实施进程中的各项费用。</w:t>
      </w:r>
    </w:p>
    <w:p w14:paraId="64959111">
      <w:pPr>
        <w:pStyle w:val="4"/>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i w:val="0"/>
          <w:iCs w:val="0"/>
          <w:sz w:val="32"/>
          <w:szCs w:val="32"/>
        </w:rPr>
      </w:pPr>
      <w:r>
        <w:rPr>
          <w:rFonts w:hint="eastAsia" w:ascii="仿宋_GB2312" w:hAnsi="仿宋_GB2312" w:eastAsia="仿宋_GB2312" w:cs="仿宋_GB2312"/>
          <w:i w:val="0"/>
          <w:iCs w:val="0"/>
          <w:sz w:val="32"/>
          <w:szCs w:val="32"/>
        </w:rPr>
        <w:t>（二）项目绩效目标</w:t>
      </w:r>
    </w:p>
    <w:p w14:paraId="2E9E0187">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1.总体目标</w:t>
      </w:r>
    </w:p>
    <w:p w14:paraId="1C09BEBA">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中央生态环境保护督察涉及到的整改任务，按照自治区党委、人民政府及生态环境厅统一部署，开展对伊犁州、博州、克拉玛依市、塔城地区区域生态环境监察工作，通过日常监察、现场巡查等方式，督促当地生态环境保护工作持续改善。</w:t>
      </w:r>
    </w:p>
    <w:p w14:paraId="0906D8E7">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2.阶段性目标</w:t>
      </w:r>
    </w:p>
    <w:p w14:paraId="373D26AC">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（1）前期准备：通过制定项目实施方案，经项目负责人审核通过后，有序开展后续工作。</w:t>
      </w:r>
    </w:p>
    <w:p w14:paraId="62C2075D">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（2）组织实施：资金一到位，立即根据项目要求实施项目。项目责任人按照项目实施方案要求逐一进行项目部署安排，提高项目质量及效率性。</w:t>
      </w:r>
    </w:p>
    <w:p w14:paraId="03B8C72B">
      <w:pPr>
        <w:pStyle w:val="3"/>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二、绩效评价工作开展情况</w:t>
      </w:r>
    </w:p>
    <w:p w14:paraId="79F9D44B">
      <w:pPr>
        <w:pStyle w:val="4"/>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i w:val="0"/>
          <w:iCs w:val="0"/>
          <w:sz w:val="32"/>
          <w:szCs w:val="32"/>
        </w:rPr>
      </w:pPr>
      <w:r>
        <w:rPr>
          <w:rFonts w:hint="eastAsia" w:ascii="仿宋_GB2312" w:hAnsi="仿宋_GB2312" w:eastAsia="仿宋_GB2312" w:cs="仿宋_GB2312"/>
          <w:i w:val="0"/>
          <w:iCs w:val="0"/>
          <w:sz w:val="32"/>
          <w:szCs w:val="32"/>
        </w:rPr>
        <w:t>（一）绩效评价目的、对象和范围</w:t>
      </w:r>
    </w:p>
    <w:p w14:paraId="5F4F559C">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1.绩效评价的目的</w:t>
      </w:r>
    </w:p>
    <w:p w14:paraId="2E57CE78">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F5916CC">
      <w:pPr>
        <w:keepLines w:val="0"/>
        <w:pageBreakBefore w:val="0"/>
        <w:numPr>
          <w:ilvl w:val="0"/>
          <w:numId w:val="1"/>
        </w:numPr>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项目在实施前向项目负责人提供财政支出绩效方面的资金管理信息，促进项目支出严格按照资金管理规定进行。</w:t>
      </w:r>
    </w:p>
    <w:p w14:paraId="39AE6007">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（2）项目绩效管理财政支出运行提供及时、有效的信息。</w:t>
      </w:r>
    </w:p>
    <w:p w14:paraId="75476104">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综合来看，通过开展有效的财政支出绩效评价管理，达到改进预算管理、控制节约成本，提高预算资金使用效益的目的。</w:t>
      </w:r>
    </w:p>
    <w:p w14:paraId="36548551">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2.绩效评价的对象</w:t>
      </w:r>
    </w:p>
    <w:p w14:paraId="298DD7CC">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生态环境厅环境监察专员办环境监察专项所包含的全部项目内容。</w:t>
      </w:r>
    </w:p>
    <w:p w14:paraId="0BB67A18">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3.绩效评价的范围</w:t>
      </w:r>
    </w:p>
    <w:p w14:paraId="1BF89C38">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生态环境厅环境监察专员办环境监察专项的决策、过程、产出、效益等。</w:t>
      </w:r>
    </w:p>
    <w:p w14:paraId="64CADAC1">
      <w:pPr>
        <w:pStyle w:val="4"/>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i w:val="0"/>
          <w:iCs w:val="0"/>
          <w:sz w:val="32"/>
          <w:szCs w:val="32"/>
        </w:rPr>
      </w:pPr>
      <w:r>
        <w:rPr>
          <w:rFonts w:hint="eastAsia" w:ascii="仿宋_GB2312" w:hAnsi="仿宋_GB2312" w:eastAsia="仿宋_GB2312" w:cs="仿宋_GB2312"/>
          <w:i w:val="0"/>
          <w:iCs w:val="0"/>
          <w:sz w:val="32"/>
          <w:szCs w:val="32"/>
        </w:rPr>
        <w:t>（二）绩效评价原则、评价指标体系（详情见表1）、评价方法、评价标准</w:t>
      </w:r>
    </w:p>
    <w:p w14:paraId="783EF76E">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1.绩效评价原则</w:t>
      </w:r>
    </w:p>
    <w:p w14:paraId="564FBC86">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本次项目绩效评价遵循以下基本原则：</w:t>
      </w:r>
    </w:p>
    <w:p w14:paraId="2AB0C7E5">
      <w:pPr>
        <w:pStyle w:val="2"/>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（1）科学公正。绩效评价应当运用科学合理的方法，按照规范的程序，对项目绩效进行客观、公正的反映。</w:t>
      </w:r>
    </w:p>
    <w:p w14:paraId="2F814160">
      <w:pPr>
        <w:pStyle w:val="2"/>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）公开透明。绩效评价结果应依法依规公开，并自觉接受社会监督。</w:t>
      </w:r>
    </w:p>
    <w:p w14:paraId="03506CA0">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2.评价指标体系</w:t>
      </w:r>
    </w:p>
    <w:p w14:paraId="2568CF52">
      <w:pPr>
        <w:keepLines w:val="0"/>
        <w:pageBreakBefore w:val="0"/>
        <w:kinsoku/>
        <w:wordWrap/>
        <w:overflowPunct w:val="0"/>
        <w:topLinePunct w:val="0"/>
        <w:autoSpaceDE/>
        <w:autoSpaceDN/>
        <w:bidi w:val="0"/>
        <w:adjustRightInd/>
        <w:snapToGrid/>
        <w:spacing w:line="560" w:lineRule="exact"/>
        <w:ind w:firstLine="708" w:firstLineChars="200"/>
        <w:jc w:val="both"/>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绩效评价框架是开展绩效评价的核心。绩效评价框架包括评价准则、关键评价问题、评价指标、数据来源、数据收集方法等。指标体系建立过程如下：</w:t>
      </w:r>
    </w:p>
    <w:p w14:paraId="315F4A0F">
      <w:pPr>
        <w:keepLines w:val="0"/>
        <w:pageBreakBefore w:val="0"/>
        <w:kinsoku/>
        <w:wordWrap/>
        <w:overflowPunct w:val="0"/>
        <w:topLinePunct w:val="0"/>
        <w:autoSpaceDE/>
        <w:autoSpaceDN/>
        <w:bidi w:val="0"/>
        <w:adjustRightInd/>
        <w:snapToGrid/>
        <w:spacing w:line="560" w:lineRule="exact"/>
        <w:ind w:firstLine="708" w:firstLineChars="200"/>
        <w:jc w:val="both"/>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（1）确定评价指标</w:t>
      </w:r>
    </w:p>
    <w:p w14:paraId="79FF00FF">
      <w:pPr>
        <w:keepLines w:val="0"/>
        <w:pageBreakBefore w:val="0"/>
        <w:kinsoku/>
        <w:wordWrap/>
        <w:overflowPunct w:val="0"/>
        <w:topLinePunct w:val="0"/>
        <w:autoSpaceDE/>
        <w:autoSpaceDN/>
        <w:bidi w:val="0"/>
        <w:adjustRightInd/>
        <w:snapToGrid/>
        <w:spacing w:line="560" w:lineRule="exact"/>
        <w:ind w:firstLine="708" w:firstLineChars="200"/>
        <w:jc w:val="both"/>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FBAA411">
      <w:pPr>
        <w:keepLines w:val="0"/>
        <w:pageBreakBefore w:val="0"/>
        <w:kinsoku/>
        <w:wordWrap/>
        <w:overflowPunct w:val="0"/>
        <w:topLinePunct w:val="0"/>
        <w:autoSpaceDE/>
        <w:autoSpaceDN/>
        <w:bidi w:val="0"/>
        <w:adjustRightInd/>
        <w:snapToGrid/>
        <w:spacing w:line="560" w:lineRule="exact"/>
        <w:ind w:firstLine="708" w:firstLineChars="200"/>
        <w:jc w:val="both"/>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（2）确定权重</w:t>
      </w:r>
    </w:p>
    <w:p w14:paraId="380301E6">
      <w:pPr>
        <w:keepLines w:val="0"/>
        <w:pageBreakBefore w:val="0"/>
        <w:kinsoku/>
        <w:wordWrap/>
        <w:overflowPunct w:val="0"/>
        <w:topLinePunct w:val="0"/>
        <w:autoSpaceDE/>
        <w:autoSpaceDN/>
        <w:bidi w:val="0"/>
        <w:adjustRightInd/>
        <w:snapToGrid/>
        <w:spacing w:line="560" w:lineRule="exact"/>
        <w:ind w:firstLine="708" w:firstLineChars="200"/>
        <w:jc w:val="both"/>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确定各个指标相对于项目总体绩效的权重分值。在绩效评价指标体系中，</w:t>
      </w:r>
      <w:r>
        <w:rPr>
          <w:rFonts w:hint="eastAsia" w:ascii="仿宋_GB2312" w:hAnsi="仿宋_GB2312" w:eastAsia="仿宋_GB2312" w:cs="仿宋_GB2312"/>
          <w:color w:val="000000"/>
          <w:spacing w:val="17"/>
          <w:sz w:val="32"/>
          <w:szCs w:val="32"/>
          <w:lang w:eastAsia="zh-CN"/>
        </w:rPr>
        <w:t>决策</w:t>
      </w:r>
      <w:r>
        <w:rPr>
          <w:rFonts w:hint="eastAsia" w:ascii="仿宋_GB2312" w:hAnsi="仿宋_GB2312" w:eastAsia="仿宋_GB2312" w:cs="仿宋_GB2312"/>
          <w:color w:val="000000"/>
          <w:spacing w:val="17"/>
          <w:sz w:val="32"/>
          <w:szCs w:val="32"/>
          <w:lang w:val="en-US" w:eastAsia="zh-CN"/>
        </w:rPr>
        <w:t>20分</w:t>
      </w:r>
      <w:r>
        <w:rPr>
          <w:rFonts w:hint="eastAsia" w:ascii="仿宋_GB2312" w:hAnsi="仿宋_GB2312" w:eastAsia="仿宋_GB2312" w:cs="仿宋_GB2312"/>
          <w:color w:val="000000"/>
          <w:spacing w:val="17"/>
          <w:sz w:val="32"/>
          <w:szCs w:val="32"/>
          <w:lang w:eastAsia="zh-CN"/>
        </w:rPr>
        <w:t>、过程</w:t>
      </w:r>
      <w:r>
        <w:rPr>
          <w:rFonts w:hint="eastAsia" w:ascii="仿宋_GB2312" w:hAnsi="仿宋_GB2312" w:eastAsia="仿宋_GB2312" w:cs="仿宋_GB2312"/>
          <w:color w:val="000000"/>
          <w:spacing w:val="17"/>
          <w:sz w:val="32"/>
          <w:szCs w:val="32"/>
          <w:lang w:val="en-US" w:eastAsia="zh-CN"/>
        </w:rPr>
        <w:t>20分，产出40分、效益20分。</w:t>
      </w:r>
    </w:p>
    <w:p w14:paraId="4E419EFC">
      <w:pPr>
        <w:keepLines w:val="0"/>
        <w:pageBreakBefore w:val="0"/>
        <w:kinsoku/>
        <w:wordWrap/>
        <w:overflowPunct w:val="0"/>
        <w:topLinePunct w:val="0"/>
        <w:autoSpaceDE/>
        <w:autoSpaceDN/>
        <w:bidi w:val="0"/>
        <w:adjustRightInd/>
        <w:snapToGrid/>
        <w:spacing w:line="560" w:lineRule="exact"/>
        <w:ind w:firstLine="708" w:firstLineChars="200"/>
        <w:jc w:val="both"/>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（3）确定指标标准值</w:t>
      </w:r>
    </w:p>
    <w:p w14:paraId="45F5DD30">
      <w:pPr>
        <w:keepLines w:val="0"/>
        <w:pageBreakBefore w:val="0"/>
        <w:kinsoku/>
        <w:wordWrap/>
        <w:overflowPunct w:val="0"/>
        <w:topLinePunct w:val="0"/>
        <w:autoSpaceDE/>
        <w:autoSpaceDN/>
        <w:bidi w:val="0"/>
        <w:adjustRightInd/>
        <w:snapToGrid/>
        <w:spacing w:line="560" w:lineRule="exact"/>
        <w:ind w:firstLine="708" w:firstLineChars="200"/>
        <w:jc w:val="both"/>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6A4F308E">
      <w:pPr>
        <w:keepLines w:val="0"/>
        <w:pageBreakBefore w:val="0"/>
        <w:kinsoku/>
        <w:wordWrap/>
        <w:overflowPunct w:val="0"/>
        <w:topLinePunct w:val="0"/>
        <w:autoSpaceDE/>
        <w:autoSpaceDN/>
        <w:bidi w:val="0"/>
        <w:adjustRightInd/>
        <w:snapToGrid/>
        <w:spacing w:line="560" w:lineRule="exact"/>
        <w:ind w:firstLine="708" w:firstLineChars="200"/>
        <w:jc w:val="both"/>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r>
        <w:rPr>
          <w:rFonts w:hint="eastAsia" w:ascii="仿宋_GB2312" w:hAnsi="仿宋_GB2312" w:eastAsia="仿宋_GB2312" w:cs="仿宋_GB2312"/>
          <w:color w:val="000000"/>
          <w:spacing w:val="17"/>
          <w:sz w:val="32"/>
          <w:szCs w:val="32"/>
        </w:rPr>
        <w:t>。</w:t>
      </w:r>
    </w:p>
    <w:p w14:paraId="59AC4217">
      <w:pPr>
        <w:pStyle w:val="2"/>
        <w:keepLines w:val="0"/>
        <w:pageBreakBefore w:val="0"/>
        <w:widowControl w:val="0"/>
        <w:kinsoku/>
        <w:wordWrap/>
        <w:overflowPunct w:val="0"/>
        <w:topLinePunct w:val="0"/>
        <w:autoSpaceDE/>
        <w:autoSpaceDN/>
        <w:bidi w:val="0"/>
        <w:adjustRightInd/>
        <w:snapToGrid/>
        <w:spacing w:before="0" w:after="0" w:line="560" w:lineRule="exact"/>
        <w:ind w:firstLine="708" w:firstLineChars="200"/>
        <w:jc w:val="both"/>
        <w:textAlignment w:val="auto"/>
        <w:outlineLvl w:val="9"/>
        <w:rPr>
          <w:rFonts w:hint="eastAsia" w:ascii="仿宋_GB2312" w:hAnsi="仿宋_GB2312" w:eastAsia="仿宋_GB2312" w:cs="仿宋_GB2312"/>
          <w:b w:val="0"/>
          <w:bCs w:val="0"/>
          <w:color w:val="000000"/>
          <w:spacing w:val="17"/>
          <w:sz w:val="32"/>
          <w:szCs w:val="32"/>
        </w:rPr>
      </w:pPr>
      <w:r>
        <w:rPr>
          <w:rFonts w:hint="eastAsia" w:ascii="仿宋_GB2312" w:hAnsi="仿宋_GB2312" w:eastAsia="仿宋_GB2312" w:cs="仿宋_GB2312"/>
          <w:b w:val="0"/>
          <w:bCs w:val="0"/>
          <w:color w:val="000000"/>
          <w:spacing w:val="17"/>
          <w:sz w:val="32"/>
          <w:szCs w:val="32"/>
        </w:rPr>
        <w:t>具体评价指标体系详情见附件1</w:t>
      </w:r>
    </w:p>
    <w:p w14:paraId="2A988085">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3.绩效评价方法</w:t>
      </w:r>
    </w:p>
    <w:p w14:paraId="6D1349AE">
      <w:pPr>
        <w:keepLines w:val="0"/>
        <w:pageBreakBefore w:val="0"/>
        <w:kinsoku/>
        <w:wordWrap/>
        <w:overflowPunct w:val="0"/>
        <w:topLinePunct w:val="0"/>
        <w:autoSpaceDE/>
        <w:autoSpaceDN/>
        <w:bidi w:val="0"/>
        <w:adjustRightInd/>
        <w:snapToGrid/>
        <w:spacing w:line="560" w:lineRule="exact"/>
        <w:ind w:firstLine="708" w:firstLineChars="200"/>
        <w:jc w:val="both"/>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4DA5C97D">
      <w:pPr>
        <w:keepLines w:val="0"/>
        <w:pageBreakBefore w:val="0"/>
        <w:kinsoku/>
        <w:wordWrap/>
        <w:overflowPunct w:val="0"/>
        <w:topLinePunct w:val="0"/>
        <w:autoSpaceDE/>
        <w:autoSpaceDN/>
        <w:bidi w:val="0"/>
        <w:adjustRightInd/>
        <w:snapToGrid/>
        <w:spacing w:line="560" w:lineRule="exact"/>
        <w:ind w:firstLine="708" w:firstLineChars="200"/>
        <w:jc w:val="both"/>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6FD1639B">
      <w:pPr>
        <w:pStyle w:val="19"/>
        <w:keepNext w:val="0"/>
        <w:keepLines w:val="0"/>
        <w:pageBreakBefore w:val="0"/>
        <w:widowControl/>
        <w:shd w:val="clear" w:color="auto" w:fill="FFFFFF"/>
        <w:kinsoku/>
        <w:wordWrap/>
        <w:overflowPunct w:val="0"/>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成本效益分析法—将一定时期内的支出与效益进行对比分析，以评价绩效目标的实现程度。</w:t>
      </w:r>
    </w:p>
    <w:p w14:paraId="2B30C47E">
      <w:pPr>
        <w:pStyle w:val="19"/>
        <w:keepNext w:val="0"/>
        <w:keepLines w:val="0"/>
        <w:pageBreakBefore w:val="0"/>
        <w:widowControl/>
        <w:shd w:val="clear" w:color="auto" w:fill="FFFFFF"/>
        <w:kinsoku/>
        <w:wordWrap/>
        <w:overflowPunct w:val="0"/>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2</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比较法—通过对绩效目标与实施效果比较，指标制定上定量与定性相结合，优先定量，综合分析绩效目标实现程度。</w:t>
      </w:r>
    </w:p>
    <w:p w14:paraId="71072F21">
      <w:pPr>
        <w:pStyle w:val="19"/>
        <w:keepNext w:val="0"/>
        <w:keepLines w:val="0"/>
        <w:pageBreakBefore w:val="0"/>
        <w:widowControl/>
        <w:shd w:val="clear" w:color="auto" w:fill="FFFFFF"/>
        <w:kinsoku/>
        <w:wordWrap/>
        <w:overflowPunct w:val="0"/>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因素分析法—通过综合分析影响绩效目标实现、实施效果的内外因素，评价绩效目标实现程度。</w:t>
      </w:r>
    </w:p>
    <w:p w14:paraId="6B42CC78">
      <w:pPr>
        <w:pStyle w:val="19"/>
        <w:keepNext w:val="0"/>
        <w:keepLines w:val="0"/>
        <w:pageBreakBefore w:val="0"/>
        <w:widowControl/>
        <w:shd w:val="clear" w:color="auto" w:fill="FFFFFF"/>
        <w:kinsoku/>
        <w:wordWrap/>
        <w:overflowPunct w:val="0"/>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4</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最低成本法—对效益确定却不易计量的多个同类对象的实施成本进行比较，评价绩效目标实现程度。</w:t>
      </w:r>
    </w:p>
    <w:p w14:paraId="292EA719">
      <w:pPr>
        <w:pStyle w:val="19"/>
        <w:keepNext w:val="0"/>
        <w:keepLines w:val="0"/>
        <w:pageBreakBefore w:val="0"/>
        <w:widowControl/>
        <w:shd w:val="clear" w:color="auto" w:fill="FFFFFF"/>
        <w:kinsoku/>
        <w:wordWrap/>
        <w:overflowPunct w:val="0"/>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公众评判法—通过专家评估、公众问卷及抽样调查等对专项资金效果、服务对象满意度、环境效益及可持续性等方面进行评判，评价绩效目标实现程度。</w:t>
      </w:r>
    </w:p>
    <w:p w14:paraId="1F1F5FB9">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4.评价标准</w:t>
      </w:r>
    </w:p>
    <w:p w14:paraId="3AADE410">
      <w:pPr>
        <w:keepLines w:val="0"/>
        <w:pageBreakBefore w:val="0"/>
        <w:kinsoku/>
        <w:wordWrap/>
        <w:overflowPunct w:val="0"/>
        <w:topLinePunct w:val="0"/>
        <w:autoSpaceDE/>
        <w:autoSpaceDN/>
        <w:bidi w:val="0"/>
        <w:adjustRightInd/>
        <w:snapToGrid/>
        <w:spacing w:line="560" w:lineRule="exact"/>
        <w:ind w:firstLine="708" w:firstLineChars="200"/>
        <w:jc w:val="both"/>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绩效评价标准通常包括计划标准、行业标准、历史标准等，用于对绩效指标完成情况进行比较。本次评价主要采用了计划标准和行业标准。</w:t>
      </w:r>
    </w:p>
    <w:p w14:paraId="23BC2FE4">
      <w:pPr>
        <w:pStyle w:val="4"/>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i w:val="0"/>
          <w:iCs w:val="0"/>
          <w:sz w:val="32"/>
          <w:szCs w:val="32"/>
        </w:rPr>
      </w:pPr>
      <w:r>
        <w:rPr>
          <w:rFonts w:hint="eastAsia" w:ascii="仿宋_GB2312" w:hAnsi="仿宋_GB2312" w:eastAsia="仿宋_GB2312" w:cs="仿宋_GB2312"/>
          <w:i w:val="0"/>
          <w:iCs w:val="0"/>
          <w:sz w:val="32"/>
          <w:szCs w:val="32"/>
          <w:lang w:eastAsia="zh-CN"/>
        </w:rPr>
        <w:t>（</w:t>
      </w:r>
      <w:r>
        <w:rPr>
          <w:rFonts w:hint="eastAsia" w:ascii="仿宋_GB2312" w:hAnsi="仿宋_GB2312" w:eastAsia="仿宋_GB2312" w:cs="仿宋_GB2312"/>
          <w:i w:val="0"/>
          <w:iCs w:val="0"/>
          <w:sz w:val="32"/>
          <w:szCs w:val="32"/>
          <w:lang w:val="en-US" w:eastAsia="zh-CN"/>
        </w:rPr>
        <w:t>三</w:t>
      </w:r>
      <w:r>
        <w:rPr>
          <w:rFonts w:hint="eastAsia" w:ascii="仿宋_GB2312" w:hAnsi="仿宋_GB2312" w:eastAsia="仿宋_GB2312" w:cs="仿宋_GB2312"/>
          <w:i w:val="0"/>
          <w:iCs w:val="0"/>
          <w:sz w:val="32"/>
          <w:szCs w:val="32"/>
          <w:lang w:eastAsia="zh-CN"/>
        </w:rPr>
        <w:t>）</w:t>
      </w:r>
      <w:r>
        <w:rPr>
          <w:rFonts w:hint="eastAsia" w:ascii="仿宋_GB2312" w:hAnsi="仿宋_GB2312" w:eastAsia="仿宋_GB2312" w:cs="仿宋_GB2312"/>
          <w:i w:val="0"/>
          <w:iCs w:val="0"/>
          <w:sz w:val="32"/>
          <w:szCs w:val="32"/>
        </w:rPr>
        <w:t>绩效评价工作过程</w:t>
      </w:r>
    </w:p>
    <w:p w14:paraId="3046D549">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评价工作分三阶段进行:</w:t>
      </w:r>
    </w:p>
    <w:p w14:paraId="3A45D53F">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1.前期准备</w:t>
      </w:r>
    </w:p>
    <w:p w14:paraId="03A60B61">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明确评价对象、评价工作目标及评价要求；了解项目总体情况、绩效评价政策、评价标准，收集相关资料，拟定评价工作方案，设计评价指标，并对评价方案不断修订和完善。</w:t>
      </w:r>
    </w:p>
    <w:p w14:paraId="2424D904">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2.组织实施</w:t>
      </w:r>
    </w:p>
    <w:p w14:paraId="0C77F810">
      <w:pPr>
        <w:keepNext w:val="0"/>
        <w:keepLines w:val="0"/>
        <w:pageBreakBefore w:val="0"/>
        <w:kinsoku/>
        <w:wordWrap/>
        <w:overflowPunct w:val="0"/>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了解项目完成进度、组织管理等总体情况；查阅、收集有关文件、规章制度、工作台帐等评价资料；审查项目资金的透明度，调查相关管理制度是否建立健全并落实到位，根据审查结果分析项目资金到位、资金管理使用情况及组织管理水平；查看与项目相关的财务会计报表、账簿、会计凭证，了解各项收支情况、审核专款专用情况、财政资金到位情况、实际支出情况和财务管理状况；核实和统计相关数据资料，评价“</w:t>
      </w:r>
      <w:r>
        <w:rPr>
          <w:rFonts w:hint="eastAsia" w:ascii="仿宋_GB2312" w:hAnsi="仿宋_GB2312" w:eastAsia="仿宋_GB2312" w:cs="仿宋_GB2312"/>
          <w:sz w:val="32"/>
          <w:szCs w:val="32"/>
          <w:lang w:eastAsia="zh-CN"/>
        </w:rPr>
        <w:t>其他环境监测与监察支出项目</w:t>
      </w:r>
      <w:r>
        <w:rPr>
          <w:rFonts w:hint="eastAsia" w:ascii="仿宋_GB2312" w:hAnsi="仿宋_GB2312" w:eastAsia="仿宋_GB2312" w:cs="仿宋_GB2312"/>
          <w:sz w:val="32"/>
          <w:szCs w:val="32"/>
          <w:lang w:val="en-US" w:eastAsia="zh-CN"/>
        </w:rPr>
        <w:t>”是否达到项目预期目标。</w:t>
      </w:r>
    </w:p>
    <w:p w14:paraId="2F522C2F">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3.分析评价</w:t>
      </w:r>
    </w:p>
    <w:p w14:paraId="632006D2">
      <w:pPr>
        <w:keepLines w:val="0"/>
        <w:pageBreakBefore w:val="0"/>
        <w:numPr>
          <w:ilvl w:val="-1"/>
          <w:numId w:val="0"/>
        </w:numPr>
        <w:kinsoku/>
        <w:wordWrap/>
        <w:overflowPunct w:val="0"/>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收集的资料进行整理、分类和分析，进一步计算统计定量指标，对定性指标做出经验判断，并运用相应的评价方法对绩效情况进行综合性评价。向领导汇报评价内容，进行评价打分，形成评价结论，提出存在问题、建议和意见，撰写初步评价报告。</w:t>
      </w:r>
    </w:p>
    <w:p w14:paraId="399BBDDD">
      <w:pPr>
        <w:pStyle w:val="3"/>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综合评价情况及评价结论（附相关评分表）</w:t>
      </w:r>
    </w:p>
    <w:p w14:paraId="1D5F4FFD">
      <w:pPr>
        <w:pStyle w:val="2"/>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rPr>
        <w:t>对</w:t>
      </w:r>
      <w:r>
        <w:rPr>
          <w:rFonts w:hint="eastAsia" w:ascii="仿宋_GB2312" w:hAnsi="仿宋_GB2312" w:eastAsia="仿宋_GB2312" w:cs="仿宋_GB2312"/>
          <w:b w:val="0"/>
          <w:bCs w:val="0"/>
          <w:sz w:val="32"/>
          <w:szCs w:val="32"/>
          <w:lang w:eastAsia="zh-CN"/>
        </w:rPr>
        <w:t>生</w:t>
      </w:r>
      <w:r>
        <w:rPr>
          <w:rFonts w:hint="eastAsia" w:ascii="仿宋_GB2312" w:hAnsi="仿宋_GB2312" w:eastAsia="仿宋_GB2312" w:cs="仿宋_GB2312"/>
          <w:b w:val="0"/>
          <w:bCs w:val="0"/>
          <w:sz w:val="32"/>
          <w:szCs w:val="32"/>
        </w:rPr>
        <w:t>态环境厅环境监察专员办环境监察专项项目进行客观评价，最终评分结果：总得分</w:t>
      </w:r>
      <w:r>
        <w:rPr>
          <w:rFonts w:hint="eastAsia" w:ascii="仿宋_GB2312" w:hAnsi="仿宋_GB2312" w:eastAsia="仿宋_GB2312" w:cs="仿宋_GB2312"/>
          <w:b w:val="0"/>
          <w:bCs w:val="0"/>
          <w:sz w:val="32"/>
          <w:szCs w:val="32"/>
          <w:highlight w:val="none"/>
        </w:rPr>
        <w:t>为</w:t>
      </w:r>
      <w:r>
        <w:rPr>
          <w:rFonts w:hint="eastAsia" w:ascii="仿宋_GB2312" w:hAnsi="仿宋_GB2312" w:eastAsia="仿宋_GB2312" w:cs="仿宋_GB2312"/>
          <w:b w:val="0"/>
          <w:bCs w:val="0"/>
          <w:sz w:val="32"/>
          <w:szCs w:val="32"/>
          <w:highlight w:val="none"/>
          <w:lang w:val="en-US" w:eastAsia="zh-CN"/>
        </w:rPr>
        <w:t>99.98</w:t>
      </w:r>
      <w:r>
        <w:rPr>
          <w:rFonts w:hint="eastAsia" w:ascii="仿宋_GB2312" w:hAnsi="仿宋_GB2312" w:eastAsia="仿宋_GB2312" w:cs="仿宋_GB2312"/>
          <w:b w:val="0"/>
          <w:bCs w:val="0"/>
          <w:sz w:val="32"/>
          <w:szCs w:val="32"/>
          <w:highlight w:val="none"/>
        </w:rPr>
        <w:t>分，属于“优”。其中，项目决策类指标权重为20分，得分为</w:t>
      </w:r>
      <w:r>
        <w:rPr>
          <w:rFonts w:hint="eastAsia" w:ascii="仿宋_GB2312" w:hAnsi="仿宋_GB2312" w:eastAsia="仿宋_GB2312" w:cs="仿宋_GB2312"/>
          <w:b w:val="0"/>
          <w:bCs w:val="0"/>
          <w:sz w:val="32"/>
          <w:szCs w:val="32"/>
          <w:highlight w:val="none"/>
          <w:lang w:val="en-US" w:eastAsia="zh-CN"/>
        </w:rPr>
        <w:t>20</w:t>
      </w:r>
      <w:r>
        <w:rPr>
          <w:rFonts w:hint="eastAsia" w:ascii="仿宋_GB2312" w:hAnsi="仿宋_GB2312" w:eastAsia="仿宋_GB2312" w:cs="仿宋_GB2312"/>
          <w:b w:val="0"/>
          <w:bCs w:val="0"/>
          <w:sz w:val="32"/>
          <w:szCs w:val="32"/>
          <w:highlight w:val="none"/>
        </w:rPr>
        <w:t xml:space="preserve">分，得分率为 </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%。项目过程类指标权重为20分，得分为</w:t>
      </w:r>
      <w:r>
        <w:rPr>
          <w:rFonts w:hint="eastAsia" w:ascii="仿宋_GB2312" w:hAnsi="仿宋_GB2312" w:eastAsia="仿宋_GB2312" w:cs="仿宋_GB2312"/>
          <w:b w:val="0"/>
          <w:bCs w:val="0"/>
          <w:sz w:val="32"/>
          <w:szCs w:val="32"/>
          <w:highlight w:val="none"/>
          <w:lang w:val="en-US" w:eastAsia="zh-CN"/>
        </w:rPr>
        <w:t>19.98</w:t>
      </w:r>
      <w:r>
        <w:rPr>
          <w:rFonts w:hint="eastAsia" w:ascii="仿宋_GB2312" w:hAnsi="仿宋_GB2312" w:eastAsia="仿宋_GB2312" w:cs="仿宋_GB2312"/>
          <w:b w:val="0"/>
          <w:bCs w:val="0"/>
          <w:sz w:val="32"/>
          <w:szCs w:val="32"/>
          <w:highlight w:val="none"/>
        </w:rPr>
        <w:t>分，得分率为</w:t>
      </w:r>
      <w:r>
        <w:rPr>
          <w:rFonts w:hint="eastAsia" w:ascii="仿宋_GB2312" w:hAnsi="仿宋_GB2312" w:eastAsia="仿宋_GB2312" w:cs="仿宋_GB2312"/>
          <w:b w:val="0"/>
          <w:bCs w:val="0"/>
          <w:sz w:val="32"/>
          <w:szCs w:val="32"/>
          <w:highlight w:val="none"/>
          <w:lang w:val="en-US" w:eastAsia="zh-CN"/>
        </w:rPr>
        <w:t>99.9</w:t>
      </w:r>
      <w:r>
        <w:rPr>
          <w:rFonts w:hint="eastAsia" w:ascii="仿宋_GB2312" w:hAnsi="仿宋_GB2312" w:eastAsia="仿宋_GB2312" w:cs="仿宋_GB2312"/>
          <w:b w:val="0"/>
          <w:bCs w:val="0"/>
          <w:sz w:val="32"/>
          <w:szCs w:val="32"/>
          <w:highlight w:val="none"/>
        </w:rPr>
        <w:t>%。项目产出类指标权重为40分，得分为</w:t>
      </w:r>
      <w:r>
        <w:rPr>
          <w:rFonts w:hint="eastAsia" w:ascii="仿宋_GB2312" w:hAnsi="仿宋_GB2312" w:eastAsia="仿宋_GB2312" w:cs="仿宋_GB2312"/>
          <w:b w:val="0"/>
          <w:bCs w:val="0"/>
          <w:sz w:val="32"/>
          <w:szCs w:val="32"/>
          <w:highlight w:val="none"/>
          <w:lang w:val="en-US" w:eastAsia="zh-CN"/>
        </w:rPr>
        <w:t>40</w:t>
      </w:r>
      <w:r>
        <w:rPr>
          <w:rFonts w:hint="eastAsia" w:ascii="仿宋_GB2312" w:hAnsi="仿宋_GB2312" w:eastAsia="仿宋_GB2312" w:cs="仿宋_GB2312"/>
          <w:b w:val="0"/>
          <w:bCs w:val="0"/>
          <w:sz w:val="32"/>
          <w:szCs w:val="32"/>
          <w:highlight w:val="none"/>
        </w:rPr>
        <w:t>分，得分率为</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%。项目效益类指标权重为20分，得分为</w:t>
      </w:r>
      <w:r>
        <w:rPr>
          <w:rFonts w:hint="eastAsia" w:ascii="仿宋_GB2312" w:hAnsi="仿宋_GB2312" w:eastAsia="仿宋_GB2312" w:cs="仿宋_GB2312"/>
          <w:b w:val="0"/>
          <w:bCs w:val="0"/>
          <w:sz w:val="32"/>
          <w:szCs w:val="32"/>
          <w:highlight w:val="none"/>
          <w:lang w:val="en-US" w:eastAsia="zh-CN"/>
        </w:rPr>
        <w:t>20</w:t>
      </w:r>
      <w:r>
        <w:rPr>
          <w:rFonts w:hint="eastAsia" w:ascii="仿宋_GB2312" w:hAnsi="仿宋_GB2312" w:eastAsia="仿宋_GB2312" w:cs="仿宋_GB2312"/>
          <w:b w:val="0"/>
          <w:bCs w:val="0"/>
          <w:sz w:val="32"/>
          <w:szCs w:val="32"/>
          <w:highlight w:val="none"/>
        </w:rPr>
        <w:t>分，得分率为</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w:t>
      </w:r>
    </w:p>
    <w:p w14:paraId="7927B0C7">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表1综合评分表</w:t>
      </w:r>
    </w:p>
    <w:p w14:paraId="1AA5B15C">
      <w:pPr>
        <w:rPr>
          <w:rFonts w:hint="eastAsia"/>
        </w:rPr>
      </w:pPr>
    </w:p>
    <w:tbl>
      <w:tblPr>
        <w:tblStyle w:val="22"/>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17"/>
        <w:gridCol w:w="772"/>
        <w:gridCol w:w="1171"/>
        <w:gridCol w:w="2024"/>
        <w:gridCol w:w="727"/>
        <w:gridCol w:w="1044"/>
        <w:gridCol w:w="924"/>
        <w:gridCol w:w="1215"/>
        <w:gridCol w:w="960"/>
      </w:tblGrid>
      <w:tr w14:paraId="078289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blHeader/>
        </w:trPr>
        <w:tc>
          <w:tcPr>
            <w:tcW w:w="1117" w:type="dxa"/>
            <w:tcBorders>
              <w:top w:val="single" w:color="auto" w:sz="8" w:space="0"/>
              <w:left w:val="single" w:color="auto" w:sz="8" w:space="0"/>
              <w:bottom w:val="single" w:color="auto" w:sz="8" w:space="0"/>
              <w:right w:val="single" w:color="auto" w:sz="8" w:space="0"/>
            </w:tcBorders>
            <w:shd w:val="clear" w:color="auto" w:fill="auto"/>
            <w:vAlign w:val="center"/>
          </w:tcPr>
          <w:p w14:paraId="05E50102">
            <w:pPr>
              <w:widowControl/>
              <w:spacing w:line="0" w:lineRule="atLeast"/>
              <w:rPr>
                <w:b/>
                <w:bCs/>
                <w:color w:val="000000"/>
                <w:kern w:val="0"/>
                <w:sz w:val="22"/>
                <w:szCs w:val="22"/>
              </w:rPr>
            </w:pPr>
            <w:r>
              <w:rPr>
                <w:b/>
                <w:bCs/>
                <w:color w:val="000000"/>
                <w:kern w:val="0"/>
                <w:sz w:val="22"/>
                <w:szCs w:val="22"/>
              </w:rPr>
              <w:t>一级指标</w:t>
            </w:r>
          </w:p>
        </w:tc>
        <w:tc>
          <w:tcPr>
            <w:tcW w:w="772" w:type="dxa"/>
            <w:tcBorders>
              <w:top w:val="single" w:color="auto" w:sz="8" w:space="0"/>
              <w:left w:val="single" w:color="auto" w:sz="8" w:space="0"/>
              <w:bottom w:val="single" w:color="auto" w:sz="8" w:space="0"/>
              <w:right w:val="single" w:color="auto" w:sz="8" w:space="0"/>
            </w:tcBorders>
            <w:shd w:val="clear" w:color="auto" w:fill="auto"/>
            <w:vAlign w:val="center"/>
          </w:tcPr>
          <w:p w14:paraId="2D6CDCDA">
            <w:pPr>
              <w:widowControl/>
              <w:spacing w:line="0" w:lineRule="atLeast"/>
              <w:jc w:val="center"/>
              <w:rPr>
                <w:b/>
                <w:bCs/>
                <w:color w:val="000000"/>
                <w:kern w:val="0"/>
                <w:sz w:val="22"/>
                <w:szCs w:val="22"/>
              </w:rPr>
            </w:pPr>
            <w:r>
              <w:rPr>
                <w:b/>
                <w:bCs/>
                <w:color w:val="000000"/>
                <w:kern w:val="0"/>
                <w:sz w:val="22"/>
                <w:szCs w:val="22"/>
              </w:rPr>
              <w:t>分值</w:t>
            </w:r>
          </w:p>
        </w:tc>
        <w:tc>
          <w:tcPr>
            <w:tcW w:w="1171" w:type="dxa"/>
            <w:tcBorders>
              <w:top w:val="single" w:color="auto" w:sz="8" w:space="0"/>
              <w:left w:val="single" w:color="auto" w:sz="8" w:space="0"/>
              <w:bottom w:val="single" w:color="auto" w:sz="8" w:space="0"/>
              <w:right w:val="single" w:color="auto" w:sz="8" w:space="0"/>
            </w:tcBorders>
            <w:shd w:val="clear" w:color="auto" w:fill="auto"/>
            <w:vAlign w:val="center"/>
          </w:tcPr>
          <w:p w14:paraId="06A61FF2">
            <w:pPr>
              <w:widowControl/>
              <w:spacing w:line="0" w:lineRule="atLeast"/>
              <w:jc w:val="center"/>
              <w:rPr>
                <w:b/>
                <w:bCs/>
                <w:color w:val="000000"/>
                <w:kern w:val="0"/>
                <w:sz w:val="22"/>
                <w:szCs w:val="22"/>
              </w:rPr>
            </w:pPr>
            <w:r>
              <w:rPr>
                <w:b/>
                <w:bCs/>
                <w:color w:val="000000"/>
                <w:kern w:val="0"/>
                <w:sz w:val="22"/>
                <w:szCs w:val="22"/>
              </w:rPr>
              <w:t>二级指标</w:t>
            </w: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742CB042">
            <w:pPr>
              <w:widowControl/>
              <w:spacing w:line="0" w:lineRule="atLeast"/>
              <w:jc w:val="center"/>
              <w:rPr>
                <w:b/>
                <w:bCs/>
                <w:color w:val="000000"/>
                <w:kern w:val="0"/>
                <w:sz w:val="22"/>
                <w:szCs w:val="22"/>
              </w:rPr>
            </w:pPr>
            <w:r>
              <w:rPr>
                <w:b/>
                <w:bCs/>
                <w:color w:val="000000"/>
                <w:kern w:val="0"/>
                <w:sz w:val="22"/>
                <w:szCs w:val="22"/>
              </w:rPr>
              <w:t>三级指标</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7CBB498E">
            <w:pPr>
              <w:widowControl/>
              <w:spacing w:line="0" w:lineRule="atLeast"/>
              <w:jc w:val="center"/>
              <w:rPr>
                <w:b/>
                <w:bCs/>
                <w:color w:val="000000"/>
                <w:kern w:val="0"/>
                <w:sz w:val="22"/>
                <w:szCs w:val="22"/>
              </w:rPr>
            </w:pPr>
            <w:r>
              <w:rPr>
                <w:b/>
                <w:bCs/>
                <w:color w:val="000000"/>
                <w:kern w:val="0"/>
                <w:sz w:val="22"/>
                <w:szCs w:val="22"/>
              </w:rPr>
              <w:t>权重</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0D5D3174">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1F54C2A3">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24480313">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33EDEBB7">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14:paraId="5F347C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2C5EC2F6">
            <w:pPr>
              <w:widowControl/>
              <w:spacing w:line="0" w:lineRule="atLeast"/>
              <w:jc w:val="center"/>
              <w:rPr>
                <w:color w:val="000000"/>
                <w:kern w:val="0"/>
                <w:sz w:val="22"/>
                <w:szCs w:val="22"/>
                <w:highlight w:val="none"/>
              </w:rPr>
            </w:pPr>
            <w:r>
              <w:rPr>
                <w:color w:val="000000"/>
                <w:kern w:val="0"/>
                <w:sz w:val="22"/>
                <w:szCs w:val="22"/>
                <w:highlight w:val="none"/>
              </w:rPr>
              <w:t>决策　</w:t>
            </w:r>
          </w:p>
          <w:p w14:paraId="2557E8AA">
            <w:pPr>
              <w:widowControl/>
              <w:spacing w:line="0" w:lineRule="atLeast"/>
              <w:jc w:val="center"/>
              <w:rPr>
                <w:color w:val="000000"/>
                <w:kern w:val="0"/>
                <w:sz w:val="22"/>
                <w:szCs w:val="22"/>
                <w:highlight w:val="none"/>
              </w:rPr>
            </w:pPr>
            <w:r>
              <w:rPr>
                <w:color w:val="000000"/>
                <w:kern w:val="0"/>
                <w:sz w:val="22"/>
                <w:szCs w:val="22"/>
                <w:highlight w:val="none"/>
              </w:rPr>
              <w:t>　</w:t>
            </w:r>
          </w:p>
          <w:p w14:paraId="5D1FE5FB">
            <w:pPr>
              <w:spacing w:line="0" w:lineRule="atLeast"/>
              <w:jc w:val="center"/>
              <w:rPr>
                <w:color w:val="000000"/>
                <w:kern w:val="0"/>
                <w:sz w:val="22"/>
                <w:szCs w:val="22"/>
                <w:highlight w:val="none"/>
              </w:rPr>
            </w:pPr>
            <w:r>
              <w:rPr>
                <w:color w:val="000000"/>
                <w:kern w:val="0"/>
                <w:sz w:val="22"/>
                <w:szCs w:val="22"/>
                <w:highlight w:val="none"/>
              </w:rPr>
              <w:t>　</w:t>
            </w:r>
          </w:p>
          <w:p w14:paraId="5B21D9D1">
            <w:pPr>
              <w:widowControl/>
              <w:spacing w:line="0" w:lineRule="atLeast"/>
              <w:jc w:val="center"/>
              <w:rPr>
                <w:color w:val="000000"/>
                <w:kern w:val="0"/>
                <w:sz w:val="22"/>
                <w:szCs w:val="22"/>
                <w:highlight w:val="none"/>
              </w:rPr>
            </w:pPr>
            <w:r>
              <w:rPr>
                <w:color w:val="000000"/>
                <w:kern w:val="0"/>
                <w:sz w:val="22"/>
                <w:szCs w:val="22"/>
                <w:highlight w:val="none"/>
              </w:rPr>
              <w:t>　</w:t>
            </w:r>
          </w:p>
        </w:tc>
        <w:tc>
          <w:tcPr>
            <w:tcW w:w="772"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68AC25FE">
            <w:pPr>
              <w:widowControl/>
              <w:spacing w:line="0" w:lineRule="atLeast"/>
              <w:jc w:val="center"/>
              <w:rPr>
                <w:color w:val="000000"/>
                <w:kern w:val="0"/>
                <w:sz w:val="22"/>
                <w:szCs w:val="22"/>
                <w:highlight w:val="none"/>
              </w:rPr>
            </w:pPr>
            <w:r>
              <w:rPr>
                <w:rFonts w:hint="eastAsia"/>
                <w:kern w:val="0"/>
                <w:sz w:val="22"/>
                <w:szCs w:val="22"/>
                <w:highlight w:val="none"/>
              </w:rPr>
              <w:t>20</w:t>
            </w:r>
            <w:r>
              <w:rPr>
                <w:kern w:val="0"/>
                <w:sz w:val="22"/>
                <w:szCs w:val="22"/>
                <w:highlight w:val="none"/>
              </w:rPr>
              <w:t>分</w:t>
            </w:r>
          </w:p>
        </w:tc>
        <w:tc>
          <w:tcPr>
            <w:tcW w:w="1171"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3F309292">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4FF162A2">
            <w:pPr>
              <w:widowControl/>
              <w:spacing w:line="0" w:lineRule="atLeast"/>
              <w:jc w:val="center"/>
              <w:rPr>
                <w:color w:val="000000"/>
                <w:kern w:val="0"/>
                <w:sz w:val="22"/>
                <w:szCs w:val="22"/>
                <w:highlight w:val="none"/>
              </w:rPr>
            </w:pPr>
            <w:r>
              <w:rPr>
                <w:color w:val="000000"/>
                <w:kern w:val="0"/>
                <w:sz w:val="22"/>
                <w:szCs w:val="22"/>
                <w:highlight w:val="none"/>
              </w:rPr>
              <w:t>立项依据充分性</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694BA6EC">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0B1BAF4B">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2A7AA835">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0309EF6E">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06A3F852">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r>
      <w:tr w14:paraId="63FCAD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603B6AF8">
            <w:pPr>
              <w:spacing w:line="0" w:lineRule="atLeast"/>
              <w:jc w:val="center"/>
              <w:rPr>
                <w:color w:val="000000"/>
                <w:kern w:val="0"/>
                <w:sz w:val="22"/>
                <w:szCs w:val="22"/>
              </w:rPr>
            </w:pPr>
          </w:p>
        </w:tc>
        <w:tc>
          <w:tcPr>
            <w:tcW w:w="772"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593CD267">
            <w:pPr>
              <w:widowControl/>
              <w:spacing w:line="0" w:lineRule="atLeast"/>
              <w:jc w:val="center"/>
              <w:rPr>
                <w:color w:val="000000"/>
                <w:kern w:val="0"/>
                <w:sz w:val="22"/>
                <w:szCs w:val="22"/>
              </w:rPr>
            </w:pPr>
          </w:p>
        </w:tc>
        <w:tc>
          <w:tcPr>
            <w:tcW w:w="1171"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6F9D1094">
            <w:pPr>
              <w:widowControl/>
              <w:spacing w:line="0" w:lineRule="atLeast"/>
              <w:jc w:val="center"/>
              <w:rPr>
                <w:color w:val="000000"/>
                <w:kern w:val="0"/>
                <w:sz w:val="22"/>
                <w:szCs w:val="22"/>
              </w:rPr>
            </w:pP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2378C8A3">
            <w:pPr>
              <w:widowControl/>
              <w:spacing w:line="0" w:lineRule="atLeast"/>
              <w:jc w:val="center"/>
              <w:rPr>
                <w:color w:val="000000"/>
                <w:kern w:val="0"/>
                <w:sz w:val="22"/>
                <w:szCs w:val="22"/>
              </w:rPr>
            </w:pPr>
            <w:r>
              <w:rPr>
                <w:color w:val="000000"/>
                <w:kern w:val="0"/>
                <w:sz w:val="22"/>
                <w:szCs w:val="22"/>
                <w:highlight w:val="none"/>
              </w:rPr>
              <w:t>立项程序规范性</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62A01BF4">
            <w:pPr>
              <w:widowControl/>
              <w:spacing w:line="0" w:lineRule="atLeast"/>
              <w:jc w:val="center"/>
              <w:rPr>
                <w:color w:val="000000"/>
                <w:kern w:val="0"/>
                <w:sz w:val="22"/>
                <w:szCs w:val="22"/>
              </w:rPr>
            </w:pPr>
            <w:r>
              <w:rPr>
                <w:rFonts w:hint="eastAsia"/>
                <w:color w:val="000000"/>
                <w:kern w:val="0"/>
                <w:sz w:val="22"/>
                <w:szCs w:val="22"/>
                <w:highlight w:val="none"/>
              </w:rPr>
              <w:t>3</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7A67AC17">
            <w:pPr>
              <w:widowControl/>
              <w:spacing w:line="0" w:lineRule="atLeast"/>
              <w:jc w:val="center"/>
              <w:rPr>
                <w:color w:val="000000"/>
                <w:kern w:val="0"/>
                <w:sz w:val="22"/>
                <w:szCs w:val="22"/>
              </w:rPr>
            </w:pPr>
            <w:r>
              <w:rPr>
                <w:color w:val="000000"/>
                <w:kern w:val="0"/>
                <w:sz w:val="22"/>
                <w:szCs w:val="22"/>
                <w:highlight w:val="none"/>
              </w:rPr>
              <w:t>规范</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0FEFE936">
            <w:pPr>
              <w:widowControl/>
              <w:spacing w:line="0" w:lineRule="atLeast"/>
              <w:jc w:val="center"/>
              <w:rPr>
                <w:color w:val="000000"/>
                <w:kern w:val="0"/>
                <w:sz w:val="22"/>
                <w:szCs w:val="22"/>
              </w:rPr>
            </w:pPr>
            <w:r>
              <w:rPr>
                <w:color w:val="000000"/>
                <w:kern w:val="0"/>
                <w:sz w:val="22"/>
                <w:szCs w:val="22"/>
                <w:highlight w:val="none"/>
              </w:rPr>
              <w:t>规范</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4D9C0F34">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61551A3C">
            <w:pPr>
              <w:widowControl/>
              <w:spacing w:line="0" w:lineRule="atLeast"/>
              <w:jc w:val="center"/>
              <w:rPr>
                <w:color w:val="000000"/>
                <w:kern w:val="0"/>
                <w:sz w:val="22"/>
                <w:szCs w:val="22"/>
              </w:rPr>
            </w:pPr>
            <w:r>
              <w:rPr>
                <w:rFonts w:hint="eastAsia"/>
                <w:color w:val="000000"/>
                <w:kern w:val="0"/>
                <w:sz w:val="22"/>
                <w:szCs w:val="22"/>
                <w:highlight w:val="none"/>
              </w:rPr>
              <w:t>3</w:t>
            </w:r>
          </w:p>
        </w:tc>
      </w:tr>
      <w:tr w14:paraId="10985C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6D403F2D">
            <w:pPr>
              <w:spacing w:line="0" w:lineRule="atLeast"/>
              <w:jc w:val="center"/>
              <w:rPr>
                <w:color w:val="000000"/>
                <w:kern w:val="0"/>
                <w:sz w:val="22"/>
                <w:szCs w:val="22"/>
              </w:rPr>
            </w:pPr>
          </w:p>
        </w:tc>
        <w:tc>
          <w:tcPr>
            <w:tcW w:w="772"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58FDD6E8">
            <w:pPr>
              <w:widowControl/>
              <w:spacing w:line="0" w:lineRule="atLeast"/>
              <w:jc w:val="center"/>
              <w:rPr>
                <w:color w:val="000000"/>
                <w:kern w:val="0"/>
                <w:sz w:val="22"/>
                <w:szCs w:val="22"/>
              </w:rPr>
            </w:pPr>
          </w:p>
        </w:tc>
        <w:tc>
          <w:tcPr>
            <w:tcW w:w="1171"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68CEE487">
            <w:pPr>
              <w:widowControl/>
              <w:spacing w:line="0" w:lineRule="atLeast"/>
              <w:jc w:val="center"/>
              <w:rPr>
                <w:color w:val="000000"/>
                <w:kern w:val="0"/>
                <w:sz w:val="22"/>
                <w:szCs w:val="22"/>
              </w:rPr>
            </w:pPr>
            <w:r>
              <w:rPr>
                <w:color w:val="000000"/>
                <w:kern w:val="0"/>
                <w:sz w:val="22"/>
                <w:szCs w:val="22"/>
                <w:highlight w:val="none"/>
              </w:rPr>
              <w:t>绩效目标　</w:t>
            </w: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5757F707">
            <w:pPr>
              <w:widowControl/>
              <w:spacing w:line="0" w:lineRule="atLeast"/>
              <w:jc w:val="center"/>
              <w:rPr>
                <w:color w:val="000000"/>
                <w:kern w:val="0"/>
                <w:sz w:val="22"/>
                <w:szCs w:val="22"/>
              </w:rPr>
            </w:pPr>
            <w:r>
              <w:rPr>
                <w:color w:val="000000"/>
                <w:kern w:val="0"/>
                <w:sz w:val="22"/>
                <w:szCs w:val="22"/>
                <w:highlight w:val="none"/>
              </w:rPr>
              <w:t>绩效目标合理性</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5959E028">
            <w:pPr>
              <w:widowControl/>
              <w:spacing w:line="0" w:lineRule="atLeast"/>
              <w:jc w:val="center"/>
              <w:rPr>
                <w:color w:val="000000"/>
                <w:kern w:val="0"/>
                <w:sz w:val="22"/>
                <w:szCs w:val="22"/>
              </w:rPr>
            </w:pPr>
            <w:r>
              <w:rPr>
                <w:rFonts w:hint="eastAsia"/>
                <w:color w:val="000000"/>
                <w:kern w:val="0"/>
                <w:sz w:val="22"/>
                <w:szCs w:val="22"/>
                <w:highlight w:val="none"/>
              </w:rPr>
              <w:t>4</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3F3183F1">
            <w:pPr>
              <w:widowControl/>
              <w:spacing w:line="0" w:lineRule="atLeast"/>
              <w:jc w:val="center"/>
              <w:rPr>
                <w:color w:val="000000"/>
                <w:kern w:val="0"/>
                <w:sz w:val="22"/>
                <w:szCs w:val="22"/>
              </w:rPr>
            </w:pPr>
            <w:r>
              <w:rPr>
                <w:color w:val="000000"/>
                <w:kern w:val="0"/>
                <w:sz w:val="22"/>
                <w:szCs w:val="22"/>
                <w:highlight w:val="none"/>
              </w:rPr>
              <w:t>合理</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4848D336">
            <w:pPr>
              <w:widowControl/>
              <w:spacing w:line="0" w:lineRule="atLeast"/>
              <w:jc w:val="center"/>
              <w:rPr>
                <w:color w:val="000000"/>
                <w:kern w:val="0"/>
                <w:sz w:val="22"/>
                <w:szCs w:val="22"/>
              </w:rPr>
            </w:pPr>
            <w:r>
              <w:rPr>
                <w:color w:val="000000"/>
                <w:kern w:val="0"/>
                <w:sz w:val="22"/>
                <w:szCs w:val="22"/>
                <w:highlight w:val="none"/>
              </w:rPr>
              <w:t>合理</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10862AF5">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771E08AA">
            <w:pPr>
              <w:widowControl/>
              <w:spacing w:line="0" w:lineRule="atLeast"/>
              <w:jc w:val="center"/>
              <w:rPr>
                <w:color w:val="000000"/>
                <w:kern w:val="0"/>
                <w:sz w:val="22"/>
                <w:szCs w:val="22"/>
              </w:rPr>
            </w:pPr>
            <w:r>
              <w:rPr>
                <w:rFonts w:hint="eastAsia"/>
                <w:color w:val="000000"/>
                <w:kern w:val="0"/>
                <w:sz w:val="22"/>
                <w:szCs w:val="22"/>
                <w:highlight w:val="none"/>
              </w:rPr>
              <w:t>4</w:t>
            </w:r>
          </w:p>
        </w:tc>
      </w:tr>
      <w:tr w14:paraId="4602FE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513EDEAC">
            <w:pPr>
              <w:widowControl/>
              <w:spacing w:line="0" w:lineRule="atLeast"/>
              <w:jc w:val="center"/>
              <w:rPr>
                <w:color w:val="000000"/>
                <w:kern w:val="0"/>
                <w:sz w:val="22"/>
                <w:szCs w:val="22"/>
              </w:rPr>
            </w:pPr>
          </w:p>
        </w:tc>
        <w:tc>
          <w:tcPr>
            <w:tcW w:w="772"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5EDC3F37">
            <w:pPr>
              <w:widowControl/>
              <w:spacing w:line="0" w:lineRule="atLeast"/>
              <w:jc w:val="center"/>
              <w:rPr>
                <w:color w:val="000000"/>
                <w:kern w:val="0"/>
                <w:sz w:val="22"/>
                <w:szCs w:val="22"/>
              </w:rPr>
            </w:pPr>
          </w:p>
        </w:tc>
        <w:tc>
          <w:tcPr>
            <w:tcW w:w="1171"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42E4E773">
            <w:pPr>
              <w:widowControl/>
              <w:spacing w:line="0" w:lineRule="atLeast"/>
              <w:jc w:val="center"/>
              <w:rPr>
                <w:color w:val="000000"/>
                <w:kern w:val="0"/>
                <w:sz w:val="22"/>
                <w:szCs w:val="22"/>
              </w:rPr>
            </w:pP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689005AE">
            <w:pPr>
              <w:widowControl/>
              <w:spacing w:line="0" w:lineRule="atLeast"/>
              <w:jc w:val="center"/>
              <w:rPr>
                <w:color w:val="000000"/>
                <w:kern w:val="0"/>
                <w:sz w:val="22"/>
                <w:szCs w:val="22"/>
              </w:rPr>
            </w:pPr>
            <w:r>
              <w:rPr>
                <w:color w:val="000000"/>
                <w:kern w:val="0"/>
                <w:sz w:val="22"/>
                <w:szCs w:val="22"/>
                <w:highlight w:val="none"/>
              </w:rPr>
              <w:t>绩效指标明确性</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2BB702F5">
            <w:pPr>
              <w:widowControl/>
              <w:spacing w:line="0" w:lineRule="atLeast"/>
              <w:jc w:val="center"/>
              <w:rPr>
                <w:color w:val="000000"/>
                <w:kern w:val="0"/>
                <w:sz w:val="22"/>
                <w:szCs w:val="22"/>
              </w:rPr>
            </w:pPr>
            <w:r>
              <w:rPr>
                <w:rFonts w:hint="eastAsia"/>
                <w:color w:val="000000"/>
                <w:kern w:val="0"/>
                <w:sz w:val="22"/>
                <w:szCs w:val="22"/>
                <w:highlight w:val="none"/>
              </w:rPr>
              <w:t>3</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10CA8F76">
            <w:pPr>
              <w:widowControl/>
              <w:spacing w:line="0" w:lineRule="atLeast"/>
              <w:jc w:val="center"/>
              <w:rPr>
                <w:color w:val="000000"/>
                <w:kern w:val="0"/>
                <w:sz w:val="22"/>
                <w:szCs w:val="22"/>
              </w:rPr>
            </w:pPr>
            <w:r>
              <w:rPr>
                <w:color w:val="000000"/>
                <w:kern w:val="0"/>
                <w:sz w:val="22"/>
                <w:szCs w:val="22"/>
                <w:highlight w:val="none"/>
              </w:rPr>
              <w:t>明确</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671E304B">
            <w:pPr>
              <w:widowControl/>
              <w:spacing w:line="0" w:lineRule="atLeast"/>
              <w:jc w:val="center"/>
              <w:rPr>
                <w:color w:val="000000"/>
                <w:kern w:val="0"/>
                <w:sz w:val="22"/>
                <w:szCs w:val="22"/>
              </w:rPr>
            </w:pPr>
            <w:r>
              <w:rPr>
                <w:color w:val="000000"/>
                <w:kern w:val="0"/>
                <w:sz w:val="22"/>
                <w:szCs w:val="22"/>
                <w:highlight w:val="none"/>
              </w:rPr>
              <w:t>明确</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3026B778">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38809881">
            <w:pPr>
              <w:widowControl/>
              <w:spacing w:line="0" w:lineRule="atLeast"/>
              <w:jc w:val="center"/>
              <w:rPr>
                <w:color w:val="000000"/>
                <w:kern w:val="0"/>
                <w:sz w:val="22"/>
                <w:szCs w:val="22"/>
              </w:rPr>
            </w:pPr>
            <w:r>
              <w:rPr>
                <w:rFonts w:hint="eastAsia"/>
                <w:color w:val="000000"/>
                <w:kern w:val="0"/>
                <w:sz w:val="22"/>
                <w:szCs w:val="22"/>
                <w:highlight w:val="none"/>
              </w:rPr>
              <w:t>3</w:t>
            </w:r>
          </w:p>
        </w:tc>
      </w:tr>
      <w:tr w14:paraId="71C23A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22D5942C">
            <w:pPr>
              <w:spacing w:line="0" w:lineRule="atLeast"/>
              <w:jc w:val="center"/>
              <w:rPr>
                <w:color w:val="000000"/>
                <w:kern w:val="0"/>
                <w:sz w:val="22"/>
                <w:szCs w:val="22"/>
              </w:rPr>
            </w:pPr>
          </w:p>
        </w:tc>
        <w:tc>
          <w:tcPr>
            <w:tcW w:w="772"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48990E89">
            <w:pPr>
              <w:spacing w:line="0" w:lineRule="atLeast"/>
              <w:jc w:val="center"/>
              <w:rPr>
                <w:color w:val="000000"/>
                <w:kern w:val="0"/>
                <w:sz w:val="22"/>
                <w:szCs w:val="22"/>
              </w:rPr>
            </w:pPr>
          </w:p>
        </w:tc>
        <w:tc>
          <w:tcPr>
            <w:tcW w:w="1171"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7E24F48B">
            <w:pPr>
              <w:widowControl/>
              <w:spacing w:line="0" w:lineRule="atLeast"/>
              <w:jc w:val="center"/>
              <w:rPr>
                <w:color w:val="000000"/>
                <w:kern w:val="0"/>
                <w:sz w:val="22"/>
                <w:szCs w:val="22"/>
              </w:rPr>
            </w:pPr>
            <w:r>
              <w:rPr>
                <w:color w:val="000000"/>
                <w:kern w:val="0"/>
                <w:sz w:val="22"/>
                <w:szCs w:val="22"/>
                <w:highlight w:val="none"/>
              </w:rPr>
              <w:t>资金投入</w:t>
            </w: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72134832">
            <w:pPr>
              <w:widowControl/>
              <w:spacing w:line="0" w:lineRule="atLeast"/>
              <w:jc w:val="center"/>
              <w:rPr>
                <w:color w:val="000000"/>
                <w:kern w:val="0"/>
                <w:sz w:val="22"/>
                <w:szCs w:val="22"/>
              </w:rPr>
            </w:pPr>
            <w:r>
              <w:rPr>
                <w:color w:val="000000"/>
                <w:kern w:val="0"/>
                <w:sz w:val="22"/>
                <w:szCs w:val="22"/>
                <w:highlight w:val="none"/>
              </w:rPr>
              <w:t>预算编制科学性</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5D49E655">
            <w:pPr>
              <w:widowControl/>
              <w:spacing w:line="0" w:lineRule="atLeast"/>
              <w:jc w:val="center"/>
              <w:rPr>
                <w:color w:val="000000"/>
                <w:kern w:val="0"/>
                <w:sz w:val="22"/>
                <w:szCs w:val="22"/>
              </w:rPr>
            </w:pPr>
            <w:r>
              <w:rPr>
                <w:rFonts w:hint="eastAsia"/>
                <w:color w:val="000000"/>
                <w:kern w:val="0"/>
                <w:sz w:val="22"/>
                <w:szCs w:val="22"/>
                <w:highlight w:val="none"/>
              </w:rPr>
              <w:t>4</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16E1D8FF">
            <w:pPr>
              <w:widowControl/>
              <w:spacing w:line="0" w:lineRule="atLeast"/>
              <w:jc w:val="center"/>
              <w:rPr>
                <w:color w:val="000000"/>
                <w:kern w:val="0"/>
                <w:sz w:val="22"/>
                <w:szCs w:val="22"/>
              </w:rPr>
            </w:pPr>
            <w:r>
              <w:rPr>
                <w:color w:val="000000"/>
                <w:kern w:val="0"/>
                <w:sz w:val="22"/>
                <w:szCs w:val="22"/>
                <w:highlight w:val="none"/>
              </w:rPr>
              <w:t>科学</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3712DABE">
            <w:pPr>
              <w:widowControl/>
              <w:spacing w:line="0" w:lineRule="atLeast"/>
              <w:jc w:val="center"/>
              <w:rPr>
                <w:color w:val="000000"/>
                <w:kern w:val="0"/>
                <w:sz w:val="22"/>
                <w:szCs w:val="22"/>
              </w:rPr>
            </w:pPr>
            <w:r>
              <w:rPr>
                <w:color w:val="000000"/>
                <w:kern w:val="0"/>
                <w:sz w:val="22"/>
                <w:szCs w:val="22"/>
                <w:highlight w:val="none"/>
              </w:rPr>
              <w:t>科学</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00459F5F">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09F887CC">
            <w:pPr>
              <w:widowControl/>
              <w:spacing w:line="0" w:lineRule="atLeast"/>
              <w:jc w:val="center"/>
              <w:rPr>
                <w:color w:val="000000"/>
                <w:kern w:val="0"/>
                <w:sz w:val="22"/>
                <w:szCs w:val="22"/>
              </w:rPr>
            </w:pPr>
            <w:r>
              <w:rPr>
                <w:rFonts w:hint="eastAsia"/>
                <w:color w:val="000000"/>
                <w:kern w:val="0"/>
                <w:sz w:val="22"/>
                <w:szCs w:val="22"/>
                <w:highlight w:val="none"/>
              </w:rPr>
              <w:t>4</w:t>
            </w:r>
          </w:p>
        </w:tc>
      </w:tr>
      <w:tr w14:paraId="142838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5A54F309">
            <w:pPr>
              <w:widowControl/>
              <w:spacing w:line="0" w:lineRule="atLeast"/>
              <w:jc w:val="center"/>
              <w:rPr>
                <w:color w:val="000000"/>
                <w:kern w:val="0"/>
                <w:sz w:val="22"/>
                <w:szCs w:val="22"/>
              </w:rPr>
            </w:pPr>
          </w:p>
        </w:tc>
        <w:tc>
          <w:tcPr>
            <w:tcW w:w="772"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36FAD2DA">
            <w:pPr>
              <w:widowControl/>
              <w:spacing w:line="0" w:lineRule="atLeast"/>
              <w:jc w:val="center"/>
              <w:rPr>
                <w:color w:val="000000"/>
                <w:kern w:val="0"/>
                <w:sz w:val="22"/>
                <w:szCs w:val="22"/>
              </w:rPr>
            </w:pPr>
          </w:p>
        </w:tc>
        <w:tc>
          <w:tcPr>
            <w:tcW w:w="1171"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3C104226">
            <w:pPr>
              <w:widowControl/>
              <w:spacing w:line="0" w:lineRule="atLeast"/>
              <w:jc w:val="center"/>
              <w:rPr>
                <w:color w:val="000000"/>
                <w:kern w:val="0"/>
                <w:sz w:val="22"/>
                <w:szCs w:val="22"/>
              </w:rPr>
            </w:pP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3905FE92">
            <w:pPr>
              <w:widowControl/>
              <w:spacing w:line="0" w:lineRule="atLeast"/>
              <w:jc w:val="center"/>
              <w:rPr>
                <w:color w:val="000000"/>
                <w:kern w:val="0"/>
                <w:sz w:val="22"/>
                <w:szCs w:val="22"/>
              </w:rPr>
            </w:pPr>
            <w:r>
              <w:rPr>
                <w:color w:val="000000"/>
                <w:kern w:val="0"/>
                <w:sz w:val="22"/>
                <w:szCs w:val="22"/>
                <w:highlight w:val="none"/>
              </w:rPr>
              <w:t>资金分配合理性</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44C2831E">
            <w:pPr>
              <w:widowControl/>
              <w:spacing w:line="0" w:lineRule="atLeast"/>
              <w:jc w:val="center"/>
              <w:rPr>
                <w:color w:val="000000"/>
                <w:kern w:val="0"/>
                <w:sz w:val="22"/>
                <w:szCs w:val="22"/>
              </w:rPr>
            </w:pPr>
            <w:r>
              <w:rPr>
                <w:rFonts w:hint="eastAsia"/>
                <w:color w:val="000000"/>
                <w:kern w:val="0"/>
                <w:sz w:val="22"/>
                <w:szCs w:val="22"/>
                <w:highlight w:val="none"/>
              </w:rPr>
              <w:t>3</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7054A298">
            <w:pPr>
              <w:widowControl/>
              <w:spacing w:line="0" w:lineRule="atLeast"/>
              <w:jc w:val="center"/>
              <w:rPr>
                <w:color w:val="000000"/>
                <w:kern w:val="0"/>
                <w:sz w:val="22"/>
                <w:szCs w:val="22"/>
              </w:rPr>
            </w:pPr>
            <w:r>
              <w:rPr>
                <w:color w:val="000000"/>
                <w:kern w:val="0"/>
                <w:sz w:val="22"/>
                <w:szCs w:val="22"/>
                <w:highlight w:val="none"/>
              </w:rPr>
              <w:t>合理</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2A0A81CF">
            <w:pPr>
              <w:widowControl/>
              <w:spacing w:line="0" w:lineRule="atLeast"/>
              <w:jc w:val="center"/>
              <w:rPr>
                <w:color w:val="000000"/>
                <w:kern w:val="0"/>
                <w:sz w:val="22"/>
                <w:szCs w:val="22"/>
              </w:rPr>
            </w:pPr>
            <w:r>
              <w:rPr>
                <w:color w:val="000000"/>
                <w:kern w:val="0"/>
                <w:sz w:val="22"/>
                <w:szCs w:val="22"/>
                <w:highlight w:val="none"/>
              </w:rPr>
              <w:t>合理</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53D1C00C">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2644FCC4">
            <w:pPr>
              <w:widowControl/>
              <w:spacing w:line="0" w:lineRule="atLeast"/>
              <w:jc w:val="center"/>
              <w:rPr>
                <w:color w:val="000000"/>
                <w:kern w:val="0"/>
                <w:sz w:val="22"/>
                <w:szCs w:val="22"/>
              </w:rPr>
            </w:pPr>
            <w:r>
              <w:rPr>
                <w:rFonts w:hint="eastAsia"/>
                <w:color w:val="000000"/>
                <w:kern w:val="0"/>
                <w:sz w:val="22"/>
                <w:szCs w:val="22"/>
                <w:highlight w:val="none"/>
              </w:rPr>
              <w:t>3</w:t>
            </w:r>
          </w:p>
        </w:tc>
      </w:tr>
      <w:tr w14:paraId="7B7682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75FFBA1A">
            <w:pPr>
              <w:spacing w:line="0" w:lineRule="atLeast"/>
              <w:jc w:val="center"/>
              <w:rPr>
                <w:color w:val="000000"/>
                <w:kern w:val="0"/>
                <w:sz w:val="22"/>
                <w:szCs w:val="22"/>
                <w:highlight w:val="none"/>
              </w:rPr>
            </w:pPr>
            <w:r>
              <w:rPr>
                <w:color w:val="000000"/>
                <w:kern w:val="0"/>
                <w:sz w:val="22"/>
                <w:szCs w:val="22"/>
                <w:highlight w:val="none"/>
              </w:rPr>
              <w:t>过程</w:t>
            </w:r>
          </w:p>
          <w:p w14:paraId="3D7033DB">
            <w:pPr>
              <w:spacing w:line="0" w:lineRule="atLeast"/>
              <w:jc w:val="center"/>
              <w:rPr>
                <w:color w:val="000000"/>
                <w:kern w:val="0"/>
                <w:sz w:val="22"/>
                <w:szCs w:val="22"/>
              </w:rPr>
            </w:pPr>
            <w:r>
              <w:rPr>
                <w:color w:val="000000"/>
                <w:kern w:val="0"/>
                <w:sz w:val="22"/>
                <w:szCs w:val="22"/>
                <w:highlight w:val="none"/>
              </w:rPr>
              <w:t>　</w:t>
            </w:r>
          </w:p>
        </w:tc>
        <w:tc>
          <w:tcPr>
            <w:tcW w:w="772"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56FF2B2E">
            <w:pPr>
              <w:widowControl/>
              <w:spacing w:line="0" w:lineRule="atLeast"/>
              <w:jc w:val="center"/>
              <w:rPr>
                <w:color w:val="000000"/>
                <w:kern w:val="0"/>
                <w:sz w:val="22"/>
                <w:szCs w:val="22"/>
              </w:rPr>
            </w:pPr>
            <w:r>
              <w:rPr>
                <w:rFonts w:hint="eastAsia"/>
                <w:kern w:val="0"/>
                <w:sz w:val="22"/>
                <w:szCs w:val="22"/>
                <w:highlight w:val="none"/>
              </w:rPr>
              <w:t>20</w:t>
            </w:r>
            <w:r>
              <w:rPr>
                <w:kern w:val="0"/>
                <w:sz w:val="22"/>
                <w:szCs w:val="22"/>
                <w:highlight w:val="none"/>
              </w:rPr>
              <w:t>分</w:t>
            </w:r>
          </w:p>
        </w:tc>
        <w:tc>
          <w:tcPr>
            <w:tcW w:w="1171"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3A47907D">
            <w:pPr>
              <w:widowControl/>
              <w:spacing w:line="0" w:lineRule="atLeast"/>
              <w:jc w:val="center"/>
              <w:rPr>
                <w:color w:val="000000"/>
                <w:kern w:val="0"/>
                <w:sz w:val="22"/>
                <w:szCs w:val="22"/>
              </w:rPr>
            </w:pPr>
            <w:r>
              <w:rPr>
                <w:color w:val="000000"/>
                <w:kern w:val="0"/>
                <w:sz w:val="22"/>
                <w:szCs w:val="22"/>
                <w:highlight w:val="none"/>
              </w:rPr>
              <w:t>资金管理</w:t>
            </w: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551F3C39">
            <w:pPr>
              <w:widowControl/>
              <w:spacing w:line="0" w:lineRule="atLeast"/>
              <w:jc w:val="center"/>
              <w:rPr>
                <w:color w:val="000000"/>
                <w:kern w:val="0"/>
                <w:sz w:val="22"/>
                <w:szCs w:val="22"/>
              </w:rPr>
            </w:pPr>
            <w:r>
              <w:rPr>
                <w:color w:val="000000"/>
                <w:kern w:val="0"/>
                <w:sz w:val="22"/>
                <w:szCs w:val="22"/>
                <w:highlight w:val="none"/>
              </w:rPr>
              <w:t>资金到位率</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6E4397BA">
            <w:pPr>
              <w:widowControl/>
              <w:spacing w:line="0" w:lineRule="atLeast"/>
              <w:jc w:val="center"/>
              <w:rPr>
                <w:color w:val="000000"/>
                <w:kern w:val="0"/>
                <w:sz w:val="22"/>
                <w:szCs w:val="22"/>
              </w:rPr>
            </w:pPr>
            <w:r>
              <w:rPr>
                <w:rFonts w:hint="eastAsia"/>
                <w:color w:val="000000"/>
                <w:kern w:val="0"/>
                <w:sz w:val="22"/>
                <w:szCs w:val="22"/>
                <w:highlight w:val="none"/>
              </w:rPr>
              <w:t>4</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477113E8">
            <w:pPr>
              <w:widowControl/>
              <w:spacing w:line="0" w:lineRule="atLeast"/>
              <w:jc w:val="center"/>
              <w:rPr>
                <w:color w:val="000000"/>
                <w:kern w:val="0"/>
                <w:sz w:val="22"/>
                <w:szCs w:val="22"/>
              </w:rPr>
            </w:pPr>
            <w:r>
              <w:rPr>
                <w:color w:val="000000"/>
                <w:kern w:val="0"/>
                <w:sz w:val="22"/>
                <w:szCs w:val="22"/>
                <w:highlight w:val="none"/>
              </w:rPr>
              <w:t>100%</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4B390068">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42417D57">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35822890">
            <w:pPr>
              <w:widowControl/>
              <w:spacing w:line="0" w:lineRule="atLeast"/>
              <w:jc w:val="center"/>
              <w:rPr>
                <w:color w:val="000000"/>
                <w:kern w:val="0"/>
                <w:sz w:val="22"/>
                <w:szCs w:val="22"/>
              </w:rPr>
            </w:pPr>
            <w:r>
              <w:rPr>
                <w:rFonts w:hint="eastAsia"/>
                <w:color w:val="000000"/>
                <w:kern w:val="0"/>
                <w:sz w:val="22"/>
                <w:szCs w:val="22"/>
                <w:highlight w:val="none"/>
              </w:rPr>
              <w:t>4</w:t>
            </w:r>
          </w:p>
        </w:tc>
      </w:tr>
      <w:tr w14:paraId="2ECA1F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12BF15CF">
            <w:pPr>
              <w:spacing w:line="0" w:lineRule="atLeast"/>
              <w:jc w:val="center"/>
              <w:rPr>
                <w:color w:val="000000"/>
                <w:kern w:val="0"/>
                <w:sz w:val="22"/>
                <w:szCs w:val="22"/>
              </w:rPr>
            </w:pPr>
          </w:p>
        </w:tc>
        <w:tc>
          <w:tcPr>
            <w:tcW w:w="772"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69D20170">
            <w:pPr>
              <w:spacing w:line="0" w:lineRule="atLeast"/>
              <w:jc w:val="center"/>
              <w:rPr>
                <w:color w:val="000000"/>
                <w:kern w:val="0"/>
                <w:sz w:val="22"/>
                <w:szCs w:val="22"/>
              </w:rPr>
            </w:pPr>
          </w:p>
        </w:tc>
        <w:tc>
          <w:tcPr>
            <w:tcW w:w="1171"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51C2CADF">
            <w:pPr>
              <w:spacing w:line="0" w:lineRule="atLeast"/>
              <w:jc w:val="center"/>
              <w:rPr>
                <w:color w:val="000000"/>
                <w:kern w:val="0"/>
                <w:sz w:val="22"/>
                <w:szCs w:val="22"/>
              </w:rPr>
            </w:pP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20AF22F9">
            <w:pPr>
              <w:widowControl/>
              <w:spacing w:line="0" w:lineRule="atLeast"/>
              <w:jc w:val="center"/>
              <w:rPr>
                <w:color w:val="000000"/>
                <w:kern w:val="0"/>
                <w:sz w:val="22"/>
                <w:szCs w:val="22"/>
              </w:rPr>
            </w:pPr>
            <w:r>
              <w:rPr>
                <w:color w:val="000000"/>
                <w:kern w:val="0"/>
                <w:sz w:val="22"/>
                <w:szCs w:val="22"/>
                <w:highlight w:val="none"/>
              </w:rPr>
              <w:t>预算执行率</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6917C95A">
            <w:pPr>
              <w:widowControl/>
              <w:spacing w:line="0" w:lineRule="atLeast"/>
              <w:jc w:val="center"/>
              <w:rPr>
                <w:color w:val="000000"/>
                <w:kern w:val="0"/>
                <w:sz w:val="22"/>
                <w:szCs w:val="22"/>
              </w:rPr>
            </w:pPr>
            <w:r>
              <w:rPr>
                <w:rFonts w:hint="eastAsia"/>
                <w:color w:val="000000"/>
                <w:kern w:val="0"/>
                <w:sz w:val="22"/>
                <w:szCs w:val="22"/>
                <w:highlight w:val="none"/>
              </w:rPr>
              <w:t>4</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152C668A">
            <w:pPr>
              <w:widowControl/>
              <w:spacing w:line="0" w:lineRule="atLeast"/>
              <w:jc w:val="center"/>
              <w:rPr>
                <w:color w:val="000000"/>
                <w:kern w:val="0"/>
                <w:sz w:val="22"/>
                <w:szCs w:val="22"/>
              </w:rPr>
            </w:pPr>
            <w:r>
              <w:rPr>
                <w:color w:val="000000"/>
                <w:kern w:val="0"/>
                <w:sz w:val="22"/>
                <w:szCs w:val="22"/>
                <w:highlight w:val="none"/>
              </w:rPr>
              <w:t>100%</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40E86364">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99.51</w:t>
            </w:r>
            <w:r>
              <w:rPr>
                <w:color w:val="000000"/>
                <w:kern w:val="0"/>
                <w:sz w:val="22"/>
                <w:szCs w:val="22"/>
                <w:highlight w:val="none"/>
              </w:rPr>
              <w:t>%</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1486DB7E">
            <w:pPr>
              <w:widowControl/>
              <w:spacing w:line="0" w:lineRule="atLeast"/>
              <w:jc w:val="center"/>
              <w:rPr>
                <w:color w:val="000000"/>
                <w:kern w:val="0"/>
                <w:sz w:val="22"/>
                <w:szCs w:val="22"/>
              </w:rPr>
            </w:pPr>
            <w:r>
              <w:rPr>
                <w:rFonts w:hint="eastAsia"/>
                <w:color w:val="000000"/>
                <w:kern w:val="0"/>
                <w:sz w:val="22"/>
                <w:szCs w:val="22"/>
                <w:highlight w:val="none"/>
                <w:lang w:val="en-US" w:eastAsia="zh-CN"/>
              </w:rPr>
              <w:t>99.51%</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15790A06">
            <w:pPr>
              <w:widowControl/>
              <w:spacing w:line="0" w:lineRule="atLeast"/>
              <w:jc w:val="center"/>
              <w:rPr>
                <w:rFonts w:hint="default"/>
                <w:color w:val="000000"/>
                <w:kern w:val="0"/>
                <w:sz w:val="22"/>
                <w:szCs w:val="22"/>
                <w:lang w:val="en-US"/>
              </w:rPr>
            </w:pPr>
            <w:r>
              <w:rPr>
                <w:rFonts w:hint="eastAsia"/>
                <w:color w:val="000000"/>
                <w:kern w:val="0"/>
                <w:sz w:val="22"/>
                <w:szCs w:val="22"/>
                <w:highlight w:val="none"/>
                <w:lang w:val="en-US" w:eastAsia="zh-CN"/>
              </w:rPr>
              <w:t>3.98</w:t>
            </w:r>
          </w:p>
        </w:tc>
      </w:tr>
      <w:tr w14:paraId="2C88B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05A530DE">
            <w:pPr>
              <w:spacing w:line="0" w:lineRule="atLeast"/>
              <w:jc w:val="center"/>
              <w:rPr>
                <w:color w:val="000000"/>
                <w:kern w:val="0"/>
                <w:sz w:val="22"/>
                <w:szCs w:val="22"/>
              </w:rPr>
            </w:pPr>
          </w:p>
        </w:tc>
        <w:tc>
          <w:tcPr>
            <w:tcW w:w="772"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58AF44F2">
            <w:pPr>
              <w:widowControl/>
              <w:spacing w:line="0" w:lineRule="atLeast"/>
              <w:jc w:val="center"/>
              <w:rPr>
                <w:color w:val="000000"/>
                <w:kern w:val="0"/>
                <w:sz w:val="22"/>
                <w:szCs w:val="22"/>
              </w:rPr>
            </w:pPr>
          </w:p>
        </w:tc>
        <w:tc>
          <w:tcPr>
            <w:tcW w:w="1171" w:type="dxa"/>
            <w:tcBorders>
              <w:top w:val="single" w:color="auto" w:sz="8" w:space="0"/>
              <w:left w:val="single" w:color="auto" w:sz="8" w:space="0"/>
              <w:bottom w:val="single" w:color="auto" w:sz="8" w:space="0"/>
              <w:right w:val="single" w:color="auto" w:sz="8" w:space="0"/>
            </w:tcBorders>
            <w:shd w:val="clear" w:color="auto" w:fill="auto"/>
            <w:vAlign w:val="center"/>
          </w:tcPr>
          <w:p w14:paraId="6B76E9ED">
            <w:pPr>
              <w:widowControl/>
              <w:spacing w:line="0" w:lineRule="atLeast"/>
              <w:jc w:val="center"/>
              <w:rPr>
                <w:color w:val="000000"/>
                <w:kern w:val="0"/>
                <w:sz w:val="22"/>
                <w:szCs w:val="22"/>
              </w:rPr>
            </w:pPr>
            <w:r>
              <w:rPr>
                <w:color w:val="000000"/>
                <w:kern w:val="0"/>
                <w:sz w:val="22"/>
                <w:szCs w:val="22"/>
                <w:highlight w:val="none"/>
              </w:rPr>
              <w:t>资金管理</w:t>
            </w: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3BC0A852">
            <w:pPr>
              <w:widowControl/>
              <w:spacing w:line="0" w:lineRule="atLeast"/>
              <w:jc w:val="center"/>
              <w:rPr>
                <w:color w:val="000000"/>
                <w:kern w:val="0"/>
                <w:sz w:val="22"/>
                <w:szCs w:val="22"/>
              </w:rPr>
            </w:pPr>
            <w:r>
              <w:rPr>
                <w:color w:val="000000"/>
                <w:kern w:val="0"/>
                <w:sz w:val="22"/>
                <w:szCs w:val="22"/>
                <w:highlight w:val="none"/>
              </w:rPr>
              <w:t>资金使用合规性</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3F1D754A">
            <w:pPr>
              <w:widowControl/>
              <w:spacing w:line="0" w:lineRule="atLeast"/>
              <w:jc w:val="center"/>
              <w:rPr>
                <w:color w:val="000000"/>
                <w:kern w:val="0"/>
                <w:sz w:val="22"/>
                <w:szCs w:val="22"/>
              </w:rPr>
            </w:pPr>
            <w:r>
              <w:rPr>
                <w:rFonts w:hint="eastAsia"/>
                <w:color w:val="000000"/>
                <w:kern w:val="0"/>
                <w:sz w:val="22"/>
                <w:szCs w:val="22"/>
                <w:highlight w:val="none"/>
              </w:rPr>
              <w:t>4</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06FBF486">
            <w:pPr>
              <w:widowControl/>
              <w:spacing w:line="0" w:lineRule="atLeast"/>
              <w:jc w:val="center"/>
              <w:rPr>
                <w:color w:val="000000"/>
                <w:kern w:val="0"/>
                <w:sz w:val="22"/>
                <w:szCs w:val="22"/>
              </w:rPr>
            </w:pPr>
            <w:r>
              <w:rPr>
                <w:color w:val="000000"/>
                <w:kern w:val="0"/>
                <w:sz w:val="22"/>
                <w:szCs w:val="22"/>
                <w:highlight w:val="none"/>
              </w:rPr>
              <w:t>合格</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29EC8AAD">
            <w:pPr>
              <w:widowControl/>
              <w:spacing w:line="0" w:lineRule="atLeast"/>
              <w:jc w:val="center"/>
              <w:rPr>
                <w:color w:val="000000"/>
                <w:kern w:val="0"/>
                <w:sz w:val="22"/>
                <w:szCs w:val="22"/>
              </w:rPr>
            </w:pPr>
            <w:r>
              <w:rPr>
                <w:color w:val="000000"/>
                <w:kern w:val="0"/>
                <w:sz w:val="22"/>
                <w:szCs w:val="22"/>
                <w:highlight w:val="none"/>
              </w:rPr>
              <w:t>合格</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510E1088">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081C2343">
            <w:pPr>
              <w:widowControl/>
              <w:spacing w:line="0" w:lineRule="atLeast"/>
              <w:jc w:val="center"/>
              <w:rPr>
                <w:color w:val="000000"/>
                <w:kern w:val="0"/>
                <w:sz w:val="22"/>
                <w:szCs w:val="22"/>
              </w:rPr>
            </w:pPr>
            <w:r>
              <w:rPr>
                <w:rFonts w:hint="eastAsia"/>
                <w:color w:val="000000"/>
                <w:kern w:val="0"/>
                <w:sz w:val="22"/>
                <w:szCs w:val="22"/>
                <w:highlight w:val="none"/>
              </w:rPr>
              <w:t>4</w:t>
            </w:r>
          </w:p>
        </w:tc>
      </w:tr>
      <w:tr w14:paraId="6F102C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699995E2">
            <w:pPr>
              <w:spacing w:line="0" w:lineRule="atLeast"/>
              <w:jc w:val="center"/>
              <w:rPr>
                <w:color w:val="000000"/>
                <w:kern w:val="0"/>
                <w:sz w:val="22"/>
                <w:szCs w:val="22"/>
              </w:rPr>
            </w:pPr>
          </w:p>
        </w:tc>
        <w:tc>
          <w:tcPr>
            <w:tcW w:w="772"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2B493CD4">
            <w:pPr>
              <w:spacing w:line="0" w:lineRule="atLeast"/>
              <w:jc w:val="center"/>
              <w:rPr>
                <w:color w:val="000000"/>
                <w:kern w:val="0"/>
                <w:sz w:val="22"/>
                <w:szCs w:val="22"/>
              </w:rPr>
            </w:pPr>
          </w:p>
        </w:tc>
        <w:tc>
          <w:tcPr>
            <w:tcW w:w="1171"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2683D04C">
            <w:pPr>
              <w:widowControl/>
              <w:spacing w:line="0" w:lineRule="atLeast"/>
              <w:jc w:val="center"/>
              <w:rPr>
                <w:color w:val="000000"/>
                <w:kern w:val="0"/>
                <w:sz w:val="22"/>
                <w:szCs w:val="22"/>
              </w:rPr>
            </w:pPr>
            <w:r>
              <w:rPr>
                <w:color w:val="000000"/>
                <w:kern w:val="0"/>
                <w:sz w:val="22"/>
                <w:szCs w:val="22"/>
                <w:highlight w:val="none"/>
              </w:rPr>
              <w:t>组织实施</w:t>
            </w: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7866CFE6">
            <w:pPr>
              <w:widowControl/>
              <w:spacing w:line="0" w:lineRule="atLeast"/>
              <w:jc w:val="center"/>
              <w:rPr>
                <w:color w:val="000000"/>
                <w:kern w:val="0"/>
                <w:sz w:val="22"/>
                <w:szCs w:val="22"/>
              </w:rPr>
            </w:pPr>
            <w:r>
              <w:rPr>
                <w:color w:val="000000"/>
                <w:kern w:val="0"/>
                <w:sz w:val="22"/>
                <w:szCs w:val="22"/>
                <w:highlight w:val="none"/>
              </w:rPr>
              <w:t>管理制度健全性</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7AE4C695">
            <w:pPr>
              <w:widowControl/>
              <w:spacing w:line="0" w:lineRule="atLeast"/>
              <w:jc w:val="center"/>
              <w:rPr>
                <w:color w:val="000000"/>
                <w:kern w:val="0"/>
                <w:sz w:val="22"/>
                <w:szCs w:val="22"/>
              </w:rPr>
            </w:pPr>
            <w:r>
              <w:rPr>
                <w:rFonts w:hint="eastAsia"/>
                <w:color w:val="000000"/>
                <w:kern w:val="0"/>
                <w:sz w:val="22"/>
                <w:szCs w:val="22"/>
                <w:highlight w:val="none"/>
              </w:rPr>
              <w:t>4</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576A68B3">
            <w:pPr>
              <w:widowControl/>
              <w:spacing w:line="0" w:lineRule="atLeast"/>
              <w:jc w:val="center"/>
              <w:rPr>
                <w:color w:val="000000"/>
                <w:kern w:val="0"/>
                <w:sz w:val="22"/>
                <w:szCs w:val="22"/>
              </w:rPr>
            </w:pPr>
            <w:r>
              <w:rPr>
                <w:color w:val="000000"/>
                <w:kern w:val="0"/>
                <w:sz w:val="22"/>
                <w:szCs w:val="22"/>
                <w:highlight w:val="none"/>
              </w:rPr>
              <w:t>健全</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4176482B">
            <w:pPr>
              <w:widowControl/>
              <w:spacing w:line="0" w:lineRule="atLeast"/>
              <w:jc w:val="center"/>
              <w:rPr>
                <w:color w:val="000000"/>
                <w:kern w:val="0"/>
                <w:sz w:val="22"/>
                <w:szCs w:val="22"/>
              </w:rPr>
            </w:pPr>
            <w:r>
              <w:rPr>
                <w:color w:val="000000"/>
                <w:kern w:val="0"/>
                <w:sz w:val="22"/>
                <w:szCs w:val="22"/>
                <w:highlight w:val="none"/>
              </w:rPr>
              <w:t>健全</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49E56E3E">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598ADB1E">
            <w:pPr>
              <w:widowControl/>
              <w:spacing w:line="0" w:lineRule="atLeast"/>
              <w:jc w:val="center"/>
              <w:rPr>
                <w:color w:val="000000"/>
                <w:kern w:val="0"/>
                <w:sz w:val="22"/>
                <w:szCs w:val="22"/>
              </w:rPr>
            </w:pPr>
            <w:r>
              <w:rPr>
                <w:rFonts w:hint="eastAsia"/>
                <w:color w:val="000000"/>
                <w:kern w:val="0"/>
                <w:sz w:val="22"/>
                <w:szCs w:val="22"/>
                <w:highlight w:val="none"/>
              </w:rPr>
              <w:t>4</w:t>
            </w:r>
          </w:p>
        </w:tc>
      </w:tr>
      <w:tr w14:paraId="3DD763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028B3833">
            <w:pPr>
              <w:widowControl/>
              <w:spacing w:line="0" w:lineRule="atLeast"/>
              <w:jc w:val="center"/>
              <w:rPr>
                <w:color w:val="000000"/>
                <w:kern w:val="0"/>
                <w:sz w:val="22"/>
                <w:szCs w:val="22"/>
              </w:rPr>
            </w:pPr>
          </w:p>
        </w:tc>
        <w:tc>
          <w:tcPr>
            <w:tcW w:w="772"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5746E4E4">
            <w:pPr>
              <w:widowControl/>
              <w:spacing w:line="0" w:lineRule="atLeast"/>
              <w:jc w:val="center"/>
              <w:rPr>
                <w:color w:val="000000"/>
                <w:kern w:val="0"/>
                <w:sz w:val="22"/>
                <w:szCs w:val="22"/>
              </w:rPr>
            </w:pPr>
          </w:p>
        </w:tc>
        <w:tc>
          <w:tcPr>
            <w:tcW w:w="1171"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532A9A3C">
            <w:pPr>
              <w:widowControl/>
              <w:spacing w:line="0" w:lineRule="atLeast"/>
              <w:jc w:val="center"/>
              <w:rPr>
                <w:color w:val="000000"/>
                <w:kern w:val="0"/>
                <w:sz w:val="22"/>
                <w:szCs w:val="22"/>
              </w:rPr>
            </w:pP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6FF5D8C3">
            <w:pPr>
              <w:widowControl/>
              <w:spacing w:line="0" w:lineRule="atLeast"/>
              <w:jc w:val="center"/>
              <w:rPr>
                <w:color w:val="000000"/>
                <w:kern w:val="0"/>
                <w:sz w:val="22"/>
                <w:szCs w:val="22"/>
              </w:rPr>
            </w:pPr>
            <w:r>
              <w:rPr>
                <w:color w:val="000000"/>
                <w:kern w:val="0"/>
                <w:sz w:val="22"/>
                <w:szCs w:val="22"/>
                <w:highlight w:val="none"/>
              </w:rPr>
              <w:t>制度执行有效性</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60F5979C">
            <w:pPr>
              <w:widowControl/>
              <w:spacing w:line="0" w:lineRule="atLeast"/>
              <w:jc w:val="center"/>
              <w:rPr>
                <w:color w:val="000000"/>
                <w:kern w:val="0"/>
                <w:sz w:val="22"/>
                <w:szCs w:val="22"/>
              </w:rPr>
            </w:pPr>
            <w:r>
              <w:rPr>
                <w:rFonts w:hint="eastAsia"/>
                <w:color w:val="000000"/>
                <w:kern w:val="0"/>
                <w:sz w:val="22"/>
                <w:szCs w:val="22"/>
                <w:highlight w:val="none"/>
              </w:rPr>
              <w:t>4</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1F6D784D">
            <w:pPr>
              <w:widowControl/>
              <w:spacing w:line="0" w:lineRule="atLeast"/>
              <w:jc w:val="center"/>
              <w:rPr>
                <w:color w:val="000000"/>
                <w:kern w:val="0"/>
                <w:sz w:val="22"/>
                <w:szCs w:val="22"/>
              </w:rPr>
            </w:pPr>
            <w:r>
              <w:rPr>
                <w:color w:val="000000"/>
                <w:kern w:val="0"/>
                <w:sz w:val="22"/>
                <w:szCs w:val="22"/>
                <w:highlight w:val="none"/>
              </w:rPr>
              <w:t>有效</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0F4D52F6">
            <w:pPr>
              <w:widowControl/>
              <w:spacing w:line="0" w:lineRule="atLeast"/>
              <w:jc w:val="center"/>
              <w:rPr>
                <w:color w:val="000000"/>
                <w:kern w:val="0"/>
                <w:sz w:val="22"/>
                <w:szCs w:val="22"/>
              </w:rPr>
            </w:pPr>
            <w:r>
              <w:rPr>
                <w:color w:val="000000"/>
                <w:kern w:val="0"/>
                <w:sz w:val="22"/>
                <w:szCs w:val="22"/>
                <w:highlight w:val="none"/>
              </w:rPr>
              <w:t>有效</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5ECC9541">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4E8E0494">
            <w:pPr>
              <w:widowControl/>
              <w:spacing w:line="0" w:lineRule="atLeast"/>
              <w:jc w:val="center"/>
              <w:rPr>
                <w:color w:val="000000"/>
                <w:kern w:val="0"/>
                <w:sz w:val="22"/>
                <w:szCs w:val="22"/>
              </w:rPr>
            </w:pPr>
            <w:r>
              <w:rPr>
                <w:rFonts w:hint="eastAsia"/>
                <w:color w:val="000000"/>
                <w:kern w:val="0"/>
                <w:sz w:val="22"/>
                <w:szCs w:val="22"/>
                <w:highlight w:val="none"/>
              </w:rPr>
              <w:t>4</w:t>
            </w:r>
          </w:p>
        </w:tc>
      </w:tr>
      <w:tr w14:paraId="04E320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7AD208EE">
            <w:pPr>
              <w:widowControl/>
              <w:spacing w:line="0" w:lineRule="atLeast"/>
              <w:jc w:val="center"/>
              <w:rPr>
                <w:color w:val="000000"/>
                <w:kern w:val="0"/>
                <w:sz w:val="22"/>
                <w:szCs w:val="22"/>
              </w:rPr>
            </w:pPr>
            <w:r>
              <w:rPr>
                <w:color w:val="000000"/>
                <w:kern w:val="0"/>
                <w:sz w:val="22"/>
                <w:szCs w:val="22"/>
                <w:highlight w:val="none"/>
              </w:rPr>
              <w:t>产出</w:t>
            </w:r>
          </w:p>
        </w:tc>
        <w:tc>
          <w:tcPr>
            <w:tcW w:w="772"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20554055">
            <w:pPr>
              <w:widowControl/>
              <w:spacing w:line="0" w:lineRule="atLeast"/>
              <w:jc w:val="center"/>
              <w:rPr>
                <w:color w:val="000000"/>
                <w:kern w:val="0"/>
                <w:sz w:val="22"/>
                <w:szCs w:val="22"/>
              </w:rPr>
            </w:pPr>
            <w:r>
              <w:rPr>
                <w:rFonts w:hint="eastAsia"/>
                <w:kern w:val="0"/>
                <w:sz w:val="22"/>
                <w:szCs w:val="22"/>
                <w:highlight w:val="none"/>
              </w:rPr>
              <w:t>40</w:t>
            </w:r>
            <w:r>
              <w:rPr>
                <w:kern w:val="0"/>
                <w:sz w:val="22"/>
                <w:szCs w:val="22"/>
                <w:highlight w:val="none"/>
              </w:rPr>
              <w:t>分</w:t>
            </w:r>
          </w:p>
        </w:tc>
        <w:tc>
          <w:tcPr>
            <w:tcW w:w="1171" w:type="dxa"/>
            <w:tcBorders>
              <w:top w:val="single" w:color="auto" w:sz="8" w:space="0"/>
              <w:left w:val="single" w:color="auto" w:sz="8" w:space="0"/>
              <w:bottom w:val="single" w:color="auto" w:sz="8" w:space="0"/>
              <w:right w:val="single" w:color="auto" w:sz="8" w:space="0"/>
            </w:tcBorders>
            <w:shd w:val="clear" w:color="auto" w:fill="auto"/>
            <w:vAlign w:val="center"/>
          </w:tcPr>
          <w:p w14:paraId="48E8EB3E">
            <w:pPr>
              <w:widowControl/>
              <w:spacing w:line="0" w:lineRule="atLeast"/>
              <w:jc w:val="center"/>
              <w:rPr>
                <w:color w:val="000000"/>
                <w:kern w:val="0"/>
                <w:sz w:val="22"/>
                <w:szCs w:val="22"/>
              </w:rPr>
            </w:pPr>
            <w:r>
              <w:rPr>
                <w:color w:val="000000"/>
                <w:kern w:val="0"/>
                <w:sz w:val="22"/>
                <w:szCs w:val="22"/>
                <w:highlight w:val="none"/>
              </w:rPr>
              <w:t>产出数量</w:t>
            </w: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4A6DBBB9">
            <w:pPr>
              <w:widowControl/>
              <w:spacing w:line="0" w:lineRule="atLeast"/>
              <w:jc w:val="center"/>
              <w:rPr>
                <w:color w:val="000000"/>
                <w:kern w:val="0"/>
                <w:sz w:val="22"/>
                <w:szCs w:val="22"/>
              </w:rPr>
            </w:pPr>
            <w:r>
              <w:rPr>
                <w:color w:val="000000"/>
                <w:kern w:val="0"/>
                <w:sz w:val="22"/>
                <w:szCs w:val="22"/>
                <w:highlight w:val="none"/>
              </w:rPr>
              <w:t>实际完成率</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3900A16A">
            <w:pPr>
              <w:widowControl/>
              <w:spacing w:line="0" w:lineRule="atLeast"/>
              <w:jc w:val="center"/>
              <w:rPr>
                <w:color w:val="000000"/>
                <w:kern w:val="0"/>
                <w:sz w:val="22"/>
                <w:szCs w:val="22"/>
              </w:rPr>
            </w:pPr>
            <w:r>
              <w:rPr>
                <w:color w:val="000000"/>
                <w:kern w:val="0"/>
                <w:sz w:val="22"/>
                <w:szCs w:val="22"/>
                <w:highlight w:val="none"/>
              </w:rPr>
              <w:t>1</w:t>
            </w:r>
            <w:r>
              <w:rPr>
                <w:rFonts w:hint="eastAsia"/>
                <w:color w:val="000000"/>
                <w:kern w:val="0"/>
                <w:sz w:val="22"/>
                <w:szCs w:val="22"/>
                <w:highlight w:val="none"/>
              </w:rPr>
              <w:t>0</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50B8F0A2">
            <w:pPr>
              <w:widowControl/>
              <w:spacing w:line="0" w:lineRule="atLeast"/>
              <w:jc w:val="center"/>
              <w:rPr>
                <w:color w:val="000000"/>
                <w:kern w:val="0"/>
                <w:sz w:val="22"/>
                <w:szCs w:val="22"/>
              </w:rPr>
            </w:pPr>
            <w:r>
              <w:rPr>
                <w:color w:val="000000"/>
                <w:kern w:val="0"/>
                <w:sz w:val="22"/>
                <w:szCs w:val="22"/>
                <w:highlight w:val="none"/>
              </w:rPr>
              <w:t>100%</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66CD1515">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55AB4A54">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1F244501">
            <w:pPr>
              <w:widowControl/>
              <w:spacing w:line="0" w:lineRule="atLeast"/>
              <w:jc w:val="center"/>
              <w:rPr>
                <w:rFonts w:hint="default"/>
                <w:color w:val="000000"/>
                <w:kern w:val="0"/>
                <w:sz w:val="22"/>
                <w:szCs w:val="22"/>
                <w:lang w:val="en-US"/>
              </w:rPr>
            </w:pPr>
            <w:r>
              <w:rPr>
                <w:rFonts w:hint="eastAsia"/>
                <w:color w:val="000000"/>
                <w:kern w:val="0"/>
                <w:sz w:val="22"/>
                <w:szCs w:val="22"/>
                <w:highlight w:val="none"/>
                <w:lang w:val="en-US" w:eastAsia="zh-CN"/>
              </w:rPr>
              <w:t>10</w:t>
            </w:r>
          </w:p>
        </w:tc>
      </w:tr>
      <w:tr w14:paraId="0A40F4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4ECA5B41">
            <w:pPr>
              <w:widowControl/>
              <w:spacing w:line="0" w:lineRule="atLeast"/>
              <w:jc w:val="center"/>
              <w:rPr>
                <w:color w:val="000000"/>
                <w:kern w:val="0"/>
                <w:sz w:val="22"/>
                <w:szCs w:val="22"/>
              </w:rPr>
            </w:pPr>
          </w:p>
        </w:tc>
        <w:tc>
          <w:tcPr>
            <w:tcW w:w="772"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77DFDF5D">
            <w:pPr>
              <w:widowControl/>
              <w:spacing w:line="0" w:lineRule="atLeast"/>
              <w:jc w:val="center"/>
              <w:rPr>
                <w:color w:val="000000"/>
                <w:kern w:val="0"/>
                <w:sz w:val="22"/>
                <w:szCs w:val="22"/>
              </w:rPr>
            </w:pPr>
          </w:p>
        </w:tc>
        <w:tc>
          <w:tcPr>
            <w:tcW w:w="1171" w:type="dxa"/>
            <w:tcBorders>
              <w:top w:val="single" w:color="auto" w:sz="8" w:space="0"/>
              <w:left w:val="single" w:color="auto" w:sz="8" w:space="0"/>
              <w:bottom w:val="single" w:color="auto" w:sz="8" w:space="0"/>
              <w:right w:val="single" w:color="auto" w:sz="8" w:space="0"/>
            </w:tcBorders>
            <w:shd w:val="clear" w:color="auto" w:fill="auto"/>
            <w:vAlign w:val="center"/>
          </w:tcPr>
          <w:p w14:paraId="6D69E261">
            <w:pPr>
              <w:widowControl/>
              <w:spacing w:line="0" w:lineRule="atLeast"/>
              <w:jc w:val="center"/>
              <w:rPr>
                <w:color w:val="000000"/>
                <w:kern w:val="0"/>
                <w:sz w:val="22"/>
                <w:szCs w:val="22"/>
              </w:rPr>
            </w:pPr>
            <w:r>
              <w:rPr>
                <w:color w:val="000000"/>
                <w:kern w:val="0"/>
                <w:sz w:val="22"/>
                <w:szCs w:val="22"/>
                <w:highlight w:val="none"/>
              </w:rPr>
              <w:t>产出质量</w:t>
            </w: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6F6ED6CA">
            <w:pPr>
              <w:widowControl/>
              <w:spacing w:line="0" w:lineRule="atLeast"/>
              <w:jc w:val="center"/>
              <w:rPr>
                <w:color w:val="000000"/>
                <w:kern w:val="0"/>
                <w:sz w:val="22"/>
                <w:szCs w:val="22"/>
              </w:rPr>
            </w:pPr>
            <w:r>
              <w:rPr>
                <w:color w:val="000000"/>
                <w:kern w:val="0"/>
                <w:sz w:val="22"/>
                <w:szCs w:val="22"/>
                <w:highlight w:val="none"/>
              </w:rPr>
              <w:t>质量达标率</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3D41E427">
            <w:pPr>
              <w:widowControl/>
              <w:spacing w:line="0" w:lineRule="atLeast"/>
              <w:jc w:val="center"/>
              <w:rPr>
                <w:color w:val="000000"/>
                <w:kern w:val="0"/>
                <w:sz w:val="22"/>
                <w:szCs w:val="22"/>
              </w:rPr>
            </w:pPr>
            <w:r>
              <w:rPr>
                <w:color w:val="000000"/>
                <w:kern w:val="0"/>
                <w:sz w:val="22"/>
                <w:szCs w:val="22"/>
                <w:highlight w:val="none"/>
              </w:rPr>
              <w:t>10</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51E49782">
            <w:pPr>
              <w:widowControl/>
              <w:spacing w:line="0" w:lineRule="atLeast"/>
              <w:jc w:val="center"/>
              <w:rPr>
                <w:color w:val="000000"/>
                <w:kern w:val="0"/>
                <w:sz w:val="22"/>
                <w:szCs w:val="22"/>
              </w:rPr>
            </w:pPr>
            <w:r>
              <w:rPr>
                <w:color w:val="000000"/>
                <w:kern w:val="0"/>
                <w:sz w:val="22"/>
                <w:szCs w:val="22"/>
                <w:highlight w:val="none"/>
              </w:rPr>
              <w:t>100%</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55E2B22D">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73D34D80">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273E70EE">
            <w:pPr>
              <w:widowControl/>
              <w:spacing w:line="0" w:lineRule="atLeast"/>
              <w:jc w:val="center"/>
              <w:rPr>
                <w:color w:val="000000"/>
                <w:kern w:val="0"/>
                <w:sz w:val="22"/>
                <w:szCs w:val="22"/>
              </w:rPr>
            </w:pPr>
            <w:r>
              <w:rPr>
                <w:color w:val="000000"/>
                <w:kern w:val="0"/>
                <w:sz w:val="22"/>
                <w:szCs w:val="22"/>
                <w:highlight w:val="none"/>
              </w:rPr>
              <w:t>10</w:t>
            </w:r>
          </w:p>
        </w:tc>
      </w:tr>
      <w:tr w14:paraId="1D6D30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32C95E7D">
            <w:pPr>
              <w:spacing w:line="0" w:lineRule="atLeast"/>
              <w:jc w:val="center"/>
              <w:rPr>
                <w:color w:val="000000"/>
                <w:kern w:val="0"/>
                <w:sz w:val="22"/>
                <w:szCs w:val="22"/>
              </w:rPr>
            </w:pPr>
          </w:p>
        </w:tc>
        <w:tc>
          <w:tcPr>
            <w:tcW w:w="772"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2914CB82">
            <w:pPr>
              <w:spacing w:line="0" w:lineRule="atLeast"/>
              <w:jc w:val="center"/>
              <w:rPr>
                <w:color w:val="000000"/>
                <w:kern w:val="0"/>
                <w:sz w:val="22"/>
                <w:szCs w:val="22"/>
              </w:rPr>
            </w:pPr>
          </w:p>
        </w:tc>
        <w:tc>
          <w:tcPr>
            <w:tcW w:w="1171" w:type="dxa"/>
            <w:tcBorders>
              <w:top w:val="single" w:color="auto" w:sz="8" w:space="0"/>
              <w:left w:val="single" w:color="auto" w:sz="8" w:space="0"/>
              <w:bottom w:val="single" w:color="auto" w:sz="8" w:space="0"/>
              <w:right w:val="single" w:color="auto" w:sz="8" w:space="0"/>
            </w:tcBorders>
            <w:shd w:val="clear" w:color="auto" w:fill="auto"/>
            <w:vAlign w:val="center"/>
          </w:tcPr>
          <w:p w14:paraId="776CBD4B">
            <w:pPr>
              <w:spacing w:line="0" w:lineRule="atLeast"/>
              <w:jc w:val="center"/>
              <w:rPr>
                <w:color w:val="000000"/>
                <w:kern w:val="0"/>
                <w:sz w:val="22"/>
                <w:szCs w:val="22"/>
              </w:rPr>
            </w:pPr>
            <w:r>
              <w:rPr>
                <w:color w:val="000000"/>
                <w:kern w:val="0"/>
                <w:sz w:val="22"/>
                <w:szCs w:val="22"/>
                <w:highlight w:val="none"/>
              </w:rPr>
              <w:t>产出时效</w:t>
            </w: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59ED8DFA">
            <w:pPr>
              <w:widowControl/>
              <w:spacing w:line="0" w:lineRule="atLeast"/>
              <w:jc w:val="center"/>
              <w:rPr>
                <w:color w:val="000000"/>
                <w:kern w:val="0"/>
                <w:sz w:val="22"/>
                <w:szCs w:val="22"/>
              </w:rPr>
            </w:pPr>
            <w:r>
              <w:rPr>
                <w:color w:val="000000"/>
                <w:kern w:val="0"/>
                <w:sz w:val="22"/>
                <w:szCs w:val="22"/>
                <w:highlight w:val="none"/>
              </w:rPr>
              <w:t>完成及时性</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7F5C8955">
            <w:pPr>
              <w:widowControl/>
              <w:spacing w:line="0" w:lineRule="atLeast"/>
              <w:jc w:val="center"/>
              <w:rPr>
                <w:color w:val="000000"/>
                <w:kern w:val="0"/>
                <w:sz w:val="22"/>
                <w:szCs w:val="22"/>
              </w:rPr>
            </w:pPr>
            <w:r>
              <w:rPr>
                <w:color w:val="000000"/>
                <w:kern w:val="0"/>
                <w:sz w:val="22"/>
                <w:szCs w:val="22"/>
                <w:highlight w:val="none"/>
              </w:rPr>
              <w:t>1</w:t>
            </w:r>
            <w:r>
              <w:rPr>
                <w:rFonts w:hint="eastAsia"/>
                <w:color w:val="000000"/>
                <w:kern w:val="0"/>
                <w:sz w:val="22"/>
                <w:szCs w:val="22"/>
                <w:highlight w:val="none"/>
              </w:rPr>
              <w:t>0</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1136670E">
            <w:pPr>
              <w:widowControl/>
              <w:spacing w:line="0" w:lineRule="atLeast"/>
              <w:jc w:val="center"/>
              <w:rPr>
                <w:color w:val="000000"/>
                <w:kern w:val="0"/>
                <w:sz w:val="22"/>
                <w:szCs w:val="22"/>
              </w:rPr>
            </w:pPr>
            <w:r>
              <w:rPr>
                <w:color w:val="000000"/>
                <w:kern w:val="0"/>
                <w:sz w:val="22"/>
                <w:szCs w:val="22"/>
                <w:highlight w:val="none"/>
              </w:rPr>
              <w:t>及时</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00D53DF5">
            <w:pPr>
              <w:widowControl/>
              <w:spacing w:line="0" w:lineRule="atLeast"/>
              <w:jc w:val="center"/>
              <w:rPr>
                <w:color w:val="000000"/>
                <w:kern w:val="0"/>
                <w:sz w:val="22"/>
                <w:szCs w:val="22"/>
              </w:rPr>
            </w:pPr>
            <w:r>
              <w:rPr>
                <w:color w:val="000000"/>
                <w:kern w:val="0"/>
                <w:sz w:val="22"/>
                <w:szCs w:val="22"/>
                <w:highlight w:val="none"/>
              </w:rPr>
              <w:t>及时</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6F402917">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6057483A">
            <w:pPr>
              <w:widowControl/>
              <w:spacing w:line="0" w:lineRule="atLeast"/>
              <w:jc w:val="center"/>
              <w:rPr>
                <w:color w:val="000000"/>
                <w:kern w:val="0"/>
                <w:sz w:val="22"/>
                <w:szCs w:val="22"/>
              </w:rPr>
            </w:pPr>
            <w:r>
              <w:rPr>
                <w:color w:val="000000"/>
                <w:kern w:val="0"/>
                <w:sz w:val="22"/>
                <w:szCs w:val="22"/>
                <w:highlight w:val="none"/>
              </w:rPr>
              <w:t>1</w:t>
            </w:r>
            <w:r>
              <w:rPr>
                <w:rFonts w:hint="eastAsia"/>
                <w:color w:val="000000"/>
                <w:kern w:val="0"/>
                <w:sz w:val="22"/>
                <w:szCs w:val="22"/>
                <w:highlight w:val="none"/>
              </w:rPr>
              <w:t>0</w:t>
            </w:r>
          </w:p>
        </w:tc>
      </w:tr>
      <w:tr w14:paraId="52ED8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0FD32E1D">
            <w:pPr>
              <w:widowControl/>
              <w:spacing w:line="0" w:lineRule="atLeast"/>
              <w:jc w:val="center"/>
              <w:rPr>
                <w:color w:val="000000"/>
                <w:kern w:val="0"/>
                <w:sz w:val="22"/>
                <w:szCs w:val="22"/>
              </w:rPr>
            </w:pPr>
          </w:p>
        </w:tc>
        <w:tc>
          <w:tcPr>
            <w:tcW w:w="772" w:type="dxa"/>
            <w:vMerge w:val="continue"/>
            <w:tcBorders>
              <w:top w:val="single" w:color="auto" w:sz="8" w:space="0"/>
              <w:left w:val="single" w:color="auto" w:sz="8" w:space="0"/>
              <w:bottom w:val="single" w:color="auto" w:sz="8" w:space="0"/>
              <w:right w:val="single" w:color="auto" w:sz="8" w:space="0"/>
            </w:tcBorders>
            <w:shd w:val="clear" w:color="auto" w:fill="auto"/>
            <w:vAlign w:val="center"/>
          </w:tcPr>
          <w:p w14:paraId="7B10315F">
            <w:pPr>
              <w:widowControl/>
              <w:spacing w:line="0" w:lineRule="atLeast"/>
              <w:jc w:val="center"/>
              <w:rPr>
                <w:color w:val="000000"/>
                <w:kern w:val="0"/>
                <w:sz w:val="22"/>
                <w:szCs w:val="22"/>
              </w:rPr>
            </w:pPr>
          </w:p>
        </w:tc>
        <w:tc>
          <w:tcPr>
            <w:tcW w:w="1171" w:type="dxa"/>
            <w:tcBorders>
              <w:top w:val="single" w:color="auto" w:sz="8" w:space="0"/>
              <w:left w:val="single" w:color="auto" w:sz="8" w:space="0"/>
              <w:bottom w:val="single" w:color="auto" w:sz="8" w:space="0"/>
              <w:right w:val="single" w:color="auto" w:sz="8" w:space="0"/>
            </w:tcBorders>
            <w:shd w:val="clear" w:color="auto" w:fill="auto"/>
            <w:vAlign w:val="center"/>
          </w:tcPr>
          <w:p w14:paraId="21FFC6D2">
            <w:pPr>
              <w:widowControl/>
              <w:spacing w:line="0" w:lineRule="atLeast"/>
              <w:jc w:val="center"/>
              <w:rPr>
                <w:color w:val="000000"/>
                <w:kern w:val="0"/>
                <w:sz w:val="22"/>
                <w:szCs w:val="22"/>
              </w:rPr>
            </w:pPr>
            <w:r>
              <w:rPr>
                <w:color w:val="000000"/>
                <w:kern w:val="0"/>
                <w:sz w:val="22"/>
                <w:szCs w:val="22"/>
                <w:highlight w:val="none"/>
              </w:rPr>
              <w:t>产出成本</w:t>
            </w: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6B287A7A">
            <w:pPr>
              <w:widowControl/>
              <w:spacing w:line="0" w:lineRule="atLeast"/>
              <w:jc w:val="center"/>
              <w:rPr>
                <w:color w:val="000000"/>
                <w:kern w:val="0"/>
                <w:sz w:val="22"/>
                <w:szCs w:val="22"/>
              </w:rPr>
            </w:pPr>
            <w:r>
              <w:rPr>
                <w:color w:val="000000"/>
                <w:kern w:val="0"/>
                <w:sz w:val="22"/>
                <w:szCs w:val="22"/>
                <w:highlight w:val="none"/>
              </w:rPr>
              <w:t>成本节约率</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5DA1A8B9">
            <w:pPr>
              <w:widowControl/>
              <w:spacing w:line="0" w:lineRule="atLeast"/>
              <w:jc w:val="center"/>
              <w:rPr>
                <w:color w:val="000000"/>
                <w:kern w:val="0"/>
                <w:sz w:val="22"/>
                <w:szCs w:val="22"/>
              </w:rPr>
            </w:pPr>
            <w:r>
              <w:rPr>
                <w:color w:val="000000"/>
                <w:kern w:val="0"/>
                <w:sz w:val="22"/>
                <w:szCs w:val="22"/>
                <w:highlight w:val="none"/>
              </w:rPr>
              <w:t>10</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3A249531">
            <w:pPr>
              <w:widowControl/>
              <w:spacing w:line="0" w:lineRule="atLeast"/>
              <w:jc w:val="center"/>
              <w:rPr>
                <w:color w:val="000000"/>
                <w:kern w:val="0"/>
                <w:sz w:val="22"/>
                <w:szCs w:val="22"/>
              </w:rPr>
            </w:pPr>
            <w:r>
              <w:rPr>
                <w:color w:val="000000"/>
                <w:kern w:val="0"/>
                <w:sz w:val="22"/>
                <w:szCs w:val="22"/>
                <w:highlight w:val="none"/>
              </w:rPr>
              <w:t>100%</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7A01E60F">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6F532E76">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2A1A7065">
            <w:pPr>
              <w:widowControl/>
              <w:spacing w:line="0" w:lineRule="atLeast"/>
              <w:jc w:val="center"/>
              <w:rPr>
                <w:color w:val="000000"/>
                <w:kern w:val="0"/>
                <w:sz w:val="22"/>
                <w:szCs w:val="22"/>
              </w:rPr>
            </w:pPr>
            <w:r>
              <w:rPr>
                <w:color w:val="000000"/>
                <w:kern w:val="0"/>
                <w:sz w:val="22"/>
                <w:szCs w:val="22"/>
                <w:highlight w:val="none"/>
              </w:rPr>
              <w:t>10</w:t>
            </w:r>
          </w:p>
        </w:tc>
      </w:tr>
      <w:tr w14:paraId="34DE71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7D833CA4">
            <w:pPr>
              <w:widowControl/>
              <w:spacing w:line="0" w:lineRule="atLeast"/>
              <w:jc w:val="center"/>
              <w:rPr>
                <w:color w:val="000000"/>
                <w:kern w:val="0"/>
                <w:sz w:val="22"/>
                <w:szCs w:val="22"/>
              </w:rPr>
            </w:pPr>
            <w:r>
              <w:rPr>
                <w:color w:val="000000"/>
                <w:kern w:val="0"/>
                <w:sz w:val="22"/>
                <w:szCs w:val="22"/>
                <w:highlight w:val="none"/>
              </w:rPr>
              <w:t>效益　</w:t>
            </w:r>
          </w:p>
        </w:tc>
        <w:tc>
          <w:tcPr>
            <w:tcW w:w="772"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3553D722">
            <w:pPr>
              <w:widowControl/>
              <w:spacing w:line="0" w:lineRule="atLeast"/>
              <w:jc w:val="center"/>
              <w:rPr>
                <w:color w:val="000000"/>
                <w:kern w:val="0"/>
                <w:sz w:val="22"/>
                <w:szCs w:val="22"/>
              </w:rPr>
            </w:pPr>
            <w:r>
              <w:rPr>
                <w:rFonts w:hint="eastAsia"/>
                <w:color w:val="000000"/>
                <w:kern w:val="0"/>
                <w:sz w:val="22"/>
                <w:szCs w:val="22"/>
                <w:highlight w:val="none"/>
              </w:rPr>
              <w:t>20</w:t>
            </w:r>
            <w:r>
              <w:rPr>
                <w:color w:val="000000"/>
                <w:kern w:val="0"/>
                <w:sz w:val="22"/>
                <w:szCs w:val="22"/>
                <w:highlight w:val="none"/>
              </w:rPr>
              <w:t>分</w:t>
            </w:r>
          </w:p>
        </w:tc>
        <w:tc>
          <w:tcPr>
            <w:tcW w:w="1171" w:type="dxa"/>
            <w:vMerge w:val="restart"/>
            <w:tcBorders>
              <w:top w:val="single" w:color="auto" w:sz="8" w:space="0"/>
              <w:left w:val="single" w:color="auto" w:sz="8" w:space="0"/>
              <w:bottom w:val="single" w:color="auto" w:sz="8" w:space="0"/>
              <w:right w:val="single" w:color="auto" w:sz="8" w:space="0"/>
            </w:tcBorders>
            <w:shd w:val="clear" w:color="auto" w:fill="auto"/>
            <w:vAlign w:val="center"/>
          </w:tcPr>
          <w:p w14:paraId="14081E12">
            <w:pPr>
              <w:widowControl/>
              <w:spacing w:line="0" w:lineRule="atLeast"/>
              <w:jc w:val="center"/>
              <w:rPr>
                <w:color w:val="000000"/>
                <w:kern w:val="0"/>
                <w:sz w:val="22"/>
                <w:szCs w:val="22"/>
              </w:rPr>
            </w:pPr>
            <w:r>
              <w:rPr>
                <w:color w:val="000000"/>
                <w:kern w:val="0"/>
                <w:sz w:val="22"/>
                <w:szCs w:val="22"/>
                <w:highlight w:val="none"/>
              </w:rPr>
              <w:t>项目效益　</w:t>
            </w:r>
          </w:p>
        </w:tc>
        <w:tc>
          <w:tcPr>
            <w:tcW w:w="2024" w:type="dxa"/>
            <w:tcBorders>
              <w:top w:val="single" w:color="auto" w:sz="8" w:space="0"/>
              <w:left w:val="single" w:color="auto" w:sz="8" w:space="0"/>
              <w:bottom w:val="single" w:color="auto" w:sz="8" w:space="0"/>
              <w:right w:val="single" w:color="auto" w:sz="8" w:space="0"/>
            </w:tcBorders>
            <w:shd w:val="clear" w:color="auto" w:fill="auto"/>
            <w:vAlign w:val="center"/>
          </w:tcPr>
          <w:p w14:paraId="7196AA5A">
            <w:pPr>
              <w:widowControl/>
              <w:spacing w:line="0" w:lineRule="atLeast"/>
              <w:jc w:val="center"/>
              <w:rPr>
                <w:rFonts w:hint="eastAsia" w:eastAsia="宋体"/>
                <w:color w:val="000000"/>
                <w:kern w:val="0"/>
                <w:sz w:val="22"/>
                <w:szCs w:val="22"/>
                <w:lang w:eastAsia="zh-CN"/>
              </w:rPr>
            </w:pPr>
            <w:r>
              <w:rPr>
                <w:rFonts w:hint="eastAsia"/>
                <w:color w:val="000000"/>
                <w:kern w:val="0"/>
                <w:sz w:val="22"/>
                <w:szCs w:val="22"/>
                <w:highlight w:val="none"/>
                <w:lang w:eastAsia="zh-CN"/>
              </w:rPr>
              <w:t>社会效益</w:t>
            </w:r>
          </w:p>
        </w:tc>
        <w:tc>
          <w:tcPr>
            <w:tcW w:w="727" w:type="dxa"/>
            <w:tcBorders>
              <w:top w:val="single" w:color="auto" w:sz="8" w:space="0"/>
              <w:left w:val="single" w:color="auto" w:sz="8" w:space="0"/>
              <w:bottom w:val="single" w:color="auto" w:sz="8" w:space="0"/>
              <w:right w:val="single" w:color="auto" w:sz="8" w:space="0"/>
            </w:tcBorders>
            <w:shd w:val="clear" w:color="auto" w:fill="auto"/>
            <w:vAlign w:val="center"/>
          </w:tcPr>
          <w:p w14:paraId="40C323BA">
            <w:pPr>
              <w:widowControl/>
              <w:spacing w:line="0" w:lineRule="atLeast"/>
              <w:jc w:val="center"/>
              <w:rPr>
                <w:color w:val="000000"/>
                <w:kern w:val="0"/>
                <w:sz w:val="22"/>
                <w:szCs w:val="22"/>
              </w:rPr>
            </w:pPr>
            <w:r>
              <w:rPr>
                <w:rFonts w:hint="eastAsia"/>
                <w:color w:val="000000"/>
                <w:kern w:val="0"/>
                <w:sz w:val="22"/>
                <w:szCs w:val="22"/>
                <w:highlight w:val="none"/>
              </w:rPr>
              <w:t>15</w:t>
            </w:r>
          </w:p>
        </w:tc>
        <w:tc>
          <w:tcPr>
            <w:tcW w:w="1044" w:type="dxa"/>
            <w:tcBorders>
              <w:top w:val="single" w:color="auto" w:sz="8" w:space="0"/>
              <w:left w:val="single" w:color="auto" w:sz="8" w:space="0"/>
              <w:bottom w:val="single" w:color="auto" w:sz="8" w:space="0"/>
              <w:right w:val="single" w:color="auto" w:sz="8" w:space="0"/>
            </w:tcBorders>
            <w:shd w:val="clear" w:color="auto" w:fill="auto"/>
            <w:vAlign w:val="center"/>
          </w:tcPr>
          <w:p w14:paraId="66313586">
            <w:pPr>
              <w:widowControl/>
              <w:spacing w:line="0" w:lineRule="atLeast"/>
              <w:jc w:val="center"/>
              <w:rPr>
                <w:color w:val="000000"/>
                <w:kern w:val="0"/>
                <w:sz w:val="22"/>
                <w:szCs w:val="22"/>
              </w:rPr>
            </w:pPr>
            <w:r>
              <w:rPr>
                <w:color w:val="000000"/>
                <w:kern w:val="0"/>
                <w:sz w:val="22"/>
                <w:szCs w:val="22"/>
                <w:highlight w:val="none"/>
              </w:rPr>
              <w:t>有效</w:t>
            </w:r>
          </w:p>
        </w:tc>
        <w:tc>
          <w:tcPr>
            <w:tcW w:w="924" w:type="dxa"/>
            <w:tcBorders>
              <w:top w:val="single" w:color="auto" w:sz="8" w:space="0"/>
              <w:left w:val="single" w:color="auto" w:sz="8" w:space="0"/>
              <w:bottom w:val="single" w:color="auto" w:sz="8" w:space="0"/>
              <w:right w:val="single" w:color="auto" w:sz="8" w:space="0"/>
            </w:tcBorders>
            <w:shd w:val="clear" w:color="auto" w:fill="auto"/>
            <w:vAlign w:val="center"/>
          </w:tcPr>
          <w:p w14:paraId="74EBB224">
            <w:pPr>
              <w:widowControl/>
              <w:spacing w:line="0" w:lineRule="atLeast"/>
              <w:jc w:val="center"/>
              <w:rPr>
                <w:color w:val="000000"/>
                <w:kern w:val="0"/>
                <w:sz w:val="22"/>
                <w:szCs w:val="22"/>
              </w:rPr>
            </w:pPr>
            <w:r>
              <w:rPr>
                <w:color w:val="000000"/>
                <w:kern w:val="0"/>
                <w:sz w:val="22"/>
                <w:szCs w:val="22"/>
                <w:highlight w:val="none"/>
              </w:rPr>
              <w:t>有效</w:t>
            </w:r>
          </w:p>
        </w:tc>
        <w:tc>
          <w:tcPr>
            <w:tcW w:w="1215" w:type="dxa"/>
            <w:tcBorders>
              <w:top w:val="single" w:color="auto" w:sz="8" w:space="0"/>
              <w:left w:val="single" w:color="auto" w:sz="8" w:space="0"/>
              <w:bottom w:val="single" w:color="auto" w:sz="8" w:space="0"/>
              <w:right w:val="single" w:color="auto" w:sz="8" w:space="0"/>
            </w:tcBorders>
            <w:shd w:val="clear" w:color="auto" w:fill="auto"/>
            <w:vAlign w:val="center"/>
          </w:tcPr>
          <w:p w14:paraId="6DA35C4E">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bottom w:val="single" w:color="auto" w:sz="8" w:space="0"/>
              <w:right w:val="single" w:color="auto" w:sz="8" w:space="0"/>
            </w:tcBorders>
            <w:shd w:val="clear" w:color="auto" w:fill="auto"/>
            <w:vAlign w:val="center"/>
          </w:tcPr>
          <w:p w14:paraId="4DC679B7">
            <w:pPr>
              <w:widowControl/>
              <w:spacing w:line="0" w:lineRule="atLeast"/>
              <w:jc w:val="center"/>
              <w:rPr>
                <w:color w:val="000000"/>
                <w:kern w:val="0"/>
                <w:sz w:val="22"/>
                <w:szCs w:val="22"/>
              </w:rPr>
            </w:pPr>
            <w:r>
              <w:rPr>
                <w:rFonts w:hint="eastAsia"/>
                <w:color w:val="000000"/>
                <w:kern w:val="0"/>
                <w:sz w:val="22"/>
                <w:szCs w:val="22"/>
                <w:highlight w:val="none"/>
              </w:rPr>
              <w:t>15</w:t>
            </w:r>
          </w:p>
        </w:tc>
      </w:tr>
      <w:tr w14:paraId="22D5B7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5" w:hRule="exact"/>
        </w:trPr>
        <w:tc>
          <w:tcPr>
            <w:tcW w:w="1117" w:type="dxa"/>
            <w:vMerge w:val="continue"/>
            <w:tcBorders>
              <w:top w:val="single" w:color="auto" w:sz="8" w:space="0"/>
              <w:left w:val="single" w:color="auto" w:sz="8" w:space="0"/>
              <w:right w:val="single" w:color="auto" w:sz="8" w:space="0"/>
            </w:tcBorders>
            <w:shd w:val="clear" w:color="auto" w:fill="auto"/>
            <w:vAlign w:val="center"/>
          </w:tcPr>
          <w:p w14:paraId="015C91DC">
            <w:pPr>
              <w:widowControl/>
              <w:spacing w:line="0" w:lineRule="atLeast"/>
              <w:jc w:val="center"/>
              <w:rPr>
                <w:color w:val="000000"/>
                <w:kern w:val="0"/>
                <w:sz w:val="22"/>
                <w:szCs w:val="22"/>
              </w:rPr>
            </w:pPr>
          </w:p>
        </w:tc>
        <w:tc>
          <w:tcPr>
            <w:tcW w:w="772" w:type="dxa"/>
            <w:vMerge w:val="continue"/>
            <w:tcBorders>
              <w:top w:val="single" w:color="auto" w:sz="8" w:space="0"/>
              <w:left w:val="single" w:color="auto" w:sz="8" w:space="0"/>
              <w:right w:val="single" w:color="auto" w:sz="8" w:space="0"/>
            </w:tcBorders>
            <w:shd w:val="clear" w:color="auto" w:fill="auto"/>
            <w:vAlign w:val="center"/>
          </w:tcPr>
          <w:p w14:paraId="648FD688">
            <w:pPr>
              <w:widowControl/>
              <w:spacing w:line="0" w:lineRule="atLeast"/>
              <w:jc w:val="center"/>
              <w:rPr>
                <w:color w:val="000000"/>
                <w:kern w:val="0"/>
                <w:sz w:val="22"/>
                <w:szCs w:val="22"/>
              </w:rPr>
            </w:pPr>
          </w:p>
        </w:tc>
        <w:tc>
          <w:tcPr>
            <w:tcW w:w="1171" w:type="dxa"/>
            <w:vMerge w:val="continue"/>
            <w:tcBorders>
              <w:top w:val="single" w:color="auto" w:sz="8" w:space="0"/>
              <w:left w:val="single" w:color="auto" w:sz="8" w:space="0"/>
              <w:right w:val="single" w:color="auto" w:sz="8" w:space="0"/>
            </w:tcBorders>
            <w:shd w:val="clear" w:color="auto" w:fill="auto"/>
            <w:vAlign w:val="center"/>
          </w:tcPr>
          <w:p w14:paraId="770E53C6">
            <w:pPr>
              <w:widowControl/>
              <w:spacing w:line="0" w:lineRule="atLeast"/>
              <w:jc w:val="center"/>
              <w:rPr>
                <w:color w:val="000000"/>
                <w:kern w:val="0"/>
                <w:sz w:val="22"/>
                <w:szCs w:val="22"/>
              </w:rPr>
            </w:pPr>
          </w:p>
        </w:tc>
        <w:tc>
          <w:tcPr>
            <w:tcW w:w="2024" w:type="dxa"/>
            <w:tcBorders>
              <w:top w:val="single" w:color="auto" w:sz="8" w:space="0"/>
              <w:left w:val="single" w:color="auto" w:sz="8" w:space="0"/>
              <w:right w:val="single" w:color="auto" w:sz="8" w:space="0"/>
            </w:tcBorders>
            <w:shd w:val="clear" w:color="auto" w:fill="auto"/>
            <w:vAlign w:val="center"/>
          </w:tcPr>
          <w:p w14:paraId="07D1E034">
            <w:pPr>
              <w:widowControl/>
              <w:spacing w:line="0" w:lineRule="atLeast"/>
              <w:jc w:val="center"/>
              <w:rPr>
                <w:color w:val="000000"/>
                <w:kern w:val="0"/>
                <w:sz w:val="22"/>
                <w:szCs w:val="22"/>
              </w:rPr>
            </w:pPr>
            <w:r>
              <w:rPr>
                <w:color w:val="000000"/>
                <w:kern w:val="0"/>
                <w:sz w:val="22"/>
                <w:szCs w:val="22"/>
                <w:highlight w:val="none"/>
              </w:rPr>
              <w:t>满意度</w:t>
            </w:r>
          </w:p>
        </w:tc>
        <w:tc>
          <w:tcPr>
            <w:tcW w:w="727" w:type="dxa"/>
            <w:tcBorders>
              <w:top w:val="single" w:color="auto" w:sz="8" w:space="0"/>
              <w:left w:val="single" w:color="auto" w:sz="8" w:space="0"/>
              <w:right w:val="single" w:color="auto" w:sz="8" w:space="0"/>
            </w:tcBorders>
            <w:shd w:val="clear" w:color="auto" w:fill="auto"/>
            <w:vAlign w:val="center"/>
          </w:tcPr>
          <w:p w14:paraId="5DDCA35E">
            <w:pPr>
              <w:widowControl/>
              <w:spacing w:line="0" w:lineRule="atLeast"/>
              <w:jc w:val="center"/>
              <w:rPr>
                <w:color w:val="000000"/>
                <w:kern w:val="0"/>
                <w:sz w:val="22"/>
                <w:szCs w:val="22"/>
              </w:rPr>
            </w:pPr>
            <w:r>
              <w:rPr>
                <w:rFonts w:hint="eastAsia"/>
                <w:color w:val="000000"/>
                <w:kern w:val="0"/>
                <w:sz w:val="22"/>
                <w:szCs w:val="22"/>
                <w:highlight w:val="none"/>
              </w:rPr>
              <w:t>5</w:t>
            </w:r>
          </w:p>
        </w:tc>
        <w:tc>
          <w:tcPr>
            <w:tcW w:w="1044" w:type="dxa"/>
            <w:tcBorders>
              <w:top w:val="single" w:color="auto" w:sz="8" w:space="0"/>
              <w:left w:val="single" w:color="auto" w:sz="8" w:space="0"/>
              <w:right w:val="single" w:color="auto" w:sz="8" w:space="0"/>
            </w:tcBorders>
            <w:shd w:val="clear" w:color="auto" w:fill="auto"/>
            <w:vAlign w:val="center"/>
          </w:tcPr>
          <w:p w14:paraId="02CECA86">
            <w:pPr>
              <w:widowControl/>
              <w:spacing w:line="0" w:lineRule="atLeast"/>
              <w:jc w:val="center"/>
              <w:rPr>
                <w:color w:val="000000"/>
                <w:kern w:val="0"/>
                <w:sz w:val="22"/>
                <w:szCs w:val="22"/>
                <w:highlight w:val="yellow"/>
              </w:rPr>
            </w:pPr>
            <w:r>
              <w:rPr>
                <w:rFonts w:hint="eastAsia"/>
                <w:color w:val="000000"/>
                <w:kern w:val="0"/>
                <w:sz w:val="22"/>
                <w:szCs w:val="22"/>
                <w:highlight w:val="none"/>
              </w:rPr>
              <w:t>&lt;=2次</w:t>
            </w:r>
          </w:p>
        </w:tc>
        <w:tc>
          <w:tcPr>
            <w:tcW w:w="924" w:type="dxa"/>
            <w:tcBorders>
              <w:top w:val="single" w:color="auto" w:sz="8" w:space="0"/>
              <w:left w:val="single" w:color="auto" w:sz="8" w:space="0"/>
              <w:right w:val="single" w:color="auto" w:sz="8" w:space="0"/>
            </w:tcBorders>
            <w:shd w:val="clear" w:color="auto" w:fill="auto"/>
            <w:vAlign w:val="center"/>
          </w:tcPr>
          <w:p w14:paraId="6D061E52">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p>
        </w:tc>
        <w:tc>
          <w:tcPr>
            <w:tcW w:w="1215" w:type="dxa"/>
            <w:tcBorders>
              <w:top w:val="single" w:color="auto" w:sz="8" w:space="0"/>
              <w:left w:val="single" w:color="auto" w:sz="8" w:space="0"/>
              <w:right w:val="single" w:color="auto" w:sz="8" w:space="0"/>
            </w:tcBorders>
            <w:shd w:val="clear" w:color="auto" w:fill="auto"/>
            <w:vAlign w:val="center"/>
          </w:tcPr>
          <w:p w14:paraId="4F301DBF">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p>
        </w:tc>
        <w:tc>
          <w:tcPr>
            <w:tcW w:w="960" w:type="dxa"/>
            <w:tcBorders>
              <w:top w:val="single" w:color="auto" w:sz="8" w:space="0"/>
              <w:left w:val="single" w:color="auto" w:sz="8" w:space="0"/>
              <w:right w:val="single" w:color="auto" w:sz="8" w:space="0"/>
            </w:tcBorders>
            <w:shd w:val="clear" w:color="auto" w:fill="auto"/>
            <w:vAlign w:val="center"/>
          </w:tcPr>
          <w:p w14:paraId="5973F62D">
            <w:pPr>
              <w:widowControl/>
              <w:spacing w:line="0" w:lineRule="atLeast"/>
              <w:jc w:val="center"/>
              <w:rPr>
                <w:color w:val="000000"/>
                <w:kern w:val="0"/>
                <w:sz w:val="22"/>
                <w:szCs w:val="22"/>
              </w:rPr>
            </w:pPr>
            <w:r>
              <w:rPr>
                <w:rFonts w:hint="eastAsia"/>
                <w:color w:val="000000"/>
                <w:kern w:val="0"/>
                <w:sz w:val="22"/>
                <w:szCs w:val="22"/>
                <w:highlight w:val="none"/>
              </w:rPr>
              <w:t>5</w:t>
            </w:r>
          </w:p>
        </w:tc>
      </w:tr>
    </w:tbl>
    <w:p w14:paraId="083327E4">
      <w:pPr>
        <w:pStyle w:val="3"/>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绩效评价指标分析</w:t>
      </w:r>
    </w:p>
    <w:p w14:paraId="09B15171">
      <w:pPr>
        <w:pStyle w:val="2"/>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ascii="Times New Roman" w:hAnsi="Times New Roman" w:eastAsia="楷体_GB2312"/>
        </w:rPr>
      </w:pPr>
      <w:r>
        <w:rPr>
          <w:rFonts w:ascii="Times New Roman" w:hAnsi="Times New Roman" w:eastAsia="楷体_GB2312"/>
        </w:rPr>
        <w:t>（一）项目决策情况</w:t>
      </w:r>
    </w:p>
    <w:p w14:paraId="31D201B3">
      <w:pPr>
        <w:pStyle w:val="13"/>
        <w:keepLines w:val="0"/>
        <w:pageBreakBefore w:val="0"/>
        <w:kinsoku/>
        <w:wordWrap/>
        <w:overflowPunct w:val="0"/>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项目决策类指标包括项目立项、绩效目标和资金投入三方面的内容，由6个三级指标构成，权重分值为20分，实际得分20分，得分率为100%。</w:t>
      </w:r>
    </w:p>
    <w:p w14:paraId="7E7C1522">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1.项目立项</w:t>
      </w:r>
    </w:p>
    <w:p w14:paraId="16E60F96">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14:paraId="051A01F9">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D2AB27A">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14:paraId="7D83F2D7">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根据决算依据编制工作计划和经费预算，经过与部门项目分管领导沟通、筛选确定经费预算计划，确定最终预算方案。保障了程序的规范性。</w:t>
      </w:r>
    </w:p>
    <w:p w14:paraId="623B23A1">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2.绩效目标</w:t>
      </w:r>
    </w:p>
    <w:p w14:paraId="6BCFC602">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14:paraId="16148709">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9342E16">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14:paraId="124CACEF">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5E51EAFF">
      <w:pPr>
        <w:pStyle w:val="5"/>
        <w:keepLines w:val="0"/>
        <w:pageBreakBefore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3.资金投入</w:t>
      </w:r>
    </w:p>
    <w:p w14:paraId="3F397366">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14:paraId="66513FA9">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14:paraId="2B8ADB43">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14:paraId="2DB74E40">
      <w:pPr>
        <w:keepLines w:val="0"/>
        <w:pageBreakBefore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14:paraId="2E79F214">
      <w:pPr>
        <w:pStyle w:val="2"/>
        <w:keepLines w:val="0"/>
        <w:pageBreakBefore w:val="0"/>
        <w:kinsoku/>
        <w:wordWrap/>
        <w:overflowPunct w:val="0"/>
        <w:topLinePunct w:val="0"/>
        <w:autoSpaceDE/>
        <w:autoSpaceDN/>
        <w:bidi w:val="0"/>
        <w:adjustRightInd/>
        <w:snapToGrid/>
        <w:spacing w:before="0" w:after="0" w:line="560" w:lineRule="exact"/>
        <w:ind w:left="0" w:leftChars="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项目过程情况</w:t>
      </w:r>
    </w:p>
    <w:p w14:paraId="4375904F">
      <w:pPr>
        <w:pStyle w:val="13"/>
        <w:keepLines w:val="0"/>
        <w:pageBreakBefore w:val="0"/>
        <w:kinsoku/>
        <w:wordWrap/>
        <w:overflowPunct w:val="0"/>
        <w:topLinePunct w:val="0"/>
        <w:autoSpaceDE/>
        <w:autoSpaceDN/>
        <w:bidi w:val="0"/>
        <w:adjustRightInd/>
        <w:snapToGrid/>
        <w:spacing w:after="0"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项目过程类指标包括资金管理和组织实施两方面的内容，由5个三级指标构成，权重分值为20分，实际得分19.98分，得分率为99.90%。</w:t>
      </w:r>
    </w:p>
    <w:p w14:paraId="096F454A">
      <w:pPr>
        <w:pStyle w:val="13"/>
        <w:keepLines w:val="0"/>
        <w:pageBreakBefore w:val="0"/>
        <w:kinsoku/>
        <w:wordWrap/>
        <w:overflowPunct w:val="0"/>
        <w:topLinePunct w:val="0"/>
        <w:autoSpaceDE/>
        <w:autoSpaceDN/>
        <w:bidi w:val="0"/>
        <w:adjustRightInd/>
        <w:snapToGrid/>
        <w:spacing w:after="0"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2A92D762">
      <w:pPr>
        <w:pStyle w:val="5"/>
        <w:keepLines w:val="0"/>
        <w:pageBreakBefore w:val="0"/>
        <w:kinsoku/>
        <w:wordWrap/>
        <w:overflowPunct w:val="0"/>
        <w:topLinePunct w:val="0"/>
        <w:autoSpaceDE/>
        <w:autoSpaceDN/>
        <w:bidi w:val="0"/>
        <w:adjustRightInd/>
        <w:snapToGrid/>
        <w:spacing w:before="0" w:after="0" w:line="560" w:lineRule="exact"/>
        <w:ind w:left="0" w:leftChars="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1.资金管理</w:t>
      </w:r>
    </w:p>
    <w:p w14:paraId="4073FDCD">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14:paraId="6B7CA64D">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本项目总投资100万元，财政资金及时足额到位，到位率100%，预算资金按计划进度执行。</w:t>
      </w:r>
    </w:p>
    <w:p w14:paraId="6409E415">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（2）预算执行率</w:t>
      </w:r>
    </w:p>
    <w:p w14:paraId="324409C5">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预算编制较为详细，项目资金支出总体能够按照预算执行，预算资金支出99.51万元，预算执行率为99.51%。</w:t>
      </w:r>
    </w:p>
    <w:p w14:paraId="58FC2675">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14:paraId="6AA7BFC5">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53535CF">
      <w:pPr>
        <w:pStyle w:val="5"/>
        <w:keepLines w:val="0"/>
        <w:pageBreakBefore w:val="0"/>
        <w:kinsoku/>
        <w:wordWrap/>
        <w:overflowPunct w:val="0"/>
        <w:topLinePunct w:val="0"/>
        <w:autoSpaceDE/>
        <w:autoSpaceDN/>
        <w:bidi w:val="0"/>
        <w:adjustRightInd/>
        <w:snapToGrid/>
        <w:spacing w:before="0" w:after="0" w:line="560" w:lineRule="exact"/>
        <w:ind w:left="0" w:leftChars="0"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2.组织实施</w:t>
      </w:r>
    </w:p>
    <w:p w14:paraId="0FD2FEAE">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14:paraId="7CF2F0E4">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w:t>
      </w:r>
      <w:bookmarkStart w:id="2" w:name="_GoBack"/>
      <w:bookmarkEnd w:id="2"/>
      <w:r>
        <w:rPr>
          <w:rFonts w:hint="eastAsia" w:ascii="仿宋_GB2312" w:hAnsi="仿宋_GB2312" w:eastAsia="仿宋_GB2312" w:cs="仿宋_GB2312"/>
          <w:sz w:val="32"/>
          <w:szCs w:val="32"/>
          <w:lang w:val="en-US" w:eastAsia="zh-CN"/>
        </w:rPr>
        <w:t>考核财务和业务管理制度对项目顺利实施的保障情况。</w:t>
      </w:r>
    </w:p>
    <w:p w14:paraId="7DC448FF">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14:paraId="76C26B6E">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1066552D">
      <w:pPr>
        <w:pStyle w:val="2"/>
        <w:keepLines w:val="0"/>
        <w:pageBreakBefore w:val="0"/>
        <w:kinsoku/>
        <w:wordWrap/>
        <w:overflowPunct w:val="0"/>
        <w:topLinePunct w:val="0"/>
        <w:autoSpaceDE/>
        <w:autoSpaceDN/>
        <w:bidi w:val="0"/>
        <w:adjustRightInd/>
        <w:snapToGrid/>
        <w:spacing w:before="0" w:after="0" w:line="560" w:lineRule="exact"/>
        <w:ind w:left="0" w:leftChars="0"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（三）项目产出</w:t>
      </w:r>
    </w:p>
    <w:p w14:paraId="58ECF51F">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项目产出类指标包括产出数量、产出质量、产出时效、产出成本四方面的内容，由9个三级指标构成，权重分为40分，实际得分40分，得分率为100%。具体产出指标完成情况如下：</w:t>
      </w:r>
    </w:p>
    <w:p w14:paraId="473E1EC1">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数量指标方面：</w:t>
      </w:r>
    </w:p>
    <w:p w14:paraId="01A53CC5">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a.覆盖生态环境监察区域指标，指标值为4个，实际完成4个，完成率100%，偏差率0%。</w:t>
      </w:r>
    </w:p>
    <w:p w14:paraId="255A49AA">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b.形成督察检查专项报告指标，指标值为7个，实际完成7个，完成率100%，偏差率0%。</w:t>
      </w:r>
    </w:p>
    <w:p w14:paraId="4A68EAA9">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c.形成环保督察整改情况报告报告指标，指标值为7个，实际完成7个，完成率100%，偏差率0%。</w:t>
      </w:r>
    </w:p>
    <w:p w14:paraId="5DEED6D9">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d.监督（监察）频次（次）指标，指标值为8次，实际完成8次，完成率100%，偏差率0%。</w:t>
      </w:r>
    </w:p>
    <w:p w14:paraId="1E10C441">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质量指标方面：</w:t>
      </w:r>
    </w:p>
    <w:p w14:paraId="1136EADD">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a.报告质量通过率指标，指标值为100%，实际完成100%，完成率100%，偏差率0%。</w:t>
      </w:r>
    </w:p>
    <w:p w14:paraId="103BE3F3">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b.区域覆盖率指标，指标值为100%，实际完成100%，完成率100%，偏差率0%。</w:t>
      </w:r>
    </w:p>
    <w:p w14:paraId="464AB787">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成本指标方面：</w:t>
      </w:r>
    </w:p>
    <w:p w14:paraId="69FFE5D2">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a.监督检查工作标准指标，指标值为小于等于55万元，实际完成55万元，完成率100%，偏差率0%。</w:t>
      </w:r>
    </w:p>
    <w:p w14:paraId="70874319">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b.聘用人员人均标准指标，派驻监察期间费用45万元，实际完成44.51万元，完成率98.91%，偏差率1.09%。主要原因是办公设备购置金额预算不够精确，导致产生结余。</w:t>
      </w:r>
    </w:p>
    <w:p w14:paraId="4B6859CF">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时效指标方面：</w:t>
      </w:r>
      <w:r>
        <w:rPr>
          <w:rFonts w:hint="eastAsia" w:ascii="仿宋_GB2312" w:hAnsi="仿宋_GB2312" w:eastAsia="仿宋_GB2312" w:cs="仿宋_GB2312"/>
          <w:sz w:val="32"/>
          <w:szCs w:val="32"/>
          <w:lang w:val="en-US" w:eastAsia="zh-CN"/>
        </w:rPr>
        <w:t>年度督察任务按时完成率指标，指标值为等于100%，实际完成100%，完成率100%，偏差率0%。</w:t>
      </w:r>
    </w:p>
    <w:p w14:paraId="56F0AB97">
      <w:pPr>
        <w:pStyle w:val="2"/>
        <w:keepLines w:val="0"/>
        <w:pageBreakBefore w:val="0"/>
        <w:kinsoku/>
        <w:wordWrap/>
        <w:overflowPunct w:val="0"/>
        <w:topLinePunct w:val="0"/>
        <w:autoSpaceDE/>
        <w:autoSpaceDN/>
        <w:bidi w:val="0"/>
        <w:adjustRightInd/>
        <w:snapToGrid/>
        <w:spacing w:before="0" w:after="0" w:line="560" w:lineRule="exact"/>
        <w:ind w:left="0" w:leftChars="0"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（四）效益情况</w:t>
      </w:r>
    </w:p>
    <w:p w14:paraId="2AD196BD">
      <w:pPr>
        <w:pStyle w:val="13"/>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项目效益类指标包括项目实施效益和满意度两方面的内容，由2个三级指标构成，权重分为20分，实际得分20分，得分率为100%。具体效益指标及满意度指标完成情况如下：</w:t>
      </w:r>
    </w:p>
    <w:p w14:paraId="536A0FBD">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Style w:val="54"/>
          <w:rFonts w:hint="eastAsia" w:ascii="仿宋_GB2312" w:hAnsi="仿宋_GB2312" w:eastAsia="仿宋_GB2312" w:cs="仿宋_GB2312"/>
          <w:color w:val="auto"/>
          <w:sz w:val="32"/>
          <w:szCs w:val="32"/>
        </w:rPr>
        <w:t>社会效益指标方面：</w:t>
      </w:r>
      <w:r>
        <w:rPr>
          <w:rFonts w:hint="eastAsia" w:ascii="仿宋_GB2312" w:hAnsi="仿宋_GB2312" w:eastAsia="仿宋_GB2312" w:cs="仿宋_GB2312"/>
          <w:b w:val="0"/>
          <w:bCs w:val="0"/>
          <w:kern w:val="2"/>
          <w:sz w:val="32"/>
          <w:szCs w:val="32"/>
          <w:highlight w:val="none"/>
          <w:lang w:val="en-US" w:eastAsia="zh-CN" w:bidi="ar-SA"/>
        </w:rPr>
        <w:t>构建新型生态环境保护监察体系指标，指标值为不断完善，实际完成不断完善，完成率100%，偏差率0%。</w:t>
      </w:r>
    </w:p>
    <w:p w14:paraId="367768EA">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满意度指标方面：检查人员被投诉次数指标，指标值为小于等于2次，实际完成0次，完成率100%，偏差率0%。</w:t>
      </w:r>
    </w:p>
    <w:p w14:paraId="43106A8C">
      <w:pPr>
        <w:pStyle w:val="3"/>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五、主要经验及做法、存在的问题及原因分析</w:t>
      </w:r>
    </w:p>
    <w:p w14:paraId="5EB38AEA">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生态环境厅环境监察专员办环境监察专项项目年初预算100万元，全年预算100万元，实际支出99.51万元，预算执行率为99.51%，项目绩效指标总体完成率为99.51%，</w:t>
      </w:r>
      <w:r>
        <w:rPr>
          <w:rFonts w:hint="eastAsia" w:ascii="仿宋_GB2312" w:hAnsi="仿宋_GB2312" w:eastAsia="仿宋_GB2312" w:cs="仿宋_GB2312"/>
          <w:b w:val="0"/>
          <w:bCs w:val="0"/>
          <w:kern w:val="2"/>
          <w:sz w:val="32"/>
          <w:szCs w:val="32"/>
          <w:highlight w:val="none"/>
          <w:lang w:val="en-US" w:eastAsia="zh-Hans" w:bidi="ar-SA"/>
        </w:rPr>
        <w:t>总体</w:t>
      </w:r>
      <w:r>
        <w:rPr>
          <w:rFonts w:hint="eastAsia" w:ascii="仿宋_GB2312" w:hAnsi="仿宋_GB2312" w:eastAsia="仿宋_GB2312" w:cs="仿宋_GB2312"/>
          <w:b w:val="0"/>
          <w:bCs w:val="0"/>
          <w:kern w:val="2"/>
          <w:sz w:val="32"/>
          <w:szCs w:val="32"/>
          <w:highlight w:val="none"/>
          <w:lang w:val="en-US" w:eastAsia="zh-CN" w:bidi="ar-SA"/>
        </w:rPr>
        <w:t>偏差率为0.49%,</w:t>
      </w:r>
      <w:r>
        <w:rPr>
          <w:rFonts w:hint="eastAsia" w:ascii="仿宋_GB2312" w:hAnsi="仿宋_GB2312" w:eastAsia="仿宋_GB2312" w:cs="仿宋_GB2312"/>
          <w:b w:val="0"/>
          <w:bCs w:val="0"/>
          <w:kern w:val="2"/>
          <w:sz w:val="32"/>
          <w:szCs w:val="32"/>
          <w:highlight w:val="none"/>
          <w:lang w:val="en-US" w:eastAsia="zh-Hans" w:bidi="ar-SA"/>
        </w:rPr>
        <w:t>偏差</w:t>
      </w:r>
      <w:r>
        <w:rPr>
          <w:rFonts w:hint="eastAsia" w:ascii="仿宋_GB2312" w:hAnsi="仿宋_GB2312" w:eastAsia="仿宋_GB2312" w:cs="仿宋_GB2312"/>
          <w:b w:val="0"/>
          <w:bCs w:val="0"/>
          <w:kern w:val="2"/>
          <w:sz w:val="32"/>
          <w:szCs w:val="32"/>
          <w:highlight w:val="none"/>
          <w:lang w:val="en-US" w:eastAsia="zh-CN" w:bidi="ar-SA"/>
        </w:rPr>
        <w:t>原因办公设备购置金额预算不够精确，导致产生结余，</w:t>
      </w:r>
      <w:r>
        <w:rPr>
          <w:rFonts w:hint="eastAsia" w:ascii="仿宋_GB2312" w:hAnsi="仿宋_GB2312" w:eastAsia="仿宋_GB2312" w:cs="仿宋_GB2312"/>
          <w:b w:val="0"/>
          <w:bCs w:val="0"/>
          <w:kern w:val="2"/>
          <w:sz w:val="32"/>
          <w:szCs w:val="32"/>
          <w:highlight w:val="none"/>
          <w:lang w:val="en-US" w:eastAsia="zh-Hans" w:bidi="ar-SA"/>
        </w:rPr>
        <w:t>改进</w:t>
      </w:r>
      <w:r>
        <w:rPr>
          <w:rFonts w:hint="eastAsia" w:ascii="仿宋_GB2312" w:hAnsi="仿宋_GB2312" w:eastAsia="仿宋_GB2312" w:cs="仿宋_GB2312"/>
          <w:b w:val="0"/>
          <w:bCs w:val="0"/>
          <w:kern w:val="2"/>
          <w:sz w:val="32"/>
          <w:szCs w:val="32"/>
          <w:highlight w:val="none"/>
          <w:lang w:val="en-US" w:eastAsia="zh-CN" w:bidi="ar-SA"/>
        </w:rPr>
        <w:t>措施合理设置预算资金。</w:t>
      </w:r>
    </w:p>
    <w:p w14:paraId="3CCE49F7">
      <w:pPr>
        <w:pStyle w:val="3"/>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六、主要经验及做法、存在的问题及原因分析</w:t>
      </w:r>
    </w:p>
    <w:p w14:paraId="51192059">
      <w:pPr>
        <w:pStyle w:val="2"/>
        <w:keepLines w:val="0"/>
        <w:pageBreakBefore w:val="0"/>
        <w:kinsoku/>
        <w:wordWrap/>
        <w:overflowPunct w:val="0"/>
        <w:topLinePunct w:val="0"/>
        <w:autoSpaceDE/>
        <w:autoSpaceDN/>
        <w:bidi w:val="0"/>
        <w:adjustRightInd/>
        <w:snapToGrid/>
        <w:spacing w:before="0" w:after="0" w:line="560" w:lineRule="exact"/>
        <w:ind w:left="0" w:leftChars="0"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（一）主要经验及做法</w:t>
      </w:r>
    </w:p>
    <w:p w14:paraId="37419021">
      <w:pPr>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102290D">
      <w:pPr>
        <w:pStyle w:val="13"/>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57955A4">
      <w:pPr>
        <w:pStyle w:val="2"/>
        <w:keepLines w:val="0"/>
        <w:pageBreakBefore w:val="0"/>
        <w:kinsoku/>
        <w:wordWrap/>
        <w:overflowPunct w:val="0"/>
        <w:topLinePunct w:val="0"/>
        <w:autoSpaceDE/>
        <w:autoSpaceDN/>
        <w:bidi w:val="0"/>
        <w:adjustRightInd/>
        <w:snapToGrid/>
        <w:spacing w:before="0" w:after="0" w:line="560" w:lineRule="exact"/>
        <w:ind w:left="0" w:leftChars="0"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）存在的问题及原因分析</w:t>
      </w:r>
    </w:p>
    <w:p w14:paraId="28775A30">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我办存在的问题是预算使用率未达到100%，具体是资本性支出结余0.49万元；究其原因是购置办公设备不够精确，导致在资本性支出科目上仍有剩余。</w:t>
      </w:r>
    </w:p>
    <w:p w14:paraId="7A013A15">
      <w:pPr>
        <w:pStyle w:val="3"/>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七、有关建议</w:t>
      </w:r>
    </w:p>
    <w:p w14:paraId="537471A5">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240A61D">
      <w:pPr>
        <w:keepNext w:val="0"/>
        <w:keepLines w:val="0"/>
        <w:pageBreakBefore w:val="0"/>
        <w:widowControl w:val="0"/>
        <w:numPr>
          <w:ilvl w:val="0"/>
          <w:numId w:val="0"/>
        </w:numPr>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 xml:space="preserve">加大项目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 </w:t>
      </w:r>
    </w:p>
    <w:p w14:paraId="3A2333F7">
      <w:pPr>
        <w:keepNext w:val="0"/>
        <w:keepLines w:val="0"/>
        <w:pageBreakBefore w:val="0"/>
        <w:numPr>
          <w:ilvl w:val="0"/>
          <w:numId w:val="0"/>
        </w:numPr>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财政和项目实施单位严格实行“三专”管理，即设专户、建专帐、定专人。同时，资金拨付除坚持按项目计划、工程进度和质量分阶段验收拨款外，还坚持部门联审制，项目单位先做事、后报帐，从而确保专项资金专款专用，有效地防止了截留、挤占和挪用。</w:t>
      </w:r>
    </w:p>
    <w:p w14:paraId="198582C4">
      <w:pPr>
        <w:pStyle w:val="3"/>
        <w:keepLines w:val="0"/>
        <w:pageBreakBefore w:val="0"/>
        <w:kinsoku/>
        <w:wordWrap/>
        <w:overflowPunct w:val="0"/>
        <w:topLinePunct w:val="0"/>
        <w:autoSpaceDE/>
        <w:autoSpaceDN/>
        <w:bidi w:val="0"/>
        <w:adjustRightInd/>
        <w:snapToGrid/>
        <w:spacing w:before="0" w:after="0" w:line="56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八、其他需要说</w:t>
      </w:r>
      <w:bookmarkStart w:id="1" w:name="page8"/>
      <w:bookmarkEnd w:id="1"/>
      <w:r>
        <w:rPr>
          <w:rFonts w:hint="eastAsia" w:ascii="仿宋_GB2312" w:hAnsi="仿宋_GB2312" w:eastAsia="仿宋_GB2312" w:cs="仿宋_GB2312"/>
          <w:sz w:val="32"/>
          <w:szCs w:val="32"/>
          <w:lang w:val="en-US" w:eastAsia="zh-CN"/>
        </w:rPr>
        <w:t>明的问题</w:t>
      </w:r>
    </w:p>
    <w:p w14:paraId="37217F23">
      <w:pPr>
        <w:pStyle w:val="21"/>
        <w:keepLines w:val="0"/>
        <w:pageBreakBefore w:val="0"/>
        <w:kinsoku/>
        <w:wordWrap/>
        <w:overflowPunct w:val="0"/>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kern w:val="0"/>
          <w:sz w:val="32"/>
          <w:szCs w:val="32"/>
          <w:lang w:bidi="ar"/>
        </w:rPr>
        <w:sectPr>
          <w:footerReference r:id="rId3" w:type="default"/>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仿宋_GB2312" w:eastAsia="仿宋_GB2312" w:cs="仿宋_GB2312"/>
          <w:sz w:val="32"/>
          <w:szCs w:val="32"/>
        </w:rPr>
        <w:t>无。</w:t>
      </w:r>
    </w:p>
    <w:tbl>
      <w:tblPr>
        <w:tblStyle w:val="22"/>
        <w:tblW w:w="8834" w:type="dxa"/>
        <w:tblInd w:w="0" w:type="dxa"/>
        <w:tblLayout w:type="autofit"/>
        <w:tblCellMar>
          <w:top w:w="0" w:type="dxa"/>
          <w:left w:w="0" w:type="dxa"/>
          <w:bottom w:w="0" w:type="dxa"/>
          <w:right w:w="0" w:type="dxa"/>
        </w:tblCellMar>
      </w:tblPr>
      <w:tblGrid>
        <w:gridCol w:w="798"/>
        <w:gridCol w:w="984"/>
        <w:gridCol w:w="1430"/>
        <w:gridCol w:w="1523"/>
        <w:gridCol w:w="1268"/>
        <w:gridCol w:w="1348"/>
        <w:gridCol w:w="1483"/>
      </w:tblGrid>
      <w:tr w14:paraId="6BB69274">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14:paraId="7632B64B">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14:paraId="316BEB20">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D9D79E">
            <w:pPr>
              <w:widowControl/>
              <w:jc w:val="center"/>
              <w:textAlignment w:val="center"/>
              <w:rPr>
                <w:sz w:val="22"/>
                <w:szCs w:val="22"/>
              </w:rPr>
            </w:pPr>
            <w:r>
              <w:rPr>
                <w:kern w:val="0"/>
                <w:sz w:val="22"/>
                <w:szCs w:val="22"/>
                <w:lang w:bidi="ar"/>
              </w:rPr>
              <w:t>（202</w:t>
            </w:r>
            <w:r>
              <w:rPr>
                <w:rFonts w:hint="eastAsia"/>
                <w:kern w:val="0"/>
                <w:sz w:val="22"/>
                <w:szCs w:val="22"/>
                <w:lang w:val="en-US" w:eastAsia="zh-CN" w:bidi="ar"/>
              </w:rPr>
              <w:t>3</w:t>
            </w:r>
            <w:r>
              <w:rPr>
                <w:kern w:val="0"/>
                <w:sz w:val="22"/>
                <w:szCs w:val="22"/>
                <w:lang w:bidi="ar"/>
              </w:rPr>
              <w:t>年度）</w:t>
            </w:r>
          </w:p>
        </w:tc>
      </w:tr>
      <w:tr w14:paraId="03FDE4F5">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A5E04C">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0B3DFE">
            <w:pPr>
              <w:widowControl/>
              <w:jc w:val="center"/>
              <w:textAlignment w:val="center"/>
              <w:rPr>
                <w:sz w:val="18"/>
                <w:szCs w:val="18"/>
              </w:rPr>
            </w:pPr>
            <w:r>
              <w:rPr>
                <w:rFonts w:hint="eastAsia"/>
                <w:sz w:val="18"/>
                <w:szCs w:val="18"/>
              </w:rPr>
              <w:t>新疆维吾尔自治区生态环境厅第一生态环境监察专员办公室</w:t>
            </w:r>
          </w:p>
        </w:tc>
      </w:tr>
      <w:tr w14:paraId="621AE72B">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272F6B">
            <w:pPr>
              <w:widowControl/>
              <w:jc w:val="center"/>
              <w:textAlignment w:val="center"/>
              <w:rPr>
                <w:sz w:val="18"/>
                <w:szCs w:val="18"/>
              </w:rPr>
            </w:pPr>
            <w:r>
              <w:rPr>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A7F4E2">
            <w:pPr>
              <w:widowControl/>
              <w:jc w:val="center"/>
              <w:textAlignment w:val="center"/>
              <w:rPr>
                <w:rFonts w:hint="eastAsia" w:eastAsia="宋体"/>
                <w:sz w:val="18"/>
                <w:szCs w:val="18"/>
                <w:lang w:eastAsia="zh-CN"/>
              </w:rPr>
            </w:pPr>
            <w:r>
              <w:rPr>
                <w:rFonts w:hint="eastAsia"/>
                <w:sz w:val="18"/>
                <w:szCs w:val="18"/>
                <w:lang w:eastAsia="zh-CN"/>
              </w:rPr>
              <w:t>新疆维吾尔自治区生态环境厅</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D1D46F">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D1DFC3">
            <w:pPr>
              <w:jc w:val="center"/>
              <w:rPr>
                <w:rFonts w:hint="eastAsia" w:eastAsia="宋体"/>
                <w:sz w:val="18"/>
                <w:szCs w:val="18"/>
                <w:lang w:eastAsia="zh-CN"/>
              </w:rPr>
            </w:pPr>
            <w:r>
              <w:rPr>
                <w:rFonts w:hint="eastAsia"/>
                <w:sz w:val="18"/>
                <w:szCs w:val="18"/>
                <w:lang w:eastAsia="zh-CN"/>
              </w:rPr>
              <w:t>第一专员办</w:t>
            </w:r>
          </w:p>
        </w:tc>
      </w:tr>
      <w:tr w14:paraId="5A9E428E">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9F11F6">
            <w:pPr>
              <w:widowControl/>
              <w:jc w:val="center"/>
              <w:textAlignment w:val="center"/>
              <w:rPr>
                <w:sz w:val="18"/>
                <w:szCs w:val="18"/>
              </w:rPr>
            </w:pPr>
            <w:r>
              <w:rPr>
                <w:kern w:val="0"/>
                <w:sz w:val="18"/>
                <w:szCs w:val="18"/>
                <w:lang w:bidi="ar"/>
              </w:rPr>
              <w:t>项目资金</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4FC66A">
            <w:pPr>
              <w:jc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693005">
            <w:pPr>
              <w:widowControl/>
              <w:jc w:val="center"/>
              <w:textAlignment w:val="center"/>
              <w:rPr>
                <w:sz w:val="18"/>
                <w:szCs w:val="18"/>
              </w:rPr>
            </w:pPr>
            <w:r>
              <w:rPr>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CA9B83">
            <w:pPr>
              <w:widowControl/>
              <w:jc w:val="center"/>
              <w:textAlignment w:val="center"/>
              <w:rPr>
                <w:sz w:val="18"/>
                <w:szCs w:val="18"/>
              </w:rPr>
            </w:pPr>
            <w:r>
              <w:rPr>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0A4E9A">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6B58B1">
            <w:pPr>
              <w:widowControl/>
              <w:jc w:val="center"/>
              <w:textAlignment w:val="center"/>
              <w:rPr>
                <w:sz w:val="18"/>
                <w:szCs w:val="18"/>
              </w:rPr>
            </w:pPr>
            <w:r>
              <w:rPr>
                <w:kern w:val="0"/>
                <w:sz w:val="18"/>
                <w:szCs w:val="18"/>
                <w:lang w:bidi="ar"/>
              </w:rPr>
              <w:t>执行率</w:t>
            </w:r>
          </w:p>
        </w:tc>
      </w:tr>
      <w:tr w14:paraId="4DDFF0FF">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401E8B">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B64D28">
            <w:pPr>
              <w:widowControl/>
              <w:textAlignment w:val="center"/>
              <w:rPr>
                <w:sz w:val="18"/>
                <w:szCs w:val="18"/>
              </w:rPr>
            </w:pPr>
            <w:r>
              <w:rPr>
                <w:kern w:val="0"/>
                <w:sz w:val="18"/>
                <w:szCs w:val="18"/>
                <w:lang w:bidi="ar"/>
              </w:rPr>
              <w:t>年度资金总额</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F4E0E9">
            <w:pPr>
              <w:widowControl/>
              <w:jc w:val="center"/>
              <w:textAlignment w:val="center"/>
              <w:rPr>
                <w:rFonts w:hint="default" w:eastAsia="宋体"/>
                <w:sz w:val="18"/>
                <w:szCs w:val="18"/>
                <w:lang w:val="en-US" w:eastAsia="zh-CN"/>
              </w:rPr>
            </w:pPr>
            <w:r>
              <w:rPr>
                <w:rFonts w:hint="eastAsia"/>
                <w:sz w:val="18"/>
                <w:szCs w:val="18"/>
                <w:lang w:val="en-US" w:eastAsia="zh-CN"/>
              </w:rPr>
              <w:t>100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610AC7">
            <w:pPr>
              <w:widowControl/>
              <w:jc w:val="center"/>
              <w:textAlignment w:val="center"/>
              <w:rPr>
                <w:rFonts w:hint="default" w:eastAsia="宋体"/>
                <w:sz w:val="18"/>
                <w:szCs w:val="18"/>
                <w:lang w:val="en-US" w:eastAsia="zh-CN"/>
              </w:rPr>
            </w:pPr>
            <w:r>
              <w:rPr>
                <w:rFonts w:hint="eastAsia"/>
                <w:sz w:val="18"/>
                <w:szCs w:val="18"/>
                <w:lang w:val="en-US" w:eastAsia="zh-CN"/>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AFD9BE">
            <w:pPr>
              <w:widowControl/>
              <w:jc w:val="center"/>
              <w:textAlignment w:val="center"/>
              <w:rPr>
                <w:rFonts w:hint="default" w:eastAsia="宋体"/>
                <w:sz w:val="18"/>
                <w:szCs w:val="18"/>
                <w:lang w:val="en-US" w:eastAsia="zh-CN"/>
              </w:rPr>
            </w:pPr>
            <w:r>
              <w:rPr>
                <w:rFonts w:hint="eastAsia"/>
                <w:sz w:val="18"/>
                <w:szCs w:val="18"/>
                <w:lang w:val="en-US" w:eastAsia="zh-CN"/>
              </w:rPr>
              <w:t>99.51</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F5FA6F">
            <w:pPr>
              <w:widowControl/>
              <w:jc w:val="center"/>
              <w:textAlignment w:val="center"/>
              <w:rPr>
                <w:rFonts w:hint="default" w:eastAsia="宋体"/>
                <w:sz w:val="18"/>
                <w:szCs w:val="18"/>
                <w:lang w:val="en-US" w:eastAsia="zh-CN"/>
              </w:rPr>
            </w:pPr>
            <w:r>
              <w:rPr>
                <w:rFonts w:hint="eastAsia"/>
                <w:sz w:val="18"/>
                <w:szCs w:val="18"/>
                <w:lang w:val="en-US" w:eastAsia="zh-CN"/>
              </w:rPr>
              <w:t>99.51%</w:t>
            </w:r>
          </w:p>
        </w:tc>
      </w:tr>
      <w:tr w14:paraId="1871ABD4">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549544">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B31208">
            <w:pPr>
              <w:widowControl/>
              <w:jc w:val="center"/>
              <w:textAlignment w:val="center"/>
              <w:rPr>
                <w:sz w:val="18"/>
                <w:szCs w:val="18"/>
              </w:rPr>
            </w:pPr>
            <w:r>
              <w:rPr>
                <w:kern w:val="0"/>
                <w:sz w:val="18"/>
                <w:szCs w:val="18"/>
                <w:lang w:bidi="ar"/>
              </w:rPr>
              <w:t>其中：当年财政拨款</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15641A">
            <w:pPr>
              <w:widowControl/>
              <w:jc w:val="center"/>
              <w:textAlignment w:val="center"/>
              <w:rPr>
                <w:rFonts w:hint="default" w:eastAsia="宋体"/>
                <w:sz w:val="18"/>
                <w:szCs w:val="18"/>
                <w:lang w:val="en-US" w:eastAsia="zh-CN"/>
              </w:rPr>
            </w:pPr>
            <w:r>
              <w:rPr>
                <w:rFonts w:hint="eastAsia"/>
                <w:sz w:val="18"/>
                <w:szCs w:val="18"/>
                <w:lang w:val="en-US" w:eastAsia="zh-CN"/>
              </w:rPr>
              <w:t>100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3C0773">
            <w:pPr>
              <w:widowControl/>
              <w:jc w:val="center"/>
              <w:textAlignment w:val="center"/>
              <w:rPr>
                <w:rFonts w:hint="default" w:eastAsia="宋体"/>
                <w:sz w:val="18"/>
                <w:szCs w:val="18"/>
                <w:lang w:val="en-US" w:eastAsia="zh-CN"/>
              </w:rPr>
            </w:pPr>
            <w:r>
              <w:rPr>
                <w:rFonts w:hint="eastAsia"/>
                <w:sz w:val="18"/>
                <w:szCs w:val="18"/>
                <w:lang w:val="en-US" w:eastAsia="zh-CN"/>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A02045">
            <w:pPr>
              <w:widowControl/>
              <w:jc w:val="center"/>
              <w:textAlignment w:val="center"/>
              <w:rPr>
                <w:rFonts w:hint="default" w:eastAsia="宋体"/>
                <w:sz w:val="18"/>
                <w:szCs w:val="18"/>
                <w:lang w:val="en-US" w:eastAsia="zh-CN"/>
              </w:rPr>
            </w:pPr>
            <w:r>
              <w:rPr>
                <w:rFonts w:hint="eastAsia"/>
                <w:sz w:val="18"/>
                <w:szCs w:val="18"/>
                <w:lang w:val="en-US" w:eastAsia="zh-CN"/>
              </w:rPr>
              <w:t>99.51</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8FF8D8">
            <w:pPr>
              <w:widowControl/>
              <w:jc w:val="center"/>
              <w:textAlignment w:val="center"/>
              <w:rPr>
                <w:sz w:val="18"/>
                <w:szCs w:val="18"/>
              </w:rPr>
            </w:pPr>
            <w:r>
              <w:rPr>
                <w:rFonts w:hint="eastAsia"/>
                <w:sz w:val="18"/>
                <w:szCs w:val="18"/>
                <w:lang w:val="en-US" w:eastAsia="zh-CN"/>
              </w:rPr>
              <w:t>99.51%</w:t>
            </w:r>
          </w:p>
        </w:tc>
      </w:tr>
      <w:tr w14:paraId="120B3C02">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845624">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D09BFC">
            <w:pPr>
              <w:widowControl/>
              <w:jc w:val="center"/>
              <w:textAlignment w:val="center"/>
              <w:rPr>
                <w:sz w:val="18"/>
                <w:szCs w:val="18"/>
              </w:rPr>
            </w:pPr>
            <w:r>
              <w:rPr>
                <w:kern w:val="0"/>
                <w:sz w:val="18"/>
                <w:szCs w:val="18"/>
                <w:lang w:bidi="ar"/>
              </w:rPr>
              <w:t>上年结转资金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DDE631">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6B3728">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343810">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30A25C">
            <w:pPr>
              <w:jc w:val="center"/>
              <w:rPr>
                <w:rFonts w:hint="eastAsia" w:eastAsia="宋体"/>
                <w:sz w:val="18"/>
                <w:szCs w:val="18"/>
                <w:lang w:val="en-US" w:eastAsia="zh-CN"/>
              </w:rPr>
            </w:pPr>
            <w:r>
              <w:rPr>
                <w:rFonts w:hint="eastAsia"/>
                <w:sz w:val="18"/>
                <w:szCs w:val="18"/>
                <w:lang w:val="en-US" w:eastAsia="zh-CN"/>
              </w:rPr>
              <w:t>0</w:t>
            </w:r>
          </w:p>
        </w:tc>
      </w:tr>
      <w:tr w14:paraId="408151B0">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484AD3">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64D0D5">
            <w:pPr>
              <w:widowControl/>
              <w:jc w:val="center"/>
              <w:textAlignment w:val="center"/>
              <w:rPr>
                <w:sz w:val="18"/>
                <w:szCs w:val="18"/>
              </w:rPr>
            </w:pPr>
            <w:r>
              <w:rPr>
                <w:kern w:val="0"/>
                <w:sz w:val="18"/>
                <w:szCs w:val="18"/>
                <w:lang w:bidi="ar"/>
              </w:rPr>
              <w:t xml:space="preserve">  其他资金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D73503">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B7DD0A">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7D4C40">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8FE168">
            <w:pPr>
              <w:jc w:val="center"/>
              <w:rPr>
                <w:rFonts w:hint="eastAsia" w:eastAsia="宋体"/>
                <w:sz w:val="18"/>
                <w:szCs w:val="18"/>
                <w:lang w:val="en-US" w:eastAsia="zh-CN"/>
              </w:rPr>
            </w:pPr>
            <w:r>
              <w:rPr>
                <w:rFonts w:hint="eastAsia"/>
                <w:sz w:val="18"/>
                <w:szCs w:val="18"/>
                <w:lang w:val="en-US" w:eastAsia="zh-CN"/>
              </w:rPr>
              <w:t>0</w:t>
            </w:r>
          </w:p>
        </w:tc>
      </w:tr>
      <w:tr w14:paraId="15437E95">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23CFFE">
            <w:pPr>
              <w:widowControl/>
              <w:jc w:val="center"/>
              <w:textAlignment w:val="center"/>
              <w:rPr>
                <w:sz w:val="18"/>
                <w:szCs w:val="18"/>
              </w:rPr>
            </w:pPr>
            <w:r>
              <w:rPr>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AE95A6">
            <w:pPr>
              <w:widowControl/>
              <w:jc w:val="center"/>
              <w:textAlignment w:val="center"/>
              <w:rPr>
                <w:sz w:val="18"/>
                <w:szCs w:val="18"/>
              </w:rPr>
            </w:pPr>
            <w:r>
              <w:rPr>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7C19A2">
            <w:pPr>
              <w:widowControl/>
              <w:jc w:val="center"/>
              <w:textAlignment w:val="center"/>
              <w:rPr>
                <w:sz w:val="18"/>
                <w:szCs w:val="18"/>
              </w:rPr>
            </w:pPr>
            <w:r>
              <w:rPr>
                <w:kern w:val="0"/>
                <w:sz w:val="18"/>
                <w:szCs w:val="18"/>
                <w:lang w:bidi="ar"/>
              </w:rPr>
              <w:t>实际完成情况</w:t>
            </w:r>
          </w:p>
        </w:tc>
      </w:tr>
      <w:tr w14:paraId="756CFAA2">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75B8E2">
            <w:pPr>
              <w:jc w:val="center"/>
              <w:rPr>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8F65E2">
            <w:pPr>
              <w:widowControl/>
              <w:textAlignment w:val="center"/>
              <w:rPr>
                <w:sz w:val="18"/>
                <w:szCs w:val="18"/>
              </w:rPr>
            </w:pPr>
            <w:r>
              <w:rPr>
                <w:rFonts w:hint="eastAsia"/>
                <w:sz w:val="18"/>
                <w:szCs w:val="18"/>
              </w:rPr>
              <w:t>根据生态环境监察专员办公室职责，2023年第一生态环境监察专员办公室开展伊犁州、克拉玛依市、博州、塔城地区生态环境保护监察工作，聚焦第二轮中央生态环境督察“回头看”，开展第二轮中央生态环境督察和自治区生态环境保护督察整改任务和自治区级生态环境保护督察和督导工作任务，着力做好涉及伊犁州、克拉玛依市、博州、塔城地区生态环境保护督察任务，不断促进辖区生态环境保护质量持续改善，覆盖生态环境监察区域4个，形成督察检查专项报告及整改情况报告7次，监察频次8次，报告质量通过率和区域覆盖率达到100%。持续开展生态环境保护监察、督察工作，不断构建新型生态环境保护监察体系。</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BD7F52">
            <w:pPr>
              <w:widowControl/>
              <w:jc w:val="left"/>
              <w:textAlignment w:val="center"/>
              <w:rPr>
                <w:sz w:val="18"/>
                <w:szCs w:val="18"/>
              </w:rPr>
            </w:pPr>
            <w:r>
              <w:rPr>
                <w:rFonts w:hint="eastAsia"/>
                <w:sz w:val="18"/>
                <w:szCs w:val="18"/>
              </w:rPr>
              <w:t>根据生态环境监察专员办公室职责，2023年第一生态环境监察专员办公室开展伊犁州、克拉玛依市、博州、塔城地区生态环境保护监察工作，聚焦第二轮中央生态环境督察“回头看”，开展第二轮中央生态环境督察和自治区生态环境保护督察整改任务和自治区级生态环境保护督察和督导工作任务，着力做好涉及伊犁州、克拉玛依市、博州、塔城地区生态环境保护督察任务，不断促进辖区生态环境保护质量持续改善，覆盖生态环境监察区域4个，形成督察检查专项报告及整改情况报告7次，监察频次8次，报告质量通过率和区域覆盖率达到100%。持续开展生态环境保护监察、督察工作，不断构建新型生态环境保护监察体系。</w:t>
            </w:r>
          </w:p>
        </w:tc>
      </w:tr>
      <w:tr w14:paraId="5F45ACA6">
        <w:tblPrEx>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BDBC5A">
            <w:pPr>
              <w:widowControl/>
              <w:jc w:val="center"/>
              <w:textAlignment w:val="center"/>
              <w:rPr>
                <w:sz w:val="18"/>
                <w:szCs w:val="18"/>
              </w:rPr>
            </w:pPr>
            <w:r>
              <w:rPr>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600474">
            <w:pPr>
              <w:widowControl/>
              <w:jc w:val="center"/>
              <w:textAlignment w:val="center"/>
              <w:rPr>
                <w:sz w:val="18"/>
                <w:szCs w:val="18"/>
              </w:rPr>
            </w:pPr>
            <w:r>
              <w:rPr>
                <w:kern w:val="0"/>
                <w:sz w:val="18"/>
                <w:szCs w:val="18"/>
                <w:lang w:bidi="ar"/>
              </w:rPr>
              <w:t>一级指标</w:t>
            </w:r>
          </w:p>
        </w:tc>
        <w:tc>
          <w:tcPr>
            <w:tcW w:w="14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9D5A14">
            <w:pPr>
              <w:widowControl/>
              <w:jc w:val="center"/>
              <w:textAlignment w:val="center"/>
              <w:rPr>
                <w:sz w:val="18"/>
                <w:szCs w:val="18"/>
              </w:rPr>
            </w:pPr>
            <w:r>
              <w:rPr>
                <w:kern w:val="0"/>
                <w:sz w:val="18"/>
                <w:szCs w:val="18"/>
                <w:lang w:bidi="ar"/>
              </w:rPr>
              <w:t>二级指标</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E46672">
            <w:pPr>
              <w:widowControl/>
              <w:jc w:val="center"/>
              <w:textAlignment w:val="center"/>
              <w:rPr>
                <w:sz w:val="18"/>
                <w:szCs w:val="18"/>
              </w:rPr>
            </w:pPr>
            <w:r>
              <w:rPr>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4CFCCE">
            <w:pPr>
              <w:widowControl/>
              <w:jc w:val="center"/>
              <w:textAlignment w:val="center"/>
              <w:rPr>
                <w:sz w:val="18"/>
                <w:szCs w:val="18"/>
              </w:rPr>
            </w:pPr>
            <w:r>
              <w:rPr>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69BB6D">
            <w:pPr>
              <w:widowControl/>
              <w:jc w:val="center"/>
              <w:textAlignment w:val="center"/>
              <w:rPr>
                <w:sz w:val="18"/>
                <w:szCs w:val="18"/>
              </w:rPr>
            </w:pPr>
            <w:r>
              <w:rPr>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5693EF">
            <w:pPr>
              <w:widowControl/>
              <w:jc w:val="center"/>
              <w:textAlignment w:val="center"/>
              <w:rPr>
                <w:sz w:val="18"/>
                <w:szCs w:val="18"/>
              </w:rPr>
            </w:pPr>
            <w:r>
              <w:rPr>
                <w:kern w:val="0"/>
                <w:sz w:val="18"/>
                <w:szCs w:val="18"/>
                <w:lang w:bidi="ar"/>
              </w:rPr>
              <w:t>偏差原因分析及改进措施</w:t>
            </w:r>
          </w:p>
        </w:tc>
      </w:tr>
      <w:tr w14:paraId="128722C9">
        <w:tblPrEx>
          <w:tblCellMar>
            <w:top w:w="0" w:type="dxa"/>
            <w:left w:w="0" w:type="dxa"/>
            <w:bottom w:w="0" w:type="dxa"/>
            <w:right w:w="0" w:type="dxa"/>
          </w:tblCellMar>
        </w:tblPrEx>
        <w:trPr>
          <w:trHeight w:val="40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BEC76C">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E465BB">
            <w:pPr>
              <w:jc w:val="center"/>
              <w:rPr>
                <w:sz w:val="18"/>
                <w:szCs w:val="18"/>
              </w:rPr>
            </w:pPr>
          </w:p>
        </w:tc>
        <w:tc>
          <w:tcPr>
            <w:tcW w:w="14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9050BD">
            <w:pPr>
              <w:jc w:val="center"/>
              <w:rPr>
                <w:sz w:val="18"/>
                <w:szCs w:val="1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560892">
            <w:pPr>
              <w:jc w:val="center"/>
              <w:rPr>
                <w:sz w:val="18"/>
                <w:szCs w:val="18"/>
              </w:rPr>
            </w:pPr>
          </w:p>
        </w:tc>
        <w:tc>
          <w:tcPr>
            <w:tcW w:w="1268"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11F575D7">
            <w:pPr>
              <w:jc w:val="center"/>
              <w:rPr>
                <w:sz w:val="18"/>
                <w:szCs w:val="18"/>
              </w:rPr>
            </w:pPr>
          </w:p>
        </w:tc>
        <w:tc>
          <w:tcPr>
            <w:tcW w:w="1348"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0E83640F">
            <w:pPr>
              <w:jc w:val="center"/>
              <w:rPr>
                <w:sz w:val="18"/>
                <w:szCs w:val="18"/>
              </w:rPr>
            </w:pPr>
          </w:p>
        </w:tc>
        <w:tc>
          <w:tcPr>
            <w:tcW w:w="1483"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754FC298">
            <w:pPr>
              <w:jc w:val="center"/>
              <w:rPr>
                <w:sz w:val="18"/>
                <w:szCs w:val="18"/>
              </w:rPr>
            </w:pPr>
          </w:p>
        </w:tc>
      </w:tr>
      <w:tr w14:paraId="38556CE2">
        <w:tblPrEx>
          <w:tblCellMar>
            <w:top w:w="0" w:type="dxa"/>
            <w:left w:w="0" w:type="dxa"/>
            <w:bottom w:w="0" w:type="dxa"/>
            <w:right w:w="0" w:type="dxa"/>
          </w:tblCellMar>
        </w:tblPrEx>
        <w:trPr>
          <w:trHeight w:val="219"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3056B2">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CCBF1CF">
            <w:pPr>
              <w:widowControl/>
              <w:jc w:val="center"/>
              <w:textAlignment w:val="center"/>
              <w:rPr>
                <w:sz w:val="18"/>
                <w:szCs w:val="18"/>
              </w:rPr>
            </w:pPr>
            <w:r>
              <w:rPr>
                <w:kern w:val="0"/>
                <w:sz w:val="18"/>
                <w:szCs w:val="18"/>
                <w:lang w:bidi="ar"/>
              </w:rPr>
              <w:t>产出指标</w:t>
            </w: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A739C54">
            <w:pPr>
              <w:widowControl/>
              <w:jc w:val="center"/>
              <w:textAlignment w:val="center"/>
              <w:rPr>
                <w:sz w:val="18"/>
                <w:szCs w:val="18"/>
              </w:rPr>
            </w:pPr>
            <w:r>
              <w:rPr>
                <w:kern w:val="0"/>
                <w:sz w:val="18"/>
                <w:szCs w:val="18"/>
                <w:lang w:bidi="ar"/>
              </w:rPr>
              <w:t>数量指标</w:t>
            </w:r>
          </w:p>
        </w:tc>
        <w:tc>
          <w:tcPr>
            <w:tcW w:w="1523"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14:paraId="3A032CFB">
            <w:pPr>
              <w:widowControl/>
              <w:jc w:val="left"/>
              <w:textAlignment w:val="center"/>
              <w:rPr>
                <w:sz w:val="18"/>
                <w:szCs w:val="18"/>
              </w:rPr>
            </w:pPr>
            <w:r>
              <w:rPr>
                <w:rFonts w:hint="eastAsia"/>
                <w:sz w:val="18"/>
                <w:szCs w:val="18"/>
              </w:rPr>
              <w:t>覆盖生态环境监察区域</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00D16A">
            <w:pPr>
              <w:widowControl/>
              <w:jc w:val="center"/>
              <w:textAlignment w:val="center"/>
              <w:rPr>
                <w:sz w:val="18"/>
                <w:szCs w:val="18"/>
              </w:rPr>
            </w:pPr>
            <w:r>
              <w:rPr>
                <w:rFonts w:hint="eastAsia"/>
                <w:sz w:val="18"/>
                <w:szCs w:val="18"/>
              </w:rPr>
              <w:t>&gt;=4个</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9982CD5">
            <w:pPr>
              <w:widowControl/>
              <w:jc w:val="center"/>
              <w:textAlignment w:val="center"/>
              <w:rPr>
                <w:rFonts w:hint="eastAsia" w:eastAsia="宋体"/>
                <w:sz w:val="18"/>
                <w:szCs w:val="18"/>
                <w:lang w:val="en-US" w:eastAsia="zh-CN"/>
              </w:rPr>
            </w:pPr>
            <w:r>
              <w:rPr>
                <w:rFonts w:hint="eastAsia"/>
                <w:sz w:val="18"/>
                <w:szCs w:val="18"/>
                <w:lang w:val="en-US" w:eastAsia="zh-CN"/>
              </w:rPr>
              <w:t>4个</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998A6CC">
            <w:pPr>
              <w:jc w:val="center"/>
              <w:rPr>
                <w:sz w:val="18"/>
                <w:szCs w:val="18"/>
              </w:rPr>
            </w:pPr>
          </w:p>
        </w:tc>
      </w:tr>
      <w:tr w14:paraId="66D2B077">
        <w:tblPrEx>
          <w:tblCellMar>
            <w:top w:w="0" w:type="dxa"/>
            <w:left w:w="0" w:type="dxa"/>
            <w:bottom w:w="0" w:type="dxa"/>
            <w:right w:w="0" w:type="dxa"/>
          </w:tblCellMar>
        </w:tblPrEx>
        <w:trPr>
          <w:trHeight w:val="219"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83A90E">
            <w:pPr>
              <w:widowControl/>
              <w:jc w:val="left"/>
              <w:textAlignment w:val="cente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33A4FAA">
            <w:pPr>
              <w:widowControl/>
              <w:jc w:val="left"/>
              <w:textAlignment w:val="cente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774CDF3">
            <w:pPr>
              <w:widowControl/>
              <w:jc w:val="left"/>
              <w:textAlignment w:val="center"/>
            </w:pPr>
          </w:p>
        </w:tc>
        <w:tc>
          <w:tcPr>
            <w:tcW w:w="1523"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14:paraId="1FC54B01">
            <w:pPr>
              <w:widowControl/>
              <w:jc w:val="left"/>
              <w:textAlignment w:val="center"/>
              <w:rPr>
                <w:sz w:val="18"/>
                <w:szCs w:val="18"/>
              </w:rPr>
            </w:pPr>
            <w:r>
              <w:rPr>
                <w:rFonts w:hint="eastAsia"/>
                <w:sz w:val="18"/>
                <w:szCs w:val="18"/>
              </w:rPr>
              <w:t>形成督察检查专项报告</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3B8D3E1">
            <w:pPr>
              <w:widowControl/>
              <w:jc w:val="center"/>
              <w:textAlignment w:val="center"/>
              <w:rPr>
                <w:sz w:val="18"/>
                <w:szCs w:val="18"/>
              </w:rPr>
            </w:pPr>
            <w:r>
              <w:rPr>
                <w:rFonts w:hint="eastAsia"/>
                <w:sz w:val="18"/>
                <w:szCs w:val="18"/>
              </w:rPr>
              <w:t>&gt;=7个</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041678C6">
            <w:pPr>
              <w:widowControl/>
              <w:jc w:val="center"/>
              <w:textAlignment w:val="center"/>
              <w:rPr>
                <w:rFonts w:hint="eastAsia" w:eastAsia="宋体"/>
                <w:sz w:val="18"/>
                <w:szCs w:val="18"/>
                <w:lang w:val="en-US" w:eastAsia="zh-CN"/>
              </w:rPr>
            </w:pPr>
            <w:r>
              <w:rPr>
                <w:rFonts w:hint="eastAsia"/>
                <w:sz w:val="18"/>
                <w:szCs w:val="18"/>
                <w:lang w:val="en-US" w:eastAsia="zh-CN"/>
              </w:rPr>
              <w:t>7个</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B73F6D0">
            <w:pPr>
              <w:widowControl/>
              <w:jc w:val="left"/>
              <w:textAlignment w:val="center"/>
              <w:rPr>
                <w:sz w:val="18"/>
                <w:szCs w:val="18"/>
              </w:rPr>
            </w:pPr>
          </w:p>
        </w:tc>
      </w:tr>
      <w:tr w14:paraId="48A289F8">
        <w:tblPrEx>
          <w:tblCellMar>
            <w:top w:w="0" w:type="dxa"/>
            <w:left w:w="0" w:type="dxa"/>
            <w:bottom w:w="0" w:type="dxa"/>
            <w:right w:w="0" w:type="dxa"/>
          </w:tblCellMar>
        </w:tblPrEx>
        <w:trPr>
          <w:trHeight w:val="219"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204B36">
            <w:pPr>
              <w:widowControl/>
              <w:jc w:val="left"/>
              <w:textAlignment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D2ED18A">
            <w:pPr>
              <w:widowControl/>
              <w:jc w:val="left"/>
              <w:textAlignment w:val="center"/>
              <w:rPr>
                <w:sz w:val="18"/>
                <w:szCs w:val="18"/>
              </w:rPr>
            </w:pPr>
          </w:p>
        </w:tc>
        <w:tc>
          <w:tcPr>
            <w:tcW w:w="143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925DB05">
            <w:pPr>
              <w:widowControl/>
              <w:jc w:val="left"/>
              <w:textAlignment w:val="center"/>
              <w:rPr>
                <w:sz w:val="18"/>
                <w:szCs w:val="18"/>
              </w:rPr>
            </w:pPr>
          </w:p>
        </w:tc>
        <w:tc>
          <w:tcPr>
            <w:tcW w:w="1523"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14:paraId="66946E10">
            <w:pPr>
              <w:widowControl/>
              <w:jc w:val="left"/>
              <w:textAlignment w:val="center"/>
              <w:rPr>
                <w:sz w:val="18"/>
                <w:szCs w:val="18"/>
              </w:rPr>
            </w:pPr>
            <w:r>
              <w:rPr>
                <w:rFonts w:hint="eastAsia"/>
                <w:sz w:val="18"/>
                <w:szCs w:val="18"/>
              </w:rPr>
              <w:t>形成督察检查环保督察整改情况报告</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1C20FD0">
            <w:pPr>
              <w:widowControl/>
              <w:jc w:val="center"/>
              <w:textAlignment w:val="center"/>
              <w:rPr>
                <w:sz w:val="18"/>
                <w:szCs w:val="18"/>
              </w:rPr>
            </w:pPr>
            <w:r>
              <w:rPr>
                <w:rFonts w:hint="eastAsia"/>
                <w:sz w:val="18"/>
                <w:szCs w:val="18"/>
              </w:rPr>
              <w:t>&gt;=7个</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6C0E084">
            <w:pPr>
              <w:widowControl/>
              <w:jc w:val="center"/>
              <w:textAlignment w:val="center"/>
              <w:rPr>
                <w:rFonts w:hint="eastAsia" w:eastAsia="宋体"/>
                <w:sz w:val="18"/>
                <w:szCs w:val="18"/>
                <w:lang w:val="en-US" w:eastAsia="zh-CN"/>
              </w:rPr>
            </w:pPr>
            <w:r>
              <w:rPr>
                <w:rFonts w:hint="eastAsia"/>
                <w:sz w:val="18"/>
                <w:szCs w:val="18"/>
                <w:lang w:val="en-US" w:eastAsia="zh-CN"/>
              </w:rPr>
              <w:t>7个</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9593738">
            <w:pPr>
              <w:widowControl/>
              <w:jc w:val="left"/>
              <w:textAlignment w:val="center"/>
              <w:rPr>
                <w:sz w:val="18"/>
                <w:szCs w:val="18"/>
              </w:rPr>
            </w:pPr>
          </w:p>
        </w:tc>
      </w:tr>
      <w:tr w14:paraId="09A981A6">
        <w:tblPrEx>
          <w:tblCellMar>
            <w:top w:w="0" w:type="dxa"/>
            <w:left w:w="0" w:type="dxa"/>
            <w:bottom w:w="0" w:type="dxa"/>
            <w:right w:w="0" w:type="dxa"/>
          </w:tblCellMar>
        </w:tblPrEx>
        <w:trPr>
          <w:trHeight w:val="219" w:hRule="atLeast"/>
        </w:trPr>
        <w:tc>
          <w:tcPr>
            <w:tcW w:w="79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6064D4">
            <w:pPr>
              <w:widowControl/>
              <w:jc w:val="left"/>
              <w:textAlignment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CCE29E">
            <w:pPr>
              <w:widowControl/>
              <w:jc w:val="left"/>
              <w:textAlignment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4C4090">
            <w:pPr>
              <w:widowControl/>
              <w:jc w:val="left"/>
              <w:textAlignment w:val="center"/>
              <w:rPr>
                <w:sz w:val="18"/>
                <w:szCs w:val="18"/>
              </w:rPr>
            </w:pPr>
          </w:p>
        </w:tc>
        <w:tc>
          <w:tcPr>
            <w:tcW w:w="1523"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14:paraId="171B22AD">
            <w:pPr>
              <w:widowControl/>
              <w:jc w:val="left"/>
              <w:textAlignment w:val="center"/>
              <w:rPr>
                <w:sz w:val="18"/>
                <w:szCs w:val="18"/>
              </w:rPr>
            </w:pPr>
            <w:r>
              <w:rPr>
                <w:rFonts w:hint="eastAsia"/>
                <w:sz w:val="18"/>
                <w:szCs w:val="18"/>
              </w:rPr>
              <w:t>督察（监察）频次</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F37692">
            <w:pPr>
              <w:widowControl/>
              <w:jc w:val="center"/>
              <w:textAlignment w:val="center"/>
              <w:rPr>
                <w:sz w:val="18"/>
                <w:szCs w:val="18"/>
              </w:rPr>
            </w:pPr>
            <w:r>
              <w:rPr>
                <w:rFonts w:hint="eastAsia"/>
                <w:sz w:val="18"/>
                <w:szCs w:val="18"/>
              </w:rPr>
              <w:t>&gt;=8次</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0FC1A3B">
            <w:pPr>
              <w:widowControl/>
              <w:jc w:val="center"/>
              <w:textAlignment w:val="center"/>
              <w:rPr>
                <w:rFonts w:hint="eastAsia" w:eastAsia="宋体"/>
                <w:sz w:val="18"/>
                <w:szCs w:val="18"/>
                <w:lang w:val="en-US" w:eastAsia="zh-CN"/>
              </w:rPr>
            </w:pPr>
            <w:r>
              <w:rPr>
                <w:rFonts w:hint="eastAsia"/>
                <w:sz w:val="18"/>
                <w:szCs w:val="18"/>
                <w:lang w:val="en-US" w:eastAsia="zh-CN"/>
              </w:rPr>
              <w:t>8次</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7565603">
            <w:pPr>
              <w:widowControl/>
              <w:jc w:val="left"/>
              <w:textAlignment w:val="center"/>
              <w:rPr>
                <w:sz w:val="18"/>
                <w:szCs w:val="18"/>
              </w:rPr>
            </w:pPr>
          </w:p>
        </w:tc>
      </w:tr>
      <w:tr w14:paraId="30C081D3">
        <w:tblPrEx>
          <w:tblCellMar>
            <w:top w:w="0" w:type="dxa"/>
            <w:left w:w="0" w:type="dxa"/>
            <w:bottom w:w="0" w:type="dxa"/>
            <w:right w:w="0" w:type="dxa"/>
          </w:tblCellMar>
        </w:tblPrEx>
        <w:trPr>
          <w:trHeight w:val="449"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825178">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816D9CA">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314D363">
            <w:pPr>
              <w:widowControl/>
              <w:jc w:val="center"/>
              <w:textAlignment w:val="center"/>
              <w:rPr>
                <w:kern w:val="0"/>
                <w:sz w:val="18"/>
                <w:szCs w:val="18"/>
                <w:lang w:bidi="ar"/>
              </w:rPr>
            </w:pPr>
            <w:r>
              <w:rPr>
                <w:kern w:val="0"/>
                <w:sz w:val="18"/>
                <w:szCs w:val="18"/>
                <w:lang w:bidi="ar"/>
              </w:rPr>
              <w:t>质量指标</w:t>
            </w:r>
          </w:p>
        </w:tc>
        <w:tc>
          <w:tcPr>
            <w:tcW w:w="1523"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14:paraId="2F514A32">
            <w:pPr>
              <w:widowControl/>
              <w:jc w:val="left"/>
              <w:textAlignment w:val="center"/>
              <w:rPr>
                <w:sz w:val="18"/>
                <w:szCs w:val="18"/>
              </w:rPr>
            </w:pPr>
            <w:r>
              <w:rPr>
                <w:rFonts w:hint="eastAsia" w:ascii="宋体" w:hAnsi="宋体" w:eastAsia="宋体" w:cs="宋体"/>
                <w:color w:val="000000"/>
                <w:kern w:val="0"/>
                <w:sz w:val="18"/>
                <w:szCs w:val="18"/>
              </w:rPr>
              <w:t>报告质量通过率</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5C6EBEC">
            <w:pPr>
              <w:widowControl/>
              <w:jc w:val="center"/>
              <w:textAlignment w:val="center"/>
              <w:rPr>
                <w:rFonts w:hint="default" w:eastAsia="宋体"/>
                <w:sz w:val="18"/>
                <w:szCs w:val="18"/>
                <w:lang w:val="en-US" w:eastAsia="zh-CN"/>
              </w:rPr>
            </w:pPr>
            <w:r>
              <w:rPr>
                <w:rFonts w:hint="eastAsia"/>
                <w:sz w:val="18"/>
                <w:szCs w:val="18"/>
                <w:lang w:val="en-US" w:eastAsia="zh-CN"/>
              </w:rPr>
              <w:t>100%</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F65E5B5">
            <w:pPr>
              <w:widowControl/>
              <w:jc w:val="center"/>
              <w:textAlignment w:val="center"/>
              <w:rPr>
                <w:rFonts w:hint="default" w:eastAsia="宋体"/>
                <w:sz w:val="18"/>
                <w:szCs w:val="18"/>
                <w:lang w:val="en-US" w:eastAsia="zh-CN"/>
              </w:rPr>
            </w:pPr>
            <w:r>
              <w:rPr>
                <w:rFonts w:hint="eastAsia"/>
                <w:sz w:val="18"/>
                <w:szCs w:val="18"/>
                <w:lang w:val="en-US" w:eastAsia="zh-CN"/>
              </w:rPr>
              <w:t>100%</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2D5C896">
            <w:pPr>
              <w:jc w:val="center"/>
              <w:rPr>
                <w:sz w:val="18"/>
                <w:szCs w:val="18"/>
              </w:rPr>
            </w:pPr>
          </w:p>
        </w:tc>
      </w:tr>
      <w:tr w14:paraId="7ACB2225">
        <w:tblPrEx>
          <w:tblCellMar>
            <w:top w:w="0" w:type="dxa"/>
            <w:left w:w="0" w:type="dxa"/>
            <w:bottom w:w="0" w:type="dxa"/>
            <w:right w:w="0" w:type="dxa"/>
          </w:tblCellMar>
        </w:tblPrEx>
        <w:trPr>
          <w:trHeight w:val="449" w:hRule="atLeast"/>
        </w:trPr>
        <w:tc>
          <w:tcPr>
            <w:tcW w:w="79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AE7E66">
            <w:pPr>
              <w:widowControl/>
              <w:jc w:val="left"/>
              <w:textAlignment w:val="cente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5B581F7">
            <w:pPr>
              <w:widowControl/>
              <w:jc w:val="left"/>
              <w:textAlignment w:val="cente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B68B9A">
            <w:pPr>
              <w:widowControl/>
              <w:jc w:val="left"/>
              <w:textAlignment w:val="cente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C8AF22">
            <w:pPr>
              <w:widowControl/>
              <w:jc w:val="left"/>
              <w:textAlignment w:val="center"/>
              <w:rPr>
                <w:sz w:val="18"/>
                <w:szCs w:val="18"/>
              </w:rPr>
            </w:pPr>
            <w:r>
              <w:rPr>
                <w:rFonts w:hint="eastAsia" w:ascii="宋体" w:hAnsi="宋体" w:eastAsia="宋体" w:cs="宋体"/>
                <w:color w:val="000000"/>
                <w:kern w:val="0"/>
                <w:sz w:val="18"/>
                <w:szCs w:val="18"/>
              </w:rPr>
              <w:t>区域覆盖率</w:t>
            </w:r>
          </w:p>
        </w:tc>
        <w:tc>
          <w:tcPr>
            <w:tcW w:w="1268"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6AF070">
            <w:pPr>
              <w:widowControl/>
              <w:jc w:val="center"/>
              <w:textAlignment w:val="center"/>
              <w:rPr>
                <w:rFonts w:hint="default" w:eastAsia="宋体"/>
                <w:sz w:val="18"/>
                <w:szCs w:val="18"/>
                <w:lang w:val="en-US" w:eastAsia="zh-CN"/>
              </w:rPr>
            </w:pPr>
            <w:r>
              <w:rPr>
                <w:rFonts w:hint="eastAsia"/>
                <w:sz w:val="18"/>
                <w:szCs w:val="18"/>
                <w:lang w:val="en-US" w:eastAsia="zh-CN"/>
              </w:rPr>
              <w:t>100%</w:t>
            </w:r>
          </w:p>
        </w:tc>
        <w:tc>
          <w:tcPr>
            <w:tcW w:w="1348"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8B9C68">
            <w:pPr>
              <w:widowControl/>
              <w:jc w:val="center"/>
              <w:textAlignment w:val="center"/>
              <w:rPr>
                <w:sz w:val="18"/>
                <w:szCs w:val="18"/>
              </w:rPr>
            </w:pPr>
            <w:r>
              <w:rPr>
                <w:rFonts w:hint="eastAsia"/>
                <w:sz w:val="18"/>
                <w:szCs w:val="18"/>
                <w:lang w:val="en-US" w:eastAsia="zh-CN"/>
              </w:rPr>
              <w:t>100%</w:t>
            </w:r>
          </w:p>
        </w:tc>
        <w:tc>
          <w:tcPr>
            <w:tcW w:w="1483" w:type="dxa"/>
            <w:tcBorders>
              <w:top w:val="single" w:color="auto"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14:paraId="4518C116">
            <w:pPr>
              <w:widowControl/>
              <w:jc w:val="left"/>
              <w:textAlignment w:val="center"/>
              <w:rPr>
                <w:sz w:val="18"/>
                <w:szCs w:val="18"/>
              </w:rPr>
            </w:pPr>
          </w:p>
        </w:tc>
      </w:tr>
      <w:tr w14:paraId="470961D4">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50D168">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A306F2">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8971E4">
            <w:pPr>
              <w:widowControl/>
              <w:jc w:val="center"/>
              <w:textAlignment w:val="center"/>
              <w:rPr>
                <w:sz w:val="18"/>
                <w:szCs w:val="18"/>
              </w:rPr>
            </w:pPr>
            <w:r>
              <w:rPr>
                <w:kern w:val="0"/>
                <w:sz w:val="18"/>
                <w:szCs w:val="18"/>
                <w:lang w:bidi="ar"/>
              </w:rPr>
              <w:t>时效指标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D55A3D">
            <w:pPr>
              <w:widowControl/>
              <w:jc w:val="left"/>
              <w:textAlignment w:val="center"/>
              <w:rPr>
                <w:sz w:val="18"/>
                <w:szCs w:val="18"/>
              </w:rPr>
            </w:pPr>
            <w:r>
              <w:rPr>
                <w:rFonts w:hint="eastAsia"/>
                <w:sz w:val="18"/>
                <w:szCs w:val="18"/>
              </w:rPr>
              <w:t>年度督察任务按时完成率</w:t>
            </w:r>
          </w:p>
        </w:tc>
        <w:tc>
          <w:tcPr>
            <w:tcW w:w="1268"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6FE5C9C5">
            <w:pPr>
              <w:widowControl/>
              <w:jc w:val="center"/>
              <w:textAlignment w:val="center"/>
              <w:rPr>
                <w:rFonts w:hint="default" w:eastAsia="宋体"/>
                <w:sz w:val="18"/>
                <w:szCs w:val="18"/>
                <w:lang w:val="en-US" w:eastAsia="zh-CN"/>
              </w:rPr>
            </w:pPr>
            <w:r>
              <w:rPr>
                <w:rFonts w:hint="eastAsia"/>
                <w:sz w:val="18"/>
                <w:szCs w:val="18"/>
                <w:lang w:val="en-US" w:eastAsia="zh-CN"/>
              </w:rPr>
              <w:t>100%</w:t>
            </w:r>
          </w:p>
        </w:tc>
        <w:tc>
          <w:tcPr>
            <w:tcW w:w="1348"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27F9495C">
            <w:pPr>
              <w:widowControl/>
              <w:jc w:val="center"/>
              <w:textAlignment w:val="center"/>
              <w:rPr>
                <w:sz w:val="18"/>
                <w:szCs w:val="18"/>
              </w:rPr>
            </w:pPr>
            <w:r>
              <w:rPr>
                <w:rFonts w:hint="eastAsia"/>
                <w:sz w:val="18"/>
                <w:szCs w:val="18"/>
                <w:lang w:val="en-US" w:eastAsia="zh-CN"/>
              </w:rPr>
              <w:t>100%</w:t>
            </w:r>
          </w:p>
        </w:tc>
        <w:tc>
          <w:tcPr>
            <w:tcW w:w="1483"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21381018">
            <w:pPr>
              <w:jc w:val="center"/>
              <w:rPr>
                <w:sz w:val="18"/>
                <w:szCs w:val="18"/>
              </w:rPr>
            </w:pPr>
          </w:p>
        </w:tc>
      </w:tr>
      <w:tr w14:paraId="447B438B">
        <w:tblPrEx>
          <w:tblCellMar>
            <w:top w:w="0" w:type="dxa"/>
            <w:left w:w="0" w:type="dxa"/>
            <w:bottom w:w="0" w:type="dxa"/>
            <w:right w:w="0" w:type="dxa"/>
          </w:tblCellMar>
        </w:tblPrEx>
        <w:trPr>
          <w:trHeight w:val="61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88ECD6">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006572">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841CC42">
            <w:pPr>
              <w:widowControl/>
              <w:jc w:val="center"/>
              <w:textAlignment w:val="center"/>
              <w:rPr>
                <w:sz w:val="18"/>
                <w:szCs w:val="18"/>
              </w:rPr>
            </w:pPr>
            <w:r>
              <w:rPr>
                <w:kern w:val="0"/>
                <w:sz w:val="18"/>
                <w:szCs w:val="18"/>
                <w:lang w:bidi="ar"/>
              </w:rPr>
              <w:t>成本指标</w:t>
            </w:r>
          </w:p>
        </w:tc>
        <w:tc>
          <w:tcPr>
            <w:tcW w:w="1523" w:type="dxa"/>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14:paraId="7C03CA8A">
            <w:pPr>
              <w:widowControl/>
              <w:jc w:val="left"/>
              <w:textAlignment w:val="center"/>
              <w:rPr>
                <w:rFonts w:hint="eastAsia" w:eastAsia="宋体"/>
                <w:sz w:val="18"/>
                <w:szCs w:val="18"/>
                <w:lang w:eastAsia="zh-CN"/>
              </w:rPr>
            </w:pPr>
            <w:r>
              <w:rPr>
                <w:rFonts w:hint="eastAsia"/>
                <w:sz w:val="18"/>
                <w:szCs w:val="18"/>
                <w:lang w:eastAsia="zh-CN"/>
              </w:rPr>
              <w:t>监督检查工作</w:t>
            </w:r>
          </w:p>
        </w:tc>
        <w:tc>
          <w:tcPr>
            <w:tcW w:w="126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40CAA9F">
            <w:pPr>
              <w:widowControl/>
              <w:jc w:val="center"/>
              <w:textAlignment w:val="center"/>
              <w:rPr>
                <w:rFonts w:hint="default" w:eastAsia="宋体"/>
                <w:sz w:val="18"/>
                <w:szCs w:val="18"/>
                <w:lang w:val="en-US" w:eastAsia="zh-CN"/>
              </w:rPr>
            </w:pPr>
            <w:r>
              <w:rPr>
                <w:rFonts w:hint="eastAsia"/>
                <w:sz w:val="18"/>
                <w:szCs w:val="18"/>
                <w:lang w:eastAsia="zh-CN"/>
              </w:rPr>
              <w:t>≤</w:t>
            </w:r>
            <w:r>
              <w:rPr>
                <w:rFonts w:hint="eastAsia"/>
                <w:sz w:val="18"/>
                <w:szCs w:val="18"/>
                <w:lang w:val="en-US" w:eastAsia="zh-CN"/>
              </w:rPr>
              <w:t>55万元</w:t>
            </w:r>
          </w:p>
        </w:tc>
        <w:tc>
          <w:tcPr>
            <w:tcW w:w="1348"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B1D63DF">
            <w:pPr>
              <w:widowControl/>
              <w:jc w:val="center"/>
              <w:textAlignment w:val="center"/>
              <w:rPr>
                <w:rFonts w:hint="default" w:eastAsia="宋体"/>
                <w:sz w:val="18"/>
                <w:szCs w:val="18"/>
                <w:lang w:val="en-US" w:eastAsia="zh-CN"/>
              </w:rPr>
            </w:pPr>
            <w:r>
              <w:rPr>
                <w:rFonts w:hint="eastAsia"/>
                <w:sz w:val="18"/>
                <w:szCs w:val="18"/>
                <w:lang w:val="en-US" w:eastAsia="zh-CN"/>
              </w:rPr>
              <w:t>55万元</w:t>
            </w:r>
          </w:p>
        </w:tc>
        <w:tc>
          <w:tcPr>
            <w:tcW w:w="1483"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A8CE42F">
            <w:pPr>
              <w:jc w:val="both"/>
              <w:rPr>
                <w:rFonts w:hint="eastAsia" w:eastAsia="宋体"/>
                <w:sz w:val="18"/>
                <w:szCs w:val="18"/>
                <w:lang w:eastAsia="zh-CN"/>
              </w:rPr>
            </w:pPr>
          </w:p>
        </w:tc>
      </w:tr>
      <w:tr w14:paraId="5F1BCF69">
        <w:tblPrEx>
          <w:tblCellMar>
            <w:top w:w="0" w:type="dxa"/>
            <w:left w:w="0" w:type="dxa"/>
            <w:bottom w:w="0" w:type="dxa"/>
            <w:right w:w="0" w:type="dxa"/>
          </w:tblCellMar>
        </w:tblPrEx>
        <w:trPr>
          <w:trHeight w:val="281" w:hRule="atLeast"/>
        </w:trPr>
        <w:tc>
          <w:tcPr>
            <w:tcW w:w="79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DE79DB">
            <w:pPr>
              <w:widowControl/>
              <w:jc w:val="left"/>
              <w:textAlignment w:val="cente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279861">
            <w:pPr>
              <w:widowControl/>
              <w:jc w:val="left"/>
              <w:textAlignment w:val="cente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F675B9">
            <w:pPr>
              <w:widowControl/>
              <w:jc w:val="left"/>
              <w:textAlignment w:val="cente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867D02">
            <w:pPr>
              <w:widowControl/>
              <w:jc w:val="left"/>
              <w:textAlignment w:val="center"/>
              <w:rPr>
                <w:rFonts w:hint="eastAsia" w:eastAsia="宋体"/>
                <w:sz w:val="18"/>
                <w:szCs w:val="18"/>
                <w:lang w:eastAsia="zh-CN"/>
              </w:rPr>
            </w:pPr>
            <w:r>
              <w:rPr>
                <w:rFonts w:hint="eastAsia"/>
                <w:sz w:val="18"/>
                <w:szCs w:val="18"/>
                <w:lang w:eastAsia="zh-CN"/>
              </w:rPr>
              <w:t>派驻监察期间费用</w:t>
            </w:r>
          </w:p>
        </w:tc>
        <w:tc>
          <w:tcPr>
            <w:tcW w:w="1268"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953488">
            <w:pPr>
              <w:widowControl/>
              <w:jc w:val="center"/>
              <w:textAlignment w:val="center"/>
              <w:rPr>
                <w:sz w:val="18"/>
                <w:szCs w:val="18"/>
              </w:rPr>
            </w:pPr>
            <w:r>
              <w:rPr>
                <w:rFonts w:hint="eastAsia"/>
                <w:sz w:val="18"/>
                <w:szCs w:val="18"/>
                <w:lang w:eastAsia="zh-CN"/>
              </w:rPr>
              <w:t>≤</w:t>
            </w:r>
            <w:r>
              <w:rPr>
                <w:rFonts w:hint="eastAsia"/>
                <w:sz w:val="18"/>
                <w:szCs w:val="18"/>
                <w:lang w:val="en-US" w:eastAsia="zh-CN"/>
              </w:rPr>
              <w:t>45万元</w:t>
            </w:r>
          </w:p>
        </w:tc>
        <w:tc>
          <w:tcPr>
            <w:tcW w:w="1348"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ABCE36">
            <w:pPr>
              <w:widowControl/>
              <w:jc w:val="center"/>
              <w:textAlignment w:val="center"/>
              <w:rPr>
                <w:rFonts w:hint="default" w:eastAsia="宋体"/>
                <w:sz w:val="18"/>
                <w:szCs w:val="18"/>
                <w:lang w:val="en-US" w:eastAsia="zh-CN"/>
              </w:rPr>
            </w:pPr>
            <w:r>
              <w:rPr>
                <w:rFonts w:hint="eastAsia"/>
                <w:sz w:val="18"/>
                <w:szCs w:val="18"/>
                <w:lang w:val="en-US" w:eastAsia="zh-CN"/>
              </w:rPr>
              <w:t>44.51万元</w:t>
            </w:r>
          </w:p>
        </w:tc>
        <w:tc>
          <w:tcPr>
            <w:tcW w:w="1483"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42C4AA">
            <w:pPr>
              <w:widowControl/>
              <w:jc w:val="left"/>
              <w:textAlignment w:val="center"/>
              <w:rPr>
                <w:sz w:val="18"/>
                <w:szCs w:val="18"/>
              </w:rPr>
            </w:pPr>
            <w:r>
              <w:rPr>
                <w:rFonts w:hint="eastAsia" w:ascii="仿宋_GB2312" w:hAnsi="仿宋_GB2312" w:eastAsia="仿宋_GB2312" w:cs="仿宋_GB2312"/>
                <w:b w:val="0"/>
                <w:bCs w:val="0"/>
                <w:kern w:val="2"/>
                <w:sz w:val="21"/>
                <w:szCs w:val="21"/>
                <w:highlight w:val="none"/>
                <w:u w:val="none"/>
                <w:lang w:val="en-US" w:eastAsia="zh-CN" w:bidi="ar-SA"/>
              </w:rPr>
              <w:t>办公设备购置金额预算不够精确，导致产生结余</w:t>
            </w:r>
          </w:p>
        </w:tc>
      </w:tr>
      <w:tr w14:paraId="1AD9D5DC">
        <w:tblPrEx>
          <w:tblCellMar>
            <w:top w:w="0" w:type="dxa"/>
            <w:left w:w="0" w:type="dxa"/>
            <w:bottom w:w="0" w:type="dxa"/>
            <w:right w:w="0" w:type="dxa"/>
          </w:tblCellMar>
        </w:tblPrEx>
        <w:trPr>
          <w:trHeight w:val="65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5F1491">
            <w:pPr>
              <w:jc w:val="center"/>
              <w:rPr>
                <w:sz w:val="18"/>
                <w:szCs w:val="18"/>
              </w:rPr>
            </w:pPr>
          </w:p>
        </w:tc>
        <w:tc>
          <w:tcPr>
            <w:tcW w:w="984" w:type="dxa"/>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2D501B8">
            <w:pPr>
              <w:widowControl/>
              <w:jc w:val="center"/>
              <w:textAlignment w:val="center"/>
              <w:rPr>
                <w:sz w:val="18"/>
                <w:szCs w:val="18"/>
              </w:rPr>
            </w:pPr>
            <w:r>
              <w:rPr>
                <w:kern w:val="0"/>
                <w:sz w:val="18"/>
                <w:szCs w:val="18"/>
                <w:lang w:bidi="ar"/>
              </w:rPr>
              <w:t>效益指标</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CD33BF">
            <w:pPr>
              <w:widowControl/>
              <w:jc w:val="center"/>
              <w:textAlignment w:val="center"/>
              <w:rPr>
                <w:sz w:val="18"/>
                <w:szCs w:val="18"/>
              </w:rPr>
            </w:pPr>
            <w:r>
              <w:rPr>
                <w:sz w:val="18"/>
                <w:szCs w:val="18"/>
              </w:rPr>
              <w:t>社会效益指标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8B5286">
            <w:pPr>
              <w:widowControl/>
              <w:jc w:val="left"/>
              <w:textAlignment w:val="center"/>
              <w:rPr>
                <w:rFonts w:hint="eastAsia" w:eastAsia="宋体"/>
                <w:sz w:val="18"/>
                <w:szCs w:val="18"/>
                <w:lang w:eastAsia="zh-CN"/>
              </w:rPr>
            </w:pPr>
            <w:r>
              <w:rPr>
                <w:rFonts w:hint="eastAsia"/>
                <w:sz w:val="18"/>
                <w:szCs w:val="18"/>
                <w:lang w:eastAsia="zh-CN"/>
              </w:rPr>
              <w:t>构建新型生态环境保护监察体系</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827A8E">
            <w:pPr>
              <w:widowControl/>
              <w:jc w:val="center"/>
              <w:textAlignment w:val="center"/>
              <w:rPr>
                <w:rFonts w:hint="eastAsia" w:eastAsia="宋体"/>
                <w:sz w:val="18"/>
                <w:szCs w:val="18"/>
                <w:lang w:eastAsia="zh-CN"/>
              </w:rPr>
            </w:pPr>
            <w:r>
              <w:rPr>
                <w:rFonts w:hint="eastAsia"/>
                <w:sz w:val="18"/>
                <w:szCs w:val="18"/>
                <w:lang w:eastAsia="zh-CN"/>
              </w:rPr>
              <w:t>不断完善</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893129">
            <w:pPr>
              <w:widowControl/>
              <w:jc w:val="center"/>
              <w:textAlignment w:val="center"/>
              <w:rPr>
                <w:sz w:val="18"/>
                <w:szCs w:val="18"/>
              </w:rPr>
            </w:pPr>
            <w:r>
              <w:rPr>
                <w:rFonts w:hint="eastAsia"/>
                <w:sz w:val="18"/>
                <w:szCs w:val="18"/>
                <w:lang w:eastAsia="zh-CN"/>
              </w:rPr>
              <w:t>不断完善</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87579C">
            <w:pPr>
              <w:jc w:val="center"/>
              <w:rPr>
                <w:sz w:val="18"/>
                <w:szCs w:val="18"/>
              </w:rPr>
            </w:pPr>
          </w:p>
        </w:tc>
      </w:tr>
      <w:tr w14:paraId="20436493">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901A27">
            <w:pPr>
              <w:jc w:val="center"/>
              <w:rPr>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7F6AE7">
            <w:pPr>
              <w:widowControl/>
              <w:jc w:val="center"/>
              <w:textAlignment w:val="center"/>
              <w:rPr>
                <w:sz w:val="18"/>
                <w:szCs w:val="18"/>
              </w:rPr>
            </w:pPr>
            <w:r>
              <w:rPr>
                <w:kern w:val="0"/>
                <w:sz w:val="18"/>
                <w:szCs w:val="18"/>
                <w:lang w:bidi="ar"/>
              </w:rPr>
              <w:t>满意度</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1C0DD2">
            <w:pPr>
              <w:widowControl/>
              <w:jc w:val="center"/>
              <w:textAlignment w:val="center"/>
              <w:rPr>
                <w:sz w:val="18"/>
                <w:szCs w:val="18"/>
              </w:rPr>
            </w:pPr>
            <w:r>
              <w:rPr>
                <w:kern w:val="0"/>
                <w:sz w:val="18"/>
                <w:szCs w:val="18"/>
                <w:lang w:bidi="ar"/>
              </w:rPr>
              <w:t>服务对象满意度指标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FEF97C">
            <w:pPr>
              <w:widowControl/>
              <w:jc w:val="left"/>
              <w:textAlignment w:val="center"/>
              <w:rPr>
                <w:rFonts w:hint="eastAsia" w:eastAsia="宋体"/>
                <w:sz w:val="18"/>
                <w:szCs w:val="18"/>
                <w:lang w:eastAsia="zh-CN"/>
              </w:rPr>
            </w:pPr>
            <w:r>
              <w:rPr>
                <w:rFonts w:hint="eastAsia"/>
                <w:sz w:val="18"/>
                <w:szCs w:val="18"/>
                <w:lang w:eastAsia="zh-CN"/>
              </w:rPr>
              <w:t>监察人员被投诉次数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B5FA8C">
            <w:pPr>
              <w:widowControl/>
              <w:jc w:val="center"/>
              <w:textAlignment w:val="center"/>
              <w:rPr>
                <w:rFonts w:hint="default" w:eastAsia="宋体"/>
                <w:sz w:val="18"/>
                <w:szCs w:val="18"/>
                <w:lang w:val="en-US" w:eastAsia="zh-CN"/>
              </w:rPr>
            </w:pPr>
            <w:r>
              <w:rPr>
                <w:rFonts w:hint="eastAsia"/>
                <w:sz w:val="18"/>
                <w:szCs w:val="18"/>
                <w:lang w:eastAsia="zh-CN"/>
              </w:rPr>
              <w:t>≤</w:t>
            </w:r>
            <w:r>
              <w:rPr>
                <w:rFonts w:hint="eastAsia"/>
                <w:sz w:val="18"/>
                <w:szCs w:val="18"/>
                <w:lang w:val="en-US" w:eastAsia="zh-CN"/>
              </w:rPr>
              <w:t>2次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1850C0">
            <w:pPr>
              <w:widowControl/>
              <w:jc w:val="center"/>
              <w:textAlignment w:val="center"/>
              <w:rPr>
                <w:rFonts w:hint="eastAsia" w:eastAsia="宋体"/>
                <w:sz w:val="18"/>
                <w:szCs w:val="18"/>
                <w:lang w:val="en-US" w:eastAsia="zh-CN"/>
              </w:rPr>
            </w:pPr>
            <w:r>
              <w:rPr>
                <w:rFonts w:hint="eastAsia"/>
                <w:sz w:val="18"/>
                <w:szCs w:val="18"/>
                <w:lang w:val="en-US" w:eastAsia="zh-CN"/>
              </w:rPr>
              <w:t>0次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323625">
            <w:pPr>
              <w:jc w:val="center"/>
              <w:rPr>
                <w:sz w:val="18"/>
                <w:szCs w:val="18"/>
              </w:rPr>
            </w:pPr>
          </w:p>
        </w:tc>
      </w:tr>
    </w:tbl>
    <w:p w14:paraId="64002583">
      <w:pPr>
        <w:pStyle w:val="2"/>
        <w:jc w:val="both"/>
        <w:rPr>
          <w:rFonts w:ascii="Times New Roman" w:hAnsi="Times New Roman" w:eastAsia="黑体"/>
          <w:b w:val="0"/>
          <w:bCs w:val="0"/>
        </w:rPr>
      </w:pPr>
    </w:p>
    <w:p w14:paraId="7E761958">
      <w:pPr>
        <w:pStyle w:val="2"/>
        <w:rPr>
          <w:rFonts w:ascii="Times New Roman" w:hAnsi="Times New Roman" w:eastAsia="黑体"/>
          <w:b w:val="0"/>
          <w:bCs w:val="0"/>
        </w:rPr>
      </w:pPr>
    </w:p>
    <w:p w14:paraId="267501D0">
      <w:pPr>
        <w:pStyle w:val="2"/>
        <w:jc w:val="both"/>
        <w:rPr>
          <w:rFonts w:ascii="Times New Roman" w:hAnsi="Times New Roman"/>
        </w:rPr>
        <w:sectPr>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241CE222">
      <w:pPr>
        <w:spacing w:line="600" w:lineRule="exact"/>
        <w:rPr>
          <w:bCs/>
          <w:sz w:val="32"/>
          <w:szCs w:val="32"/>
        </w:rPr>
      </w:pPr>
      <w:r>
        <w:rPr>
          <w:bCs/>
          <w:sz w:val="32"/>
          <w:szCs w:val="32"/>
        </w:rPr>
        <w:t>附件1</w:t>
      </w:r>
    </w:p>
    <w:tbl>
      <w:tblPr>
        <w:tblStyle w:val="2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7"/>
        <w:gridCol w:w="766"/>
        <w:gridCol w:w="873"/>
        <w:gridCol w:w="2353"/>
        <w:gridCol w:w="5191"/>
        <w:gridCol w:w="1300"/>
        <w:gridCol w:w="1363"/>
      </w:tblGrid>
      <w:tr w14:paraId="4609F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0" w:type="pct"/>
            <w:shd w:val="clear" w:color="auto" w:fill="FFFFFF"/>
            <w:vAlign w:val="center"/>
          </w:tcPr>
          <w:p w14:paraId="0C6E746C">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14:paraId="755A87F4">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3B036217">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443F79C0">
            <w:pPr>
              <w:widowControl/>
              <w:spacing w:line="0" w:lineRule="atLeast"/>
              <w:jc w:val="center"/>
              <w:rPr>
                <w:b/>
                <w:bCs/>
                <w:color w:val="000000"/>
                <w:kern w:val="0"/>
                <w:sz w:val="22"/>
                <w:szCs w:val="22"/>
              </w:rPr>
            </w:pPr>
            <w:r>
              <w:rPr>
                <w:b/>
                <w:bCs/>
                <w:color w:val="000000"/>
                <w:kern w:val="0"/>
                <w:sz w:val="22"/>
                <w:szCs w:val="22"/>
              </w:rPr>
              <w:t>指标解释</w:t>
            </w:r>
          </w:p>
        </w:tc>
        <w:tc>
          <w:tcPr>
            <w:tcW w:w="2045" w:type="pct"/>
            <w:shd w:val="clear" w:color="auto" w:fill="FFFFFF"/>
            <w:vAlign w:val="center"/>
          </w:tcPr>
          <w:p w14:paraId="54D397DF">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6E0FC6FD">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5B49EDDC">
            <w:pPr>
              <w:widowControl/>
              <w:spacing w:line="0" w:lineRule="atLeast"/>
              <w:jc w:val="center"/>
              <w:rPr>
                <w:b/>
                <w:bCs/>
                <w:color w:val="000000"/>
                <w:kern w:val="0"/>
                <w:sz w:val="22"/>
                <w:szCs w:val="22"/>
              </w:rPr>
            </w:pPr>
            <w:r>
              <w:rPr>
                <w:b/>
                <w:bCs/>
                <w:color w:val="000000"/>
                <w:kern w:val="0"/>
                <w:sz w:val="22"/>
                <w:szCs w:val="22"/>
              </w:rPr>
              <w:t>得分</w:t>
            </w:r>
          </w:p>
        </w:tc>
      </w:tr>
      <w:tr w14:paraId="38B345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0" w:type="pct"/>
            <w:vMerge w:val="restart"/>
            <w:shd w:val="clear" w:color="auto" w:fill="FFFFFF"/>
            <w:vAlign w:val="center"/>
          </w:tcPr>
          <w:p w14:paraId="2623A5D9">
            <w:pPr>
              <w:widowControl/>
              <w:spacing w:line="0" w:lineRule="atLeast"/>
              <w:jc w:val="center"/>
              <w:rPr>
                <w:color w:val="000000"/>
                <w:kern w:val="0"/>
                <w:sz w:val="22"/>
                <w:szCs w:val="22"/>
              </w:rPr>
            </w:pPr>
            <w:r>
              <w:rPr>
                <w:color w:val="000000"/>
                <w:kern w:val="0"/>
                <w:sz w:val="22"/>
                <w:szCs w:val="22"/>
              </w:rPr>
              <w:t>决策　</w:t>
            </w:r>
          </w:p>
          <w:p w14:paraId="6CBBF4A2">
            <w:pPr>
              <w:widowControl/>
              <w:spacing w:line="0" w:lineRule="atLeast"/>
              <w:jc w:val="center"/>
              <w:rPr>
                <w:color w:val="000000"/>
                <w:kern w:val="0"/>
                <w:sz w:val="22"/>
                <w:szCs w:val="22"/>
              </w:rPr>
            </w:pPr>
            <w:r>
              <w:rPr>
                <w:color w:val="000000"/>
                <w:kern w:val="0"/>
                <w:sz w:val="22"/>
                <w:szCs w:val="22"/>
              </w:rPr>
              <w:t>　</w:t>
            </w:r>
          </w:p>
          <w:p w14:paraId="4C3F3FE9">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14:paraId="41C0347F">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14:paraId="44213053">
            <w:pPr>
              <w:widowControl/>
              <w:spacing w:line="0" w:lineRule="atLeast"/>
              <w:jc w:val="center"/>
              <w:rPr>
                <w:color w:val="000000"/>
                <w:kern w:val="0"/>
                <w:sz w:val="22"/>
                <w:szCs w:val="22"/>
              </w:rPr>
            </w:pPr>
            <w:r>
              <w:rPr>
                <w:color w:val="000000"/>
                <w:kern w:val="0"/>
                <w:sz w:val="22"/>
                <w:szCs w:val="22"/>
              </w:rPr>
              <w:t>立项依据</w:t>
            </w:r>
          </w:p>
          <w:p w14:paraId="2C9B057D">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58FE9837">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5" w:type="pct"/>
            <w:shd w:val="clear" w:color="auto" w:fill="FFFFFF"/>
            <w:vAlign w:val="center"/>
          </w:tcPr>
          <w:p w14:paraId="494B3E83">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14:paraId="5F82A064">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6B7D79BF">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3</w:t>
            </w:r>
          </w:p>
        </w:tc>
      </w:tr>
      <w:tr w14:paraId="7CC312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0" w:type="pct"/>
            <w:vMerge w:val="continue"/>
            <w:shd w:val="clear" w:color="auto" w:fill="FFFFFF"/>
            <w:vAlign w:val="center"/>
          </w:tcPr>
          <w:p w14:paraId="78C877C7">
            <w:pPr>
              <w:spacing w:line="0" w:lineRule="atLeast"/>
              <w:jc w:val="center"/>
              <w:rPr>
                <w:color w:val="000000"/>
                <w:kern w:val="0"/>
                <w:sz w:val="22"/>
                <w:szCs w:val="22"/>
              </w:rPr>
            </w:pPr>
          </w:p>
        </w:tc>
        <w:tc>
          <w:tcPr>
            <w:tcW w:w="302" w:type="pct"/>
            <w:vMerge w:val="continue"/>
            <w:shd w:val="clear" w:color="auto" w:fill="FFFFFF"/>
            <w:vAlign w:val="center"/>
          </w:tcPr>
          <w:p w14:paraId="78641168">
            <w:pPr>
              <w:widowControl/>
              <w:spacing w:line="0" w:lineRule="atLeast"/>
              <w:jc w:val="center"/>
              <w:rPr>
                <w:color w:val="000000"/>
                <w:kern w:val="0"/>
                <w:sz w:val="22"/>
                <w:szCs w:val="22"/>
              </w:rPr>
            </w:pPr>
          </w:p>
        </w:tc>
        <w:tc>
          <w:tcPr>
            <w:tcW w:w="344" w:type="pct"/>
            <w:shd w:val="clear" w:color="auto" w:fill="FFFFFF"/>
            <w:vAlign w:val="center"/>
          </w:tcPr>
          <w:p w14:paraId="787E9173">
            <w:pPr>
              <w:widowControl/>
              <w:spacing w:line="0" w:lineRule="atLeast"/>
              <w:jc w:val="center"/>
              <w:rPr>
                <w:color w:val="000000"/>
                <w:kern w:val="0"/>
                <w:sz w:val="22"/>
                <w:szCs w:val="22"/>
              </w:rPr>
            </w:pPr>
            <w:r>
              <w:rPr>
                <w:color w:val="000000"/>
                <w:kern w:val="0"/>
                <w:sz w:val="22"/>
                <w:szCs w:val="22"/>
              </w:rPr>
              <w:t>立项程序</w:t>
            </w:r>
          </w:p>
          <w:p w14:paraId="5329A9D5">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3123CAB2">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5" w:type="pct"/>
            <w:shd w:val="clear" w:color="auto" w:fill="FFFFFF"/>
            <w:vAlign w:val="center"/>
          </w:tcPr>
          <w:p w14:paraId="1F9AC037">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14:paraId="2BED49BA">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4832B9B7">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3</w:t>
            </w:r>
          </w:p>
        </w:tc>
      </w:tr>
      <w:tr w14:paraId="32BC33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0" w:type="pct"/>
            <w:vMerge w:val="continue"/>
            <w:shd w:val="clear" w:color="auto" w:fill="FFFFFF"/>
            <w:vAlign w:val="center"/>
          </w:tcPr>
          <w:p w14:paraId="2190F2D9">
            <w:pPr>
              <w:spacing w:line="0" w:lineRule="atLeast"/>
              <w:jc w:val="center"/>
              <w:rPr>
                <w:color w:val="000000"/>
                <w:kern w:val="0"/>
                <w:sz w:val="22"/>
                <w:szCs w:val="22"/>
              </w:rPr>
            </w:pPr>
          </w:p>
        </w:tc>
        <w:tc>
          <w:tcPr>
            <w:tcW w:w="302" w:type="pct"/>
            <w:shd w:val="clear" w:color="auto" w:fill="FFFFFF"/>
            <w:vAlign w:val="center"/>
          </w:tcPr>
          <w:p w14:paraId="53F1A9D4">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14:paraId="5BCCF326">
            <w:pPr>
              <w:widowControl/>
              <w:spacing w:line="0" w:lineRule="atLeast"/>
              <w:jc w:val="center"/>
              <w:rPr>
                <w:color w:val="000000"/>
                <w:kern w:val="0"/>
                <w:sz w:val="22"/>
                <w:szCs w:val="22"/>
              </w:rPr>
            </w:pPr>
            <w:r>
              <w:rPr>
                <w:color w:val="000000"/>
                <w:kern w:val="0"/>
                <w:sz w:val="22"/>
                <w:szCs w:val="22"/>
              </w:rPr>
              <w:t>绩效目标</w:t>
            </w:r>
          </w:p>
          <w:p w14:paraId="2C0AC347">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650F33D4">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5" w:type="pct"/>
            <w:shd w:val="clear" w:color="000000" w:fill="FFFFFF"/>
            <w:vAlign w:val="center"/>
          </w:tcPr>
          <w:p w14:paraId="1B3E1BA7">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70A0FD9A">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14:paraId="2BE58E2A">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5E00D6B8">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4</w:t>
            </w:r>
          </w:p>
        </w:tc>
      </w:tr>
      <w:tr w14:paraId="33AD12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0" w:type="pct"/>
            <w:vMerge w:val="restart"/>
            <w:shd w:val="clear" w:color="auto" w:fill="FFFFFF"/>
            <w:vAlign w:val="center"/>
          </w:tcPr>
          <w:p w14:paraId="7C06FDCA">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14:paraId="3077DBE4">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14:paraId="512938F2">
            <w:pPr>
              <w:widowControl/>
              <w:spacing w:line="0" w:lineRule="atLeast"/>
              <w:jc w:val="center"/>
              <w:rPr>
                <w:color w:val="000000"/>
                <w:kern w:val="0"/>
                <w:sz w:val="22"/>
                <w:szCs w:val="22"/>
              </w:rPr>
            </w:pPr>
            <w:r>
              <w:rPr>
                <w:color w:val="000000"/>
                <w:kern w:val="0"/>
                <w:sz w:val="22"/>
                <w:szCs w:val="22"/>
              </w:rPr>
              <w:t>绩效指标</w:t>
            </w:r>
          </w:p>
          <w:p w14:paraId="5525664E">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7959CFC8">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5" w:type="pct"/>
            <w:shd w:val="clear" w:color="000000" w:fill="FFFFFF"/>
            <w:vAlign w:val="center"/>
          </w:tcPr>
          <w:p w14:paraId="78BAD57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14:paraId="42061E34">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14:paraId="24896D9A">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3</w:t>
            </w:r>
          </w:p>
        </w:tc>
      </w:tr>
      <w:tr w14:paraId="500085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0" w:type="pct"/>
            <w:vMerge w:val="continue"/>
            <w:shd w:val="clear" w:color="auto" w:fill="FFFFFF"/>
            <w:vAlign w:val="center"/>
          </w:tcPr>
          <w:p w14:paraId="600119E9">
            <w:pPr>
              <w:spacing w:line="0" w:lineRule="atLeast"/>
              <w:jc w:val="center"/>
              <w:rPr>
                <w:color w:val="000000"/>
                <w:kern w:val="0"/>
                <w:sz w:val="22"/>
                <w:szCs w:val="22"/>
              </w:rPr>
            </w:pPr>
          </w:p>
        </w:tc>
        <w:tc>
          <w:tcPr>
            <w:tcW w:w="302" w:type="pct"/>
            <w:vMerge w:val="restart"/>
            <w:shd w:val="clear" w:color="auto" w:fill="FFFFFF"/>
            <w:vAlign w:val="center"/>
          </w:tcPr>
          <w:p w14:paraId="63451E02">
            <w:pPr>
              <w:widowControl/>
              <w:spacing w:line="0" w:lineRule="atLeast"/>
              <w:jc w:val="center"/>
              <w:rPr>
                <w:color w:val="000000"/>
                <w:kern w:val="0"/>
                <w:sz w:val="22"/>
                <w:szCs w:val="22"/>
              </w:rPr>
            </w:pPr>
            <w:r>
              <w:rPr>
                <w:color w:val="000000"/>
                <w:kern w:val="0"/>
                <w:sz w:val="22"/>
                <w:szCs w:val="22"/>
              </w:rPr>
              <w:t>资金投入</w:t>
            </w:r>
          </w:p>
          <w:p w14:paraId="60BEFF3F">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5320B0FB">
            <w:pPr>
              <w:widowControl/>
              <w:spacing w:line="0" w:lineRule="atLeast"/>
              <w:jc w:val="center"/>
              <w:rPr>
                <w:color w:val="000000"/>
                <w:kern w:val="0"/>
                <w:sz w:val="22"/>
                <w:szCs w:val="22"/>
              </w:rPr>
            </w:pPr>
            <w:r>
              <w:rPr>
                <w:color w:val="000000"/>
                <w:kern w:val="0"/>
                <w:sz w:val="22"/>
                <w:szCs w:val="22"/>
              </w:rPr>
              <w:t>预算编制</w:t>
            </w:r>
          </w:p>
          <w:p w14:paraId="3343760A">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54B61046">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5" w:type="pct"/>
            <w:shd w:val="clear" w:color="auto" w:fill="FFFFFF"/>
            <w:vAlign w:val="center"/>
          </w:tcPr>
          <w:p w14:paraId="67ED5298">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14:paraId="0F0BCAB4">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165EC507">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4</w:t>
            </w:r>
          </w:p>
        </w:tc>
      </w:tr>
      <w:tr w14:paraId="1C92EF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0" w:type="pct"/>
            <w:vMerge w:val="continue"/>
            <w:shd w:val="clear" w:color="auto" w:fill="FFFFFF"/>
            <w:vAlign w:val="center"/>
          </w:tcPr>
          <w:p w14:paraId="3072DCBD">
            <w:pPr>
              <w:widowControl/>
              <w:spacing w:line="0" w:lineRule="atLeast"/>
              <w:jc w:val="center"/>
              <w:rPr>
                <w:color w:val="000000"/>
                <w:kern w:val="0"/>
                <w:sz w:val="22"/>
                <w:szCs w:val="22"/>
              </w:rPr>
            </w:pPr>
          </w:p>
        </w:tc>
        <w:tc>
          <w:tcPr>
            <w:tcW w:w="302" w:type="pct"/>
            <w:vMerge w:val="continue"/>
            <w:shd w:val="clear" w:color="auto" w:fill="FFFFFF"/>
            <w:vAlign w:val="center"/>
          </w:tcPr>
          <w:p w14:paraId="53FB07FD">
            <w:pPr>
              <w:widowControl/>
              <w:spacing w:line="0" w:lineRule="atLeast"/>
              <w:jc w:val="center"/>
              <w:rPr>
                <w:color w:val="000000"/>
                <w:kern w:val="0"/>
                <w:sz w:val="22"/>
                <w:szCs w:val="22"/>
              </w:rPr>
            </w:pPr>
          </w:p>
        </w:tc>
        <w:tc>
          <w:tcPr>
            <w:tcW w:w="344" w:type="pct"/>
            <w:shd w:val="clear" w:color="auto" w:fill="FFFFFF"/>
            <w:vAlign w:val="center"/>
          </w:tcPr>
          <w:p w14:paraId="38BCF57F">
            <w:pPr>
              <w:widowControl/>
              <w:spacing w:line="0" w:lineRule="atLeast"/>
              <w:jc w:val="center"/>
              <w:rPr>
                <w:color w:val="000000"/>
                <w:kern w:val="0"/>
                <w:sz w:val="22"/>
                <w:szCs w:val="22"/>
              </w:rPr>
            </w:pPr>
            <w:r>
              <w:rPr>
                <w:color w:val="000000"/>
                <w:kern w:val="0"/>
                <w:sz w:val="22"/>
                <w:szCs w:val="22"/>
              </w:rPr>
              <w:t>资金分配</w:t>
            </w:r>
          </w:p>
          <w:p w14:paraId="0075F3E1">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47A1D9A3">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5" w:type="pct"/>
            <w:shd w:val="clear" w:color="auto" w:fill="FFFFFF"/>
            <w:vAlign w:val="center"/>
          </w:tcPr>
          <w:p w14:paraId="1D948340">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14:paraId="6D98742B">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10B3B6B6">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3</w:t>
            </w:r>
          </w:p>
        </w:tc>
      </w:tr>
      <w:tr w14:paraId="6F8387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0" w:type="pct"/>
            <w:vMerge w:val="restart"/>
            <w:shd w:val="clear" w:color="auto" w:fill="FFFFFF"/>
            <w:vAlign w:val="center"/>
          </w:tcPr>
          <w:p w14:paraId="0F989B77">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14:paraId="7D837523">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3C60C759">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0D28D7C4">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5" w:type="pct"/>
            <w:shd w:val="clear" w:color="000000" w:fill="FFFFFF"/>
            <w:vAlign w:val="center"/>
          </w:tcPr>
          <w:p w14:paraId="2F89E384">
            <w:pPr>
              <w:widowControl/>
              <w:spacing w:line="0" w:lineRule="atLeast"/>
              <w:rPr>
                <w:color w:val="000000"/>
                <w:kern w:val="0"/>
                <w:sz w:val="22"/>
                <w:szCs w:val="22"/>
              </w:rPr>
            </w:pPr>
            <w:r>
              <w:rPr>
                <w:color w:val="000000"/>
                <w:kern w:val="0"/>
                <w:sz w:val="22"/>
                <w:szCs w:val="22"/>
              </w:rPr>
              <w:t>资金到位率=（实际到位资金/预算资金）×100%。</w:t>
            </w:r>
          </w:p>
          <w:p w14:paraId="16F7744D">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08B0B13D">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6F10778E">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66575EED">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4</w:t>
            </w:r>
          </w:p>
        </w:tc>
      </w:tr>
      <w:tr w14:paraId="03F211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0" w:type="pct"/>
            <w:vMerge w:val="continue"/>
            <w:shd w:val="clear" w:color="auto" w:fill="FFFFFF"/>
            <w:vAlign w:val="center"/>
          </w:tcPr>
          <w:p w14:paraId="26C5571C">
            <w:pPr>
              <w:spacing w:line="0" w:lineRule="atLeast"/>
              <w:jc w:val="center"/>
              <w:rPr>
                <w:color w:val="000000"/>
                <w:kern w:val="0"/>
                <w:sz w:val="22"/>
                <w:szCs w:val="22"/>
              </w:rPr>
            </w:pPr>
          </w:p>
        </w:tc>
        <w:tc>
          <w:tcPr>
            <w:tcW w:w="302" w:type="pct"/>
            <w:vMerge w:val="continue"/>
            <w:shd w:val="clear" w:color="auto" w:fill="FFFFFF"/>
            <w:vAlign w:val="center"/>
          </w:tcPr>
          <w:p w14:paraId="35540198">
            <w:pPr>
              <w:spacing w:line="0" w:lineRule="atLeast"/>
              <w:jc w:val="center"/>
              <w:rPr>
                <w:color w:val="000000"/>
                <w:kern w:val="0"/>
                <w:sz w:val="22"/>
                <w:szCs w:val="22"/>
              </w:rPr>
            </w:pPr>
          </w:p>
        </w:tc>
        <w:tc>
          <w:tcPr>
            <w:tcW w:w="344" w:type="pct"/>
            <w:shd w:val="clear" w:color="auto" w:fill="FFFFFF"/>
            <w:vAlign w:val="center"/>
          </w:tcPr>
          <w:p w14:paraId="5123651A">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303F4838">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5" w:type="pct"/>
            <w:shd w:val="clear" w:color="auto" w:fill="FFFFFF"/>
            <w:vAlign w:val="center"/>
          </w:tcPr>
          <w:p w14:paraId="1287264F">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14:paraId="69F1C103">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7E12BCDA">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bidi="ar-SA"/>
              </w:rPr>
            </w:pPr>
            <w:r>
              <w:rPr>
                <w:rFonts w:hint="eastAsia" w:eastAsia="宋体" w:cs="Times New Roman"/>
                <w:b/>
                <w:bCs/>
                <w:color w:val="000000"/>
                <w:kern w:val="0"/>
                <w:sz w:val="22"/>
                <w:szCs w:val="22"/>
                <w:highlight w:val="none"/>
                <w:lang w:val="en-US" w:eastAsia="zh-CN" w:bidi="ar-SA"/>
              </w:rPr>
              <w:t>3.9</w:t>
            </w:r>
            <w:r>
              <w:rPr>
                <w:rFonts w:hint="eastAsia" w:cs="Times New Roman"/>
                <w:b/>
                <w:bCs/>
                <w:color w:val="000000"/>
                <w:kern w:val="0"/>
                <w:sz w:val="22"/>
                <w:szCs w:val="22"/>
                <w:highlight w:val="none"/>
                <w:lang w:val="en-US" w:eastAsia="zh-CN" w:bidi="ar-SA"/>
              </w:rPr>
              <w:t>8</w:t>
            </w:r>
          </w:p>
        </w:tc>
      </w:tr>
      <w:tr w14:paraId="48795C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0" w:type="pct"/>
            <w:vMerge w:val="restart"/>
            <w:shd w:val="clear" w:color="auto" w:fill="FFFFFF"/>
            <w:vAlign w:val="center"/>
          </w:tcPr>
          <w:p w14:paraId="53290013">
            <w:pPr>
              <w:widowControl/>
              <w:spacing w:line="0" w:lineRule="atLeast"/>
              <w:jc w:val="center"/>
              <w:rPr>
                <w:color w:val="000000"/>
                <w:kern w:val="0"/>
                <w:sz w:val="22"/>
                <w:szCs w:val="22"/>
              </w:rPr>
            </w:pPr>
            <w:r>
              <w:rPr>
                <w:color w:val="000000"/>
                <w:kern w:val="0"/>
                <w:sz w:val="22"/>
                <w:szCs w:val="22"/>
              </w:rPr>
              <w:t>　</w:t>
            </w:r>
          </w:p>
          <w:p w14:paraId="06580E93">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14:paraId="54FFE23F">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20209A9B">
            <w:pPr>
              <w:widowControl/>
              <w:spacing w:line="0" w:lineRule="atLeast"/>
              <w:jc w:val="center"/>
              <w:rPr>
                <w:color w:val="000000"/>
                <w:kern w:val="0"/>
                <w:sz w:val="22"/>
                <w:szCs w:val="22"/>
              </w:rPr>
            </w:pPr>
            <w:r>
              <w:rPr>
                <w:color w:val="000000"/>
                <w:kern w:val="0"/>
                <w:sz w:val="22"/>
                <w:szCs w:val="22"/>
              </w:rPr>
              <w:t>资金使用</w:t>
            </w:r>
          </w:p>
          <w:p w14:paraId="65F18ED3">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769BBE1E">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5" w:type="pct"/>
            <w:shd w:val="clear" w:color="000000" w:fill="FFFFFF"/>
            <w:vAlign w:val="center"/>
          </w:tcPr>
          <w:p w14:paraId="21C81598">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14:paraId="31661415">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55362CB8">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4</w:t>
            </w:r>
          </w:p>
        </w:tc>
      </w:tr>
      <w:tr w14:paraId="792E89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0" w:type="pct"/>
            <w:vMerge w:val="continue"/>
            <w:shd w:val="clear" w:color="auto" w:fill="FFFFFF"/>
            <w:vAlign w:val="center"/>
          </w:tcPr>
          <w:p w14:paraId="179EA61A">
            <w:pPr>
              <w:spacing w:line="0" w:lineRule="atLeast"/>
              <w:jc w:val="center"/>
              <w:rPr>
                <w:color w:val="000000"/>
                <w:kern w:val="0"/>
                <w:sz w:val="22"/>
                <w:szCs w:val="22"/>
              </w:rPr>
            </w:pPr>
          </w:p>
        </w:tc>
        <w:tc>
          <w:tcPr>
            <w:tcW w:w="302" w:type="pct"/>
            <w:vMerge w:val="restart"/>
            <w:shd w:val="clear" w:color="auto" w:fill="FFFFFF"/>
            <w:vAlign w:val="center"/>
          </w:tcPr>
          <w:p w14:paraId="576271DD">
            <w:pPr>
              <w:widowControl/>
              <w:spacing w:line="0" w:lineRule="atLeast"/>
              <w:jc w:val="center"/>
              <w:rPr>
                <w:color w:val="000000"/>
                <w:kern w:val="0"/>
                <w:sz w:val="22"/>
                <w:szCs w:val="22"/>
              </w:rPr>
            </w:pPr>
            <w:r>
              <w:rPr>
                <w:color w:val="000000"/>
                <w:kern w:val="0"/>
                <w:sz w:val="22"/>
                <w:szCs w:val="22"/>
              </w:rPr>
              <w:t>组织实施</w:t>
            </w:r>
          </w:p>
          <w:p w14:paraId="1D627D39">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56758A59">
            <w:pPr>
              <w:widowControl/>
              <w:spacing w:line="0" w:lineRule="atLeast"/>
              <w:jc w:val="center"/>
              <w:rPr>
                <w:color w:val="000000"/>
                <w:kern w:val="0"/>
                <w:sz w:val="22"/>
                <w:szCs w:val="22"/>
              </w:rPr>
            </w:pPr>
            <w:r>
              <w:rPr>
                <w:color w:val="000000"/>
                <w:kern w:val="0"/>
                <w:sz w:val="22"/>
                <w:szCs w:val="22"/>
              </w:rPr>
              <w:t>管理制度</w:t>
            </w:r>
          </w:p>
          <w:p w14:paraId="73DFB7FA">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743C1C90">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5" w:type="pct"/>
            <w:shd w:val="clear" w:color="000000" w:fill="FFFFFF"/>
            <w:vAlign w:val="center"/>
          </w:tcPr>
          <w:p w14:paraId="57DCA90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14:paraId="5727806E">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2EB98A98">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4</w:t>
            </w:r>
          </w:p>
        </w:tc>
      </w:tr>
      <w:tr w14:paraId="11784C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0" w:type="pct"/>
            <w:vMerge w:val="continue"/>
            <w:shd w:val="clear" w:color="auto" w:fill="FFFFFF"/>
            <w:vAlign w:val="center"/>
          </w:tcPr>
          <w:p w14:paraId="5B3A10AA">
            <w:pPr>
              <w:widowControl/>
              <w:spacing w:line="0" w:lineRule="atLeast"/>
              <w:jc w:val="center"/>
              <w:rPr>
                <w:color w:val="000000"/>
                <w:kern w:val="0"/>
                <w:sz w:val="22"/>
                <w:szCs w:val="22"/>
              </w:rPr>
            </w:pPr>
          </w:p>
        </w:tc>
        <w:tc>
          <w:tcPr>
            <w:tcW w:w="302" w:type="pct"/>
            <w:vMerge w:val="continue"/>
            <w:shd w:val="clear" w:color="auto" w:fill="FFFFFF"/>
            <w:vAlign w:val="center"/>
          </w:tcPr>
          <w:p w14:paraId="22BD5FB6">
            <w:pPr>
              <w:widowControl/>
              <w:spacing w:line="0" w:lineRule="atLeast"/>
              <w:jc w:val="center"/>
              <w:rPr>
                <w:color w:val="000000"/>
                <w:kern w:val="0"/>
                <w:sz w:val="22"/>
                <w:szCs w:val="22"/>
              </w:rPr>
            </w:pPr>
          </w:p>
        </w:tc>
        <w:tc>
          <w:tcPr>
            <w:tcW w:w="344" w:type="pct"/>
            <w:shd w:val="clear" w:color="auto" w:fill="FFFFFF"/>
            <w:vAlign w:val="center"/>
          </w:tcPr>
          <w:p w14:paraId="671D474A">
            <w:pPr>
              <w:widowControl/>
              <w:spacing w:line="0" w:lineRule="atLeast"/>
              <w:jc w:val="center"/>
              <w:rPr>
                <w:color w:val="000000"/>
                <w:kern w:val="0"/>
                <w:sz w:val="22"/>
                <w:szCs w:val="22"/>
              </w:rPr>
            </w:pPr>
            <w:r>
              <w:rPr>
                <w:color w:val="000000"/>
                <w:kern w:val="0"/>
                <w:sz w:val="22"/>
                <w:szCs w:val="22"/>
              </w:rPr>
              <w:t>制度执行</w:t>
            </w:r>
          </w:p>
          <w:p w14:paraId="6DD7EB13">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750EABCF">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5" w:type="pct"/>
            <w:shd w:val="clear" w:color="000000" w:fill="FFFFFF"/>
            <w:vAlign w:val="center"/>
          </w:tcPr>
          <w:p w14:paraId="796685B7">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14:paraId="33BA2F9E">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36B8CE8C">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4</w:t>
            </w:r>
          </w:p>
        </w:tc>
      </w:tr>
      <w:tr w14:paraId="041E8B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0" w:type="pct"/>
            <w:shd w:val="clear" w:color="auto" w:fill="FFFFFF"/>
            <w:vAlign w:val="center"/>
          </w:tcPr>
          <w:p w14:paraId="65AF9A93">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23086062">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11126017">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41927E1D">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5" w:type="pct"/>
            <w:shd w:val="clear" w:color="000000" w:fill="FFFFFF"/>
            <w:vAlign w:val="center"/>
          </w:tcPr>
          <w:p w14:paraId="677801CD">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2F678C3C">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7EE87A7F">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10</w:t>
            </w:r>
          </w:p>
        </w:tc>
      </w:tr>
      <w:tr w14:paraId="333FC1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0" w:type="pct"/>
            <w:vMerge w:val="restart"/>
            <w:shd w:val="clear" w:color="auto" w:fill="FFFFFF"/>
            <w:vAlign w:val="center"/>
          </w:tcPr>
          <w:p w14:paraId="08B4CFB1">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1CC2DD6F">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7374E441">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18D9F92B">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5" w:type="pct"/>
            <w:shd w:val="clear" w:color="000000" w:fill="FFFFFF"/>
            <w:vAlign w:val="center"/>
          </w:tcPr>
          <w:p w14:paraId="77345C46">
            <w:pPr>
              <w:widowControl/>
              <w:spacing w:line="0" w:lineRule="atLeast"/>
              <w:rPr>
                <w:color w:val="000000"/>
                <w:kern w:val="0"/>
                <w:sz w:val="22"/>
                <w:szCs w:val="22"/>
              </w:rPr>
            </w:pPr>
            <w:r>
              <w:rPr>
                <w:color w:val="000000"/>
                <w:kern w:val="0"/>
                <w:sz w:val="22"/>
                <w:szCs w:val="22"/>
              </w:rPr>
              <w:t>质量达标率=（质量达标产出数/实际产出数）×100%。</w:t>
            </w:r>
          </w:p>
          <w:p w14:paraId="34A29047">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5E99658D">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1C889346">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10</w:t>
            </w:r>
          </w:p>
        </w:tc>
      </w:tr>
      <w:tr w14:paraId="200C6C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0" w:type="pct"/>
            <w:vMerge w:val="continue"/>
            <w:shd w:val="clear" w:color="auto" w:fill="FFFFFF"/>
            <w:vAlign w:val="center"/>
          </w:tcPr>
          <w:p w14:paraId="21111B46">
            <w:pPr>
              <w:spacing w:line="0" w:lineRule="atLeast"/>
              <w:jc w:val="center"/>
              <w:rPr>
                <w:color w:val="000000"/>
                <w:kern w:val="0"/>
                <w:sz w:val="22"/>
                <w:szCs w:val="22"/>
              </w:rPr>
            </w:pPr>
          </w:p>
        </w:tc>
        <w:tc>
          <w:tcPr>
            <w:tcW w:w="302" w:type="pct"/>
            <w:shd w:val="clear" w:color="auto" w:fill="FFFFFF"/>
            <w:vAlign w:val="center"/>
          </w:tcPr>
          <w:p w14:paraId="764E837A">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5D0858CC">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2F7B0CB6">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5" w:type="pct"/>
            <w:shd w:val="clear" w:color="000000" w:fill="FFFFFF"/>
            <w:vAlign w:val="center"/>
          </w:tcPr>
          <w:p w14:paraId="1C758578">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6F16F36C">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18177F4A">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10</w:t>
            </w:r>
          </w:p>
        </w:tc>
      </w:tr>
      <w:tr w14:paraId="45CA7D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0" w:type="pct"/>
            <w:vMerge w:val="continue"/>
            <w:shd w:val="clear" w:color="auto" w:fill="FFFFFF"/>
            <w:vAlign w:val="center"/>
          </w:tcPr>
          <w:p w14:paraId="2D4DA51A">
            <w:pPr>
              <w:widowControl/>
              <w:spacing w:line="0" w:lineRule="atLeast"/>
              <w:jc w:val="center"/>
              <w:rPr>
                <w:color w:val="000000"/>
                <w:kern w:val="0"/>
                <w:sz w:val="22"/>
                <w:szCs w:val="22"/>
              </w:rPr>
            </w:pPr>
          </w:p>
        </w:tc>
        <w:tc>
          <w:tcPr>
            <w:tcW w:w="302" w:type="pct"/>
            <w:shd w:val="clear" w:color="auto" w:fill="FFFFFF"/>
            <w:vAlign w:val="center"/>
          </w:tcPr>
          <w:p w14:paraId="58B3E8A4">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1CA9B290">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73D0DC31">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5" w:type="pct"/>
            <w:shd w:val="clear" w:color="000000" w:fill="FFFFFF"/>
            <w:vAlign w:val="center"/>
          </w:tcPr>
          <w:p w14:paraId="225FB282">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28AF49A7">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0A99C7BF">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10</w:t>
            </w:r>
          </w:p>
        </w:tc>
      </w:tr>
      <w:tr w14:paraId="505A4E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0" w:type="pct"/>
            <w:vMerge w:val="restart"/>
            <w:shd w:val="clear" w:color="auto" w:fill="FFFFFF"/>
            <w:vAlign w:val="center"/>
          </w:tcPr>
          <w:p w14:paraId="1A581893">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14:paraId="2EF817B4">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14:paraId="11E0EFD0">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50A6C1C4">
            <w:pPr>
              <w:widowControl/>
              <w:spacing w:line="0" w:lineRule="atLeast"/>
              <w:jc w:val="left"/>
              <w:rPr>
                <w:color w:val="000000"/>
                <w:kern w:val="0"/>
                <w:sz w:val="22"/>
                <w:szCs w:val="22"/>
              </w:rPr>
            </w:pPr>
            <w:r>
              <w:rPr>
                <w:color w:val="000000"/>
                <w:kern w:val="0"/>
                <w:sz w:val="22"/>
                <w:szCs w:val="22"/>
              </w:rPr>
              <w:t>项目实施所产生的效益。</w:t>
            </w:r>
          </w:p>
        </w:tc>
        <w:tc>
          <w:tcPr>
            <w:tcW w:w="2045" w:type="pct"/>
            <w:shd w:val="clear" w:color="auto" w:fill="FFFFFF"/>
            <w:vAlign w:val="center"/>
          </w:tcPr>
          <w:p w14:paraId="071E1A9E">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6173DD14">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14:paraId="3BE0EFC9">
            <w:pPr>
              <w:widowControl/>
              <w:spacing w:line="0" w:lineRule="atLeast"/>
              <w:jc w:val="center"/>
              <w:rPr>
                <w:rFonts w:hint="default"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15</w:t>
            </w:r>
          </w:p>
        </w:tc>
      </w:tr>
      <w:tr w14:paraId="5908E8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0" w:type="pct"/>
            <w:vMerge w:val="continue"/>
            <w:shd w:val="clear" w:color="auto" w:fill="FFFFFF"/>
            <w:vAlign w:val="center"/>
          </w:tcPr>
          <w:p w14:paraId="56303757">
            <w:pPr>
              <w:widowControl/>
              <w:spacing w:line="0" w:lineRule="atLeast"/>
              <w:jc w:val="center"/>
              <w:rPr>
                <w:color w:val="000000"/>
                <w:kern w:val="0"/>
                <w:sz w:val="22"/>
                <w:szCs w:val="22"/>
              </w:rPr>
            </w:pPr>
          </w:p>
        </w:tc>
        <w:tc>
          <w:tcPr>
            <w:tcW w:w="302" w:type="pct"/>
            <w:vMerge w:val="continue"/>
            <w:shd w:val="clear" w:color="auto" w:fill="FFFFFF"/>
            <w:vAlign w:val="center"/>
          </w:tcPr>
          <w:p w14:paraId="167973A7">
            <w:pPr>
              <w:widowControl/>
              <w:spacing w:line="0" w:lineRule="atLeast"/>
              <w:jc w:val="center"/>
              <w:rPr>
                <w:color w:val="000000"/>
                <w:kern w:val="0"/>
                <w:sz w:val="22"/>
                <w:szCs w:val="22"/>
              </w:rPr>
            </w:pPr>
          </w:p>
        </w:tc>
        <w:tc>
          <w:tcPr>
            <w:tcW w:w="344" w:type="pct"/>
            <w:shd w:val="clear" w:color="auto" w:fill="FFFFFF"/>
            <w:vAlign w:val="center"/>
          </w:tcPr>
          <w:p w14:paraId="43ADD151">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09872F94">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5" w:type="pct"/>
            <w:shd w:val="clear" w:color="000000" w:fill="FFFFFF"/>
            <w:vAlign w:val="center"/>
          </w:tcPr>
          <w:p w14:paraId="33ED0461">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7667248D">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14:paraId="648403A6">
            <w:pPr>
              <w:widowControl/>
              <w:spacing w:line="0" w:lineRule="atLeast"/>
              <w:jc w:val="center"/>
              <w:rPr>
                <w:rFonts w:hint="eastAsia" w:ascii="Times New Roman" w:hAnsi="Times New Roman" w:eastAsia="宋体" w:cs="Times New Roman"/>
                <w:b/>
                <w:bCs/>
                <w:color w:val="000000"/>
                <w:kern w:val="0"/>
                <w:sz w:val="22"/>
                <w:szCs w:val="22"/>
                <w:highlight w:val="none"/>
                <w:lang w:val="en-US" w:eastAsia="zh-CN" w:bidi="ar-SA"/>
              </w:rPr>
            </w:pPr>
            <w:r>
              <w:rPr>
                <w:rFonts w:hint="eastAsia"/>
                <w:b/>
                <w:bCs/>
                <w:color w:val="000000"/>
                <w:kern w:val="0"/>
                <w:sz w:val="22"/>
                <w:szCs w:val="22"/>
                <w:highlight w:val="none"/>
                <w:lang w:val="en-US" w:eastAsia="zh-CN"/>
              </w:rPr>
              <w:t>5</w:t>
            </w:r>
          </w:p>
        </w:tc>
      </w:tr>
    </w:tbl>
    <w:p w14:paraId="55D4607E">
      <w:pPr>
        <w:pStyle w:val="2"/>
        <w:rPr>
          <w:rFonts w:ascii="Times New Roman" w:hAnsi="Times New Roman"/>
        </w:rPr>
      </w:pPr>
    </w:p>
    <w:p w14:paraId="285152F6"/>
    <w:p w14:paraId="37A13753">
      <w:pPr>
        <w:spacing w:line="540" w:lineRule="exact"/>
        <w:ind w:firstLine="640"/>
        <w:rPr>
          <w:rStyle w:val="25"/>
          <w:rFonts w:eastAsia="黑体"/>
          <w:bCs w:val="0"/>
          <w:spacing w:val="-4"/>
          <w:sz w:val="32"/>
          <w:szCs w:val="32"/>
        </w:rPr>
      </w:pPr>
    </w:p>
    <w:p w14:paraId="7BCDF6BC">
      <w:pPr>
        <w:spacing w:line="540" w:lineRule="exact"/>
        <w:ind w:firstLine="640"/>
        <w:rPr>
          <w:rStyle w:val="25"/>
          <w:rFonts w:eastAsia="黑体"/>
          <w:bCs w:val="0"/>
          <w:spacing w:val="-4"/>
          <w:sz w:val="32"/>
          <w:szCs w:val="32"/>
        </w:rPr>
      </w:pPr>
    </w:p>
    <w:p w14:paraId="57FAC4E1">
      <w:pPr>
        <w:spacing w:line="540" w:lineRule="exact"/>
        <w:ind w:firstLine="640"/>
        <w:rPr>
          <w:rStyle w:val="25"/>
          <w:rFonts w:eastAsia="黑体"/>
          <w:bCs w:val="0"/>
          <w:spacing w:val="-4"/>
          <w:sz w:val="32"/>
          <w:szCs w:val="32"/>
        </w:rPr>
      </w:pPr>
    </w:p>
    <w:p w14:paraId="15FCE234">
      <w:pPr>
        <w:spacing w:line="540" w:lineRule="exact"/>
        <w:ind w:firstLine="640"/>
        <w:rPr>
          <w:rStyle w:val="25"/>
          <w:rFonts w:eastAsia="黑体"/>
          <w:bCs w:val="0"/>
          <w:spacing w:val="-4"/>
          <w:sz w:val="32"/>
          <w:szCs w:val="32"/>
        </w:rPr>
      </w:pPr>
    </w:p>
    <w:p w14:paraId="743817A1">
      <w:pPr>
        <w:spacing w:line="540" w:lineRule="exact"/>
        <w:ind w:firstLine="640"/>
        <w:rPr>
          <w:rStyle w:val="25"/>
          <w:rFonts w:eastAsia="黑体"/>
          <w:bCs w:val="0"/>
          <w:spacing w:val="-4"/>
          <w:sz w:val="32"/>
          <w:szCs w:val="32"/>
        </w:rPr>
      </w:pPr>
    </w:p>
    <w:p w14:paraId="0300C3DE">
      <w:pPr>
        <w:spacing w:line="540" w:lineRule="exact"/>
        <w:ind w:firstLine="640"/>
        <w:rPr>
          <w:rStyle w:val="25"/>
          <w:rFonts w:eastAsia="黑体"/>
          <w:bCs w:val="0"/>
          <w:spacing w:val="-4"/>
          <w:sz w:val="32"/>
          <w:szCs w:val="32"/>
        </w:rPr>
      </w:pPr>
    </w:p>
    <w:p w14:paraId="441431C6">
      <w:pPr>
        <w:spacing w:line="540" w:lineRule="exact"/>
        <w:rPr>
          <w:rStyle w:val="25"/>
          <w:rFonts w:eastAsia="仿宋"/>
          <w:b w:val="0"/>
          <w:spacing w:val="-4"/>
          <w:sz w:val="32"/>
          <w:szCs w:val="32"/>
        </w:rPr>
      </w:pPr>
    </w:p>
    <w:sectPr>
      <w:pgSz w:w="16838" w:h="11906" w:orient="landscape"/>
      <w:pgMar w:top="1800" w:right="1440" w:bottom="1558"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BAFC1F5-62D5-4E1D-94CB-A3A86263D4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embedRegular r:id="rId2" w:fontKey="{981CC0A2-8304-4805-AAAF-CD097CAFA184}"/>
  </w:font>
  <w:font w:name="华文中宋">
    <w:panose1 w:val="02010600040101010101"/>
    <w:charset w:val="86"/>
    <w:family w:val="auto"/>
    <w:pitch w:val="default"/>
    <w:sig w:usb0="00000287" w:usb1="080F0000" w:usb2="00000000" w:usb3="00000000" w:csb0="0004009F" w:csb1="DFD70000"/>
    <w:embedRegular r:id="rId3" w:fontKey="{797F3AA8-429D-45A7-A217-7079E7F924AA}"/>
  </w:font>
  <w:font w:name="方正小标宋_GBK">
    <w:panose1 w:val="02000000000000000000"/>
    <w:charset w:val="86"/>
    <w:family w:val="script"/>
    <w:pitch w:val="default"/>
    <w:sig w:usb0="A00002BF" w:usb1="38CF7CFA" w:usb2="00082016" w:usb3="00000000" w:csb0="00040001" w:csb1="00000000"/>
    <w:embedRegular r:id="rId4" w:fontKey="{72801A07-EA58-442C-8F2E-65AB929AA420}"/>
  </w:font>
  <w:font w:name="楷体_GB2312">
    <w:altName w:val="楷体"/>
    <w:panose1 w:val="02010609030101010101"/>
    <w:charset w:val="86"/>
    <w:family w:val="auto"/>
    <w:pitch w:val="default"/>
    <w:sig w:usb0="00000000" w:usb1="00000000" w:usb2="00000000" w:usb3="00000000" w:csb0="00040000" w:csb1="00000000"/>
    <w:embedRegular r:id="rId5" w:fontKey="{04C7B257-FCF7-4E72-AE48-4E769032AFF2}"/>
  </w:font>
  <w:font w:name="方正小标宋简体">
    <w:altName w:val="方正舒体"/>
    <w:panose1 w:val="03000509000000000000"/>
    <w:charset w:val="86"/>
    <w:family w:val="auto"/>
    <w:pitch w:val="default"/>
    <w:sig w:usb0="00000000" w:usb1="00000000" w:usb2="00000000" w:usb3="00000000" w:csb0="00040000" w:csb1="00000000"/>
    <w:embedRegular r:id="rId6" w:fontKey="{F0816509-A08A-4BF3-AF71-D091FF7CE228}"/>
  </w:font>
  <w:font w:name="仿宋">
    <w:panose1 w:val="02010609060101010101"/>
    <w:charset w:val="86"/>
    <w:family w:val="modern"/>
    <w:pitch w:val="default"/>
    <w:sig w:usb0="800002BF" w:usb1="38CF7CFA" w:usb2="00000016" w:usb3="00000000" w:csb0="00040001" w:csb1="00000000"/>
    <w:embedRegular r:id="rId7" w:fontKey="{51BECDD7-DF08-47A8-957A-A75AE62A4242}"/>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C7DD947">
        <w:pPr>
          <w:pStyle w:val="16"/>
          <w:jc w:val="center"/>
        </w:pPr>
        <w:r>
          <w:fldChar w:fldCharType="begin"/>
        </w:r>
        <w:r>
          <w:instrText xml:space="preserve">PAGE   \* MERGEFORMAT</w:instrText>
        </w:r>
        <w:r>
          <w:fldChar w:fldCharType="separate"/>
        </w:r>
        <w:r>
          <w:rPr>
            <w:lang w:val="zh-CN"/>
          </w:rPr>
          <w:t>17</w:t>
        </w:r>
        <w:r>
          <w:fldChar w:fldCharType="end"/>
        </w:r>
      </w:p>
    </w:sdtContent>
  </w:sdt>
  <w:p w14:paraId="7C0D6AB3">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36B5B"/>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26B74AB"/>
    <w:rsid w:val="02A5007A"/>
    <w:rsid w:val="02E64D83"/>
    <w:rsid w:val="033154D6"/>
    <w:rsid w:val="051A56F5"/>
    <w:rsid w:val="05346B88"/>
    <w:rsid w:val="0575419C"/>
    <w:rsid w:val="066D6EAA"/>
    <w:rsid w:val="06B55198"/>
    <w:rsid w:val="06DC1681"/>
    <w:rsid w:val="07104E4B"/>
    <w:rsid w:val="08C662D4"/>
    <w:rsid w:val="094E3682"/>
    <w:rsid w:val="09BD4D95"/>
    <w:rsid w:val="0B0009AC"/>
    <w:rsid w:val="0B0F58D6"/>
    <w:rsid w:val="0B534F80"/>
    <w:rsid w:val="0BA31A63"/>
    <w:rsid w:val="0BB023D2"/>
    <w:rsid w:val="0E122ED0"/>
    <w:rsid w:val="0E26697C"/>
    <w:rsid w:val="0E715E49"/>
    <w:rsid w:val="0F8D41CB"/>
    <w:rsid w:val="0FEE2F21"/>
    <w:rsid w:val="11C75270"/>
    <w:rsid w:val="11D566EF"/>
    <w:rsid w:val="12637CC3"/>
    <w:rsid w:val="12E657C5"/>
    <w:rsid w:val="130152C1"/>
    <w:rsid w:val="133C6E2A"/>
    <w:rsid w:val="1448764C"/>
    <w:rsid w:val="14DE58BA"/>
    <w:rsid w:val="1598015F"/>
    <w:rsid w:val="15D849FF"/>
    <w:rsid w:val="16565924"/>
    <w:rsid w:val="167C7687"/>
    <w:rsid w:val="168B3546"/>
    <w:rsid w:val="17375756"/>
    <w:rsid w:val="183A374F"/>
    <w:rsid w:val="19A725BC"/>
    <w:rsid w:val="1A2374E0"/>
    <w:rsid w:val="1BFD6F6E"/>
    <w:rsid w:val="1C13053F"/>
    <w:rsid w:val="1C317CE2"/>
    <w:rsid w:val="1C69738D"/>
    <w:rsid w:val="1CBA4E5F"/>
    <w:rsid w:val="1DD45808"/>
    <w:rsid w:val="1DED42AC"/>
    <w:rsid w:val="1E4D6D37"/>
    <w:rsid w:val="1E780B2E"/>
    <w:rsid w:val="1F282554"/>
    <w:rsid w:val="1F9F17AB"/>
    <w:rsid w:val="20005763"/>
    <w:rsid w:val="2092466C"/>
    <w:rsid w:val="209B4732"/>
    <w:rsid w:val="20FB313D"/>
    <w:rsid w:val="21AD4F92"/>
    <w:rsid w:val="21C10A3D"/>
    <w:rsid w:val="220B4804"/>
    <w:rsid w:val="24635DDC"/>
    <w:rsid w:val="27471663"/>
    <w:rsid w:val="278B653F"/>
    <w:rsid w:val="27E234BC"/>
    <w:rsid w:val="282475E3"/>
    <w:rsid w:val="284D4DD9"/>
    <w:rsid w:val="28915381"/>
    <w:rsid w:val="28CF1C92"/>
    <w:rsid w:val="29E421D9"/>
    <w:rsid w:val="2C6100C1"/>
    <w:rsid w:val="2C8903AA"/>
    <w:rsid w:val="2D202ABC"/>
    <w:rsid w:val="2DA51213"/>
    <w:rsid w:val="2DC21DC5"/>
    <w:rsid w:val="2F805A94"/>
    <w:rsid w:val="30E81B43"/>
    <w:rsid w:val="322A7567"/>
    <w:rsid w:val="3235157C"/>
    <w:rsid w:val="324A05DB"/>
    <w:rsid w:val="3264220D"/>
    <w:rsid w:val="32A0644D"/>
    <w:rsid w:val="32A83563"/>
    <w:rsid w:val="332753F9"/>
    <w:rsid w:val="33E22F5F"/>
    <w:rsid w:val="348A1163"/>
    <w:rsid w:val="3589141A"/>
    <w:rsid w:val="36BE50F4"/>
    <w:rsid w:val="36EB413B"/>
    <w:rsid w:val="37DE5A4E"/>
    <w:rsid w:val="38872456"/>
    <w:rsid w:val="38AF1198"/>
    <w:rsid w:val="393578EF"/>
    <w:rsid w:val="394B7113"/>
    <w:rsid w:val="3963178C"/>
    <w:rsid w:val="39D8471E"/>
    <w:rsid w:val="3A3E538D"/>
    <w:rsid w:val="3AA765CB"/>
    <w:rsid w:val="3B8A2CCC"/>
    <w:rsid w:val="3BA5236D"/>
    <w:rsid w:val="3BDE097E"/>
    <w:rsid w:val="3CED0699"/>
    <w:rsid w:val="3EB02FD6"/>
    <w:rsid w:val="3F7942AE"/>
    <w:rsid w:val="41CC2676"/>
    <w:rsid w:val="423C1CEE"/>
    <w:rsid w:val="452A22D2"/>
    <w:rsid w:val="46024FFD"/>
    <w:rsid w:val="467B6B5D"/>
    <w:rsid w:val="46B21672"/>
    <w:rsid w:val="47280A93"/>
    <w:rsid w:val="47743CD8"/>
    <w:rsid w:val="488F68F0"/>
    <w:rsid w:val="49E14F29"/>
    <w:rsid w:val="4A1973EA"/>
    <w:rsid w:val="4B2154A2"/>
    <w:rsid w:val="4B555BCF"/>
    <w:rsid w:val="4C575977"/>
    <w:rsid w:val="4D901140"/>
    <w:rsid w:val="4EFF5393"/>
    <w:rsid w:val="4F1D4C56"/>
    <w:rsid w:val="4F552460"/>
    <w:rsid w:val="4FCC6863"/>
    <w:rsid w:val="500A214A"/>
    <w:rsid w:val="51600E2A"/>
    <w:rsid w:val="51B15B29"/>
    <w:rsid w:val="522D604D"/>
    <w:rsid w:val="5297585E"/>
    <w:rsid w:val="52AD7D6F"/>
    <w:rsid w:val="531B76FE"/>
    <w:rsid w:val="53C74666"/>
    <w:rsid w:val="54646E83"/>
    <w:rsid w:val="5549519D"/>
    <w:rsid w:val="5557596B"/>
    <w:rsid w:val="55E4027B"/>
    <w:rsid w:val="56C500AD"/>
    <w:rsid w:val="579D0230"/>
    <w:rsid w:val="57AC301B"/>
    <w:rsid w:val="58CB5722"/>
    <w:rsid w:val="592B4413"/>
    <w:rsid w:val="59A71CEC"/>
    <w:rsid w:val="5AC32B55"/>
    <w:rsid w:val="5B596DFC"/>
    <w:rsid w:val="5C807311"/>
    <w:rsid w:val="5CC74453"/>
    <w:rsid w:val="5D001B3A"/>
    <w:rsid w:val="5D283143"/>
    <w:rsid w:val="5D4B6E32"/>
    <w:rsid w:val="5DAE6D00"/>
    <w:rsid w:val="5DC80482"/>
    <w:rsid w:val="5DEB5F1F"/>
    <w:rsid w:val="5DF03945"/>
    <w:rsid w:val="5F03526B"/>
    <w:rsid w:val="5F447FDD"/>
    <w:rsid w:val="5FDE3F8D"/>
    <w:rsid w:val="61532759"/>
    <w:rsid w:val="62E515AF"/>
    <w:rsid w:val="637C2815"/>
    <w:rsid w:val="663C1A0D"/>
    <w:rsid w:val="666B4FDC"/>
    <w:rsid w:val="67FF13C8"/>
    <w:rsid w:val="682144B7"/>
    <w:rsid w:val="694330B3"/>
    <w:rsid w:val="696C260A"/>
    <w:rsid w:val="69C73CE4"/>
    <w:rsid w:val="6B39651C"/>
    <w:rsid w:val="6B503F77"/>
    <w:rsid w:val="6C335661"/>
    <w:rsid w:val="6C951E77"/>
    <w:rsid w:val="6E311968"/>
    <w:rsid w:val="6EA840E4"/>
    <w:rsid w:val="70DF7B65"/>
    <w:rsid w:val="71265794"/>
    <w:rsid w:val="720C498A"/>
    <w:rsid w:val="73776AD5"/>
    <w:rsid w:val="74600FBD"/>
    <w:rsid w:val="74C652C4"/>
    <w:rsid w:val="764566BC"/>
    <w:rsid w:val="781520BE"/>
    <w:rsid w:val="78175E36"/>
    <w:rsid w:val="78B33DB1"/>
    <w:rsid w:val="7A353D0B"/>
    <w:rsid w:val="7A925C48"/>
    <w:rsid w:val="7A97325F"/>
    <w:rsid w:val="7B5B24DE"/>
    <w:rsid w:val="7CB927D8"/>
    <w:rsid w:val="7CF624BE"/>
    <w:rsid w:val="7D3A5E2F"/>
    <w:rsid w:val="7F657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8"/>
    <w:autoRedefine/>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9"/>
    <w:autoRedefine/>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30"/>
    <w:autoRedefine/>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1"/>
    <w:autoRedefine/>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2"/>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3"/>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4"/>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5"/>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4">
    <w:name w:val="Default Paragraph Font"/>
    <w:autoRedefine/>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36"/>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text"/>
    <w:basedOn w:val="1"/>
    <w:semiHidden/>
    <w:unhideWhenUsed/>
    <w:qFormat/>
    <w:uiPriority w:val="99"/>
    <w:pPr>
      <w:jc w:val="left"/>
    </w:pPr>
  </w:style>
  <w:style w:type="paragraph" w:styleId="13">
    <w:name w:val="Body Text"/>
    <w:basedOn w:val="1"/>
    <w:autoRedefine/>
    <w:qFormat/>
    <w:uiPriority w:val="0"/>
    <w:pPr>
      <w:spacing w:after="120"/>
    </w:pPr>
  </w:style>
  <w:style w:type="paragraph" w:styleId="14">
    <w:name w:val="Body Text Indent"/>
    <w:basedOn w:val="1"/>
    <w:autoRedefine/>
    <w:qFormat/>
    <w:uiPriority w:val="0"/>
    <w:pPr>
      <w:spacing w:after="120"/>
      <w:ind w:left="420" w:leftChars="200"/>
    </w:pPr>
    <w:rPr>
      <w:rFonts w:ascii="Calibri" w:hAnsi="Calibri"/>
    </w:rPr>
  </w:style>
  <w:style w:type="paragraph" w:styleId="15">
    <w:name w:val="Balloon Text"/>
    <w:basedOn w:val="1"/>
    <w:link w:val="52"/>
    <w:autoRedefine/>
    <w:semiHidden/>
    <w:unhideWhenUsed/>
    <w:qFormat/>
    <w:uiPriority w:val="99"/>
    <w:rPr>
      <w:sz w:val="18"/>
      <w:szCs w:val="18"/>
    </w:rPr>
  </w:style>
  <w:style w:type="paragraph" w:styleId="16">
    <w:name w:val="footer"/>
    <w:basedOn w:val="1"/>
    <w:link w:val="51"/>
    <w:autoRedefine/>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50"/>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7"/>
    <w:autoRedefine/>
    <w:qFormat/>
    <w:uiPriority w:val="11"/>
    <w:pPr>
      <w:widowControl/>
      <w:spacing w:after="60"/>
      <w:jc w:val="center"/>
      <w:outlineLvl w:val="1"/>
    </w:pPr>
    <w:rPr>
      <w:rFonts w:asciiTheme="majorHAnsi" w:hAnsiTheme="majorHAnsi" w:eastAsiaTheme="majorEastAsia"/>
      <w:kern w:val="0"/>
      <w:sz w:val="24"/>
    </w:rPr>
  </w:style>
  <w:style w:type="paragraph" w:styleId="19">
    <w:name w:val="Normal (Web)"/>
    <w:basedOn w:val="1"/>
    <w:autoRedefine/>
    <w:qFormat/>
    <w:uiPriority w:val="0"/>
    <w:pPr>
      <w:spacing w:before="100" w:beforeAutospacing="1" w:after="100" w:afterAutospacing="1"/>
      <w:jc w:val="left"/>
    </w:pPr>
    <w:rPr>
      <w:rFonts w:cs="Times New Roman"/>
      <w:kern w:val="0"/>
      <w:sz w:val="24"/>
    </w:rPr>
  </w:style>
  <w:style w:type="paragraph" w:styleId="20">
    <w:name w:val="Body Text First Indent"/>
    <w:basedOn w:val="13"/>
    <w:autoRedefine/>
    <w:qFormat/>
    <w:uiPriority w:val="0"/>
    <w:pPr>
      <w:spacing w:after="0"/>
      <w:ind w:firstLine="200" w:firstLineChars="200"/>
    </w:pPr>
  </w:style>
  <w:style w:type="paragraph" w:styleId="21">
    <w:name w:val="Body Text First Indent 2"/>
    <w:basedOn w:val="14"/>
    <w:autoRedefine/>
    <w:qFormat/>
    <w:uiPriority w:val="0"/>
    <w:pPr>
      <w:ind w:firstLine="420" w:firstLineChars="200"/>
    </w:pPr>
  </w:style>
  <w:style w:type="table" w:styleId="23">
    <w:name w:val="Table Grid"/>
    <w:basedOn w:val="2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autoRedefine/>
    <w:qFormat/>
    <w:uiPriority w:val="0"/>
    <w:rPr>
      <w:b/>
      <w:bCs/>
    </w:rPr>
  </w:style>
  <w:style w:type="character" w:styleId="26">
    <w:name w:val="Emphasis"/>
    <w:basedOn w:val="24"/>
    <w:autoRedefine/>
    <w:qFormat/>
    <w:uiPriority w:val="20"/>
    <w:rPr>
      <w:rFonts w:asciiTheme="minorHAnsi" w:hAnsiTheme="minorHAnsi"/>
      <w:b/>
      <w:i/>
      <w:iCs/>
    </w:rPr>
  </w:style>
  <w:style w:type="character" w:customStyle="1" w:styleId="27">
    <w:name w:val="标题 1 字符"/>
    <w:basedOn w:val="24"/>
    <w:link w:val="3"/>
    <w:autoRedefine/>
    <w:qFormat/>
    <w:uiPriority w:val="9"/>
    <w:rPr>
      <w:rFonts w:asciiTheme="majorHAnsi" w:hAnsiTheme="majorHAnsi" w:eastAsiaTheme="majorEastAsia"/>
      <w:b/>
      <w:bCs/>
      <w:kern w:val="32"/>
      <w:sz w:val="32"/>
      <w:szCs w:val="32"/>
    </w:rPr>
  </w:style>
  <w:style w:type="character" w:customStyle="1" w:styleId="28">
    <w:name w:val="标题 2 字符"/>
    <w:basedOn w:val="24"/>
    <w:link w:val="4"/>
    <w:autoRedefine/>
    <w:semiHidden/>
    <w:qFormat/>
    <w:uiPriority w:val="9"/>
    <w:rPr>
      <w:rFonts w:asciiTheme="majorHAnsi" w:hAnsiTheme="majorHAnsi" w:eastAsiaTheme="majorEastAsia"/>
      <w:b/>
      <w:bCs/>
      <w:i/>
      <w:iCs/>
      <w:sz w:val="28"/>
      <w:szCs w:val="28"/>
    </w:rPr>
  </w:style>
  <w:style w:type="character" w:customStyle="1" w:styleId="29">
    <w:name w:val="标题 3 字符"/>
    <w:basedOn w:val="24"/>
    <w:link w:val="5"/>
    <w:autoRedefine/>
    <w:semiHidden/>
    <w:qFormat/>
    <w:uiPriority w:val="9"/>
    <w:rPr>
      <w:rFonts w:asciiTheme="majorHAnsi" w:hAnsiTheme="majorHAnsi" w:eastAsiaTheme="majorEastAsia"/>
      <w:b/>
      <w:bCs/>
      <w:sz w:val="26"/>
      <w:szCs w:val="26"/>
    </w:rPr>
  </w:style>
  <w:style w:type="character" w:customStyle="1" w:styleId="30">
    <w:name w:val="标题 4 字符"/>
    <w:basedOn w:val="24"/>
    <w:link w:val="6"/>
    <w:autoRedefine/>
    <w:semiHidden/>
    <w:qFormat/>
    <w:uiPriority w:val="9"/>
    <w:rPr>
      <w:b/>
      <w:bCs/>
      <w:sz w:val="28"/>
      <w:szCs w:val="28"/>
    </w:rPr>
  </w:style>
  <w:style w:type="character" w:customStyle="1" w:styleId="31">
    <w:name w:val="标题 5 字符"/>
    <w:basedOn w:val="24"/>
    <w:link w:val="7"/>
    <w:autoRedefine/>
    <w:semiHidden/>
    <w:qFormat/>
    <w:uiPriority w:val="9"/>
    <w:rPr>
      <w:b/>
      <w:bCs/>
      <w:i/>
      <w:iCs/>
      <w:sz w:val="26"/>
      <w:szCs w:val="26"/>
    </w:rPr>
  </w:style>
  <w:style w:type="character" w:customStyle="1" w:styleId="32">
    <w:name w:val="标题 6 字符"/>
    <w:basedOn w:val="24"/>
    <w:link w:val="8"/>
    <w:autoRedefine/>
    <w:semiHidden/>
    <w:qFormat/>
    <w:uiPriority w:val="9"/>
    <w:rPr>
      <w:b/>
      <w:bCs/>
    </w:rPr>
  </w:style>
  <w:style w:type="character" w:customStyle="1" w:styleId="33">
    <w:name w:val="标题 7 字符"/>
    <w:basedOn w:val="24"/>
    <w:link w:val="9"/>
    <w:autoRedefine/>
    <w:semiHidden/>
    <w:qFormat/>
    <w:uiPriority w:val="9"/>
    <w:rPr>
      <w:sz w:val="24"/>
      <w:szCs w:val="24"/>
    </w:rPr>
  </w:style>
  <w:style w:type="character" w:customStyle="1" w:styleId="34">
    <w:name w:val="标题 8 字符"/>
    <w:basedOn w:val="24"/>
    <w:link w:val="10"/>
    <w:autoRedefine/>
    <w:semiHidden/>
    <w:qFormat/>
    <w:uiPriority w:val="9"/>
    <w:rPr>
      <w:i/>
      <w:iCs/>
      <w:sz w:val="24"/>
      <w:szCs w:val="24"/>
    </w:rPr>
  </w:style>
  <w:style w:type="character" w:customStyle="1" w:styleId="35">
    <w:name w:val="标题 9 字符"/>
    <w:basedOn w:val="24"/>
    <w:link w:val="11"/>
    <w:autoRedefine/>
    <w:semiHidden/>
    <w:qFormat/>
    <w:uiPriority w:val="9"/>
    <w:rPr>
      <w:rFonts w:asciiTheme="majorHAnsi" w:hAnsiTheme="majorHAnsi" w:eastAsiaTheme="majorEastAsia"/>
    </w:rPr>
  </w:style>
  <w:style w:type="character" w:customStyle="1" w:styleId="36">
    <w:name w:val="标题 字符"/>
    <w:basedOn w:val="24"/>
    <w:link w:val="2"/>
    <w:autoRedefine/>
    <w:qFormat/>
    <w:uiPriority w:val="10"/>
    <w:rPr>
      <w:rFonts w:asciiTheme="majorHAnsi" w:hAnsiTheme="majorHAnsi" w:eastAsiaTheme="majorEastAsia"/>
      <w:b/>
      <w:bCs/>
      <w:kern w:val="28"/>
      <w:sz w:val="32"/>
      <w:szCs w:val="32"/>
    </w:rPr>
  </w:style>
  <w:style w:type="character" w:customStyle="1" w:styleId="37">
    <w:name w:val="副标题 字符"/>
    <w:basedOn w:val="24"/>
    <w:link w:val="18"/>
    <w:autoRedefine/>
    <w:qFormat/>
    <w:uiPriority w:val="11"/>
    <w:rPr>
      <w:rFonts w:asciiTheme="majorHAnsi" w:hAnsiTheme="majorHAnsi" w:eastAsiaTheme="majorEastAsia"/>
      <w:sz w:val="24"/>
      <w:szCs w:val="24"/>
    </w:rPr>
  </w:style>
  <w:style w:type="paragraph" w:styleId="38">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9">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0">
    <w:name w:val="Quote"/>
    <w:basedOn w:val="1"/>
    <w:next w:val="1"/>
    <w:link w:val="41"/>
    <w:autoRedefine/>
    <w:qFormat/>
    <w:uiPriority w:val="29"/>
    <w:pPr>
      <w:widowControl/>
      <w:jc w:val="left"/>
    </w:pPr>
    <w:rPr>
      <w:rFonts w:asciiTheme="minorHAnsi" w:hAnsiTheme="minorHAnsi" w:eastAsiaTheme="minorEastAsia"/>
      <w:i/>
      <w:kern w:val="0"/>
      <w:sz w:val="24"/>
    </w:rPr>
  </w:style>
  <w:style w:type="character" w:customStyle="1" w:styleId="41">
    <w:name w:val="引用 字符"/>
    <w:basedOn w:val="24"/>
    <w:link w:val="40"/>
    <w:autoRedefine/>
    <w:qFormat/>
    <w:uiPriority w:val="29"/>
    <w:rPr>
      <w:i/>
      <w:sz w:val="24"/>
      <w:szCs w:val="24"/>
    </w:rPr>
  </w:style>
  <w:style w:type="paragraph" w:styleId="42">
    <w:name w:val="Intense Quote"/>
    <w:basedOn w:val="1"/>
    <w:next w:val="1"/>
    <w:link w:val="43"/>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43">
    <w:name w:val="明显引用 字符"/>
    <w:basedOn w:val="24"/>
    <w:link w:val="42"/>
    <w:autoRedefine/>
    <w:qFormat/>
    <w:uiPriority w:val="30"/>
    <w:rPr>
      <w:b/>
      <w:i/>
      <w:sz w:val="24"/>
    </w:rPr>
  </w:style>
  <w:style w:type="character" w:customStyle="1" w:styleId="44">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45">
    <w:name w:val="明显强调1"/>
    <w:basedOn w:val="24"/>
    <w:autoRedefine/>
    <w:qFormat/>
    <w:uiPriority w:val="21"/>
    <w:rPr>
      <w:b/>
      <w:i/>
      <w:sz w:val="24"/>
      <w:szCs w:val="24"/>
      <w:u w:val="single"/>
    </w:rPr>
  </w:style>
  <w:style w:type="character" w:customStyle="1" w:styleId="46">
    <w:name w:val="不明显参考1"/>
    <w:basedOn w:val="24"/>
    <w:autoRedefine/>
    <w:qFormat/>
    <w:uiPriority w:val="31"/>
    <w:rPr>
      <w:sz w:val="24"/>
      <w:szCs w:val="24"/>
      <w:u w:val="single"/>
    </w:rPr>
  </w:style>
  <w:style w:type="character" w:customStyle="1" w:styleId="47">
    <w:name w:val="明显参考1"/>
    <w:basedOn w:val="24"/>
    <w:autoRedefine/>
    <w:qFormat/>
    <w:uiPriority w:val="32"/>
    <w:rPr>
      <w:b/>
      <w:sz w:val="24"/>
      <w:u w:val="single"/>
    </w:rPr>
  </w:style>
  <w:style w:type="character" w:customStyle="1" w:styleId="48">
    <w:name w:val="书籍标题1"/>
    <w:basedOn w:val="24"/>
    <w:autoRedefine/>
    <w:qFormat/>
    <w:uiPriority w:val="33"/>
    <w:rPr>
      <w:rFonts w:asciiTheme="majorHAnsi" w:hAnsiTheme="majorHAnsi" w:eastAsiaTheme="majorEastAsia"/>
      <w:b/>
      <w:i/>
      <w:sz w:val="24"/>
      <w:szCs w:val="24"/>
    </w:rPr>
  </w:style>
  <w:style w:type="paragraph" w:customStyle="1" w:styleId="49">
    <w:name w:val="TOC 标题1"/>
    <w:basedOn w:val="3"/>
    <w:next w:val="1"/>
    <w:autoRedefine/>
    <w:semiHidden/>
    <w:unhideWhenUsed/>
    <w:qFormat/>
    <w:uiPriority w:val="39"/>
    <w:pPr>
      <w:outlineLvl w:val="9"/>
    </w:pPr>
    <w:rPr>
      <w:lang w:eastAsia="en-US" w:bidi="en-US"/>
    </w:rPr>
  </w:style>
  <w:style w:type="character" w:customStyle="1" w:styleId="50">
    <w:name w:val="页眉 字符"/>
    <w:basedOn w:val="24"/>
    <w:link w:val="17"/>
    <w:autoRedefine/>
    <w:qFormat/>
    <w:uiPriority w:val="99"/>
    <w:rPr>
      <w:rFonts w:ascii="Calibri" w:hAnsi="Calibri" w:eastAsia="宋体"/>
      <w:kern w:val="2"/>
      <w:sz w:val="18"/>
      <w:szCs w:val="18"/>
    </w:rPr>
  </w:style>
  <w:style w:type="character" w:customStyle="1" w:styleId="51">
    <w:name w:val="页脚 字符"/>
    <w:basedOn w:val="24"/>
    <w:link w:val="16"/>
    <w:autoRedefine/>
    <w:qFormat/>
    <w:uiPriority w:val="99"/>
    <w:rPr>
      <w:rFonts w:ascii="Calibri" w:hAnsi="Calibri" w:eastAsia="宋体"/>
      <w:kern w:val="2"/>
      <w:sz w:val="18"/>
      <w:szCs w:val="18"/>
    </w:rPr>
  </w:style>
  <w:style w:type="character" w:customStyle="1" w:styleId="52">
    <w:name w:val="批注框文本 字符"/>
    <w:basedOn w:val="24"/>
    <w:link w:val="15"/>
    <w:autoRedefine/>
    <w:semiHidden/>
    <w:qFormat/>
    <w:uiPriority w:val="99"/>
    <w:rPr>
      <w:rFonts w:ascii="Times New Roman" w:hAnsi="Times New Roman" w:eastAsia="宋体"/>
      <w:kern w:val="2"/>
      <w:sz w:val="18"/>
      <w:szCs w:val="18"/>
    </w:rPr>
  </w:style>
  <w:style w:type="paragraph" w:customStyle="1" w:styleId="53">
    <w:name w:val="Heading2"/>
    <w:next w:val="1"/>
    <w:autoRedefine/>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4">
    <w:name w:val="fontstyle01"/>
    <w:qFormat/>
    <w:uiPriority w:val="0"/>
    <w:rPr>
      <w:rFonts w:ascii="仿宋_GB2312" w:hAnsi="仿宋_GB2312" w:eastAsia="仿宋_GB2312" w:cs="仿宋_GB2312"/>
      <w:color w:val="000000"/>
      <w:sz w:val="32"/>
      <w:szCs w:val="32"/>
    </w:rPr>
  </w:style>
  <w:style w:type="paragraph" w:customStyle="1" w:styleId="55">
    <w:name w:val="闻政-正文段落文字"/>
    <w:basedOn w:val="1"/>
    <w:autoRedefine/>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10074</Words>
  <Characters>10586</Characters>
  <Lines>50</Lines>
  <Paragraphs>14</Paragraphs>
  <TotalTime>41</TotalTime>
  <ScaleCrop>false</ScaleCrop>
  <LinksUpToDate>false</LinksUpToDate>
  <CharactersWithSpaces>10616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2020-07-04T08:35:00Z</dcterms:created>
  <dc:creator>赵 恺（预算处）</dc:creator>
  <cp:lastModifiedBy>云底下的星星</cp:lastModifiedBy>
  <cp:lastPrinted>2019-12-31T08:02:00Z</cp:lastPrinted>
  <dcterms:modified xsi:type="dcterms:W3CDTF">2024-08-27T11:56:34Z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013360FACCE1418B80C968824022A9DF</vt:lpwstr>
  </property>
  <property fmtid="{D5CDD505-2E9C-101B-9397-08002B2CF9AE}" pid="4" name="KSOSaveFontToCloudKey">
    <vt:lpwstr>0_btnclosed</vt:lpwstr>
  </property>
</Properties>
</file>