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FBA6D">
      <w:pPr>
        <w:spacing w:line="540" w:lineRule="exact"/>
        <w:jc w:val="center"/>
        <w:rPr>
          <w:rFonts w:eastAsia="华文中宋"/>
          <w:b/>
          <w:kern w:val="0"/>
          <w:sz w:val="52"/>
          <w:szCs w:val="52"/>
        </w:rPr>
      </w:pPr>
    </w:p>
    <w:p w14:paraId="6EDD0A42">
      <w:pPr>
        <w:spacing w:line="540" w:lineRule="exact"/>
        <w:rPr>
          <w:rFonts w:eastAsia="华文中宋"/>
          <w:b/>
          <w:kern w:val="0"/>
          <w:sz w:val="52"/>
          <w:szCs w:val="52"/>
        </w:rPr>
      </w:pPr>
    </w:p>
    <w:p w14:paraId="05DE1F22">
      <w:pPr>
        <w:spacing w:line="540" w:lineRule="exact"/>
        <w:jc w:val="center"/>
        <w:rPr>
          <w:rFonts w:eastAsia="华文中宋"/>
          <w:b/>
          <w:kern w:val="0"/>
          <w:sz w:val="52"/>
          <w:szCs w:val="52"/>
        </w:rPr>
      </w:pPr>
    </w:p>
    <w:p w14:paraId="365888E5">
      <w:pPr>
        <w:spacing w:line="540" w:lineRule="exact"/>
        <w:jc w:val="center"/>
        <w:rPr>
          <w:rFonts w:eastAsia="华文中宋"/>
          <w:b/>
          <w:kern w:val="0"/>
          <w:sz w:val="52"/>
          <w:szCs w:val="52"/>
        </w:rPr>
      </w:pPr>
    </w:p>
    <w:p w14:paraId="44B36E72">
      <w:pPr>
        <w:spacing w:line="540" w:lineRule="exact"/>
        <w:jc w:val="center"/>
        <w:rPr>
          <w:rFonts w:eastAsia="方正小标宋_GBK"/>
          <w:kern w:val="0"/>
          <w:sz w:val="48"/>
          <w:szCs w:val="48"/>
        </w:rPr>
      </w:pPr>
      <w:r>
        <w:rPr>
          <w:rFonts w:hint="eastAsia" w:eastAsia="方正小标宋_GBK"/>
          <w:kern w:val="0"/>
          <w:sz w:val="48"/>
          <w:szCs w:val="48"/>
        </w:rPr>
        <w:t>自治区财政</w:t>
      </w:r>
      <w:r>
        <w:rPr>
          <w:rFonts w:eastAsia="方正小标宋_GBK"/>
          <w:kern w:val="0"/>
          <w:sz w:val="48"/>
          <w:szCs w:val="48"/>
        </w:rPr>
        <w:t>资金项目支出绩效评价</w:t>
      </w:r>
    </w:p>
    <w:p w14:paraId="01B9C8B5">
      <w:pPr>
        <w:spacing w:line="540" w:lineRule="exact"/>
        <w:jc w:val="center"/>
        <w:rPr>
          <w:rFonts w:eastAsia="方正小标宋_GBK"/>
          <w:kern w:val="0"/>
          <w:sz w:val="48"/>
          <w:szCs w:val="48"/>
        </w:rPr>
      </w:pPr>
      <w:r>
        <w:rPr>
          <w:rFonts w:eastAsia="方正小标宋_GBK"/>
          <w:kern w:val="0"/>
          <w:sz w:val="48"/>
          <w:szCs w:val="48"/>
        </w:rPr>
        <w:t>报告</w:t>
      </w:r>
    </w:p>
    <w:p w14:paraId="079326EE">
      <w:pPr>
        <w:spacing w:line="540" w:lineRule="exact"/>
        <w:jc w:val="center"/>
        <w:rPr>
          <w:rFonts w:eastAsia="华文中宋"/>
          <w:b/>
          <w:kern w:val="0"/>
          <w:sz w:val="52"/>
          <w:szCs w:val="52"/>
        </w:rPr>
      </w:pPr>
    </w:p>
    <w:p w14:paraId="0EB027F1">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7F777549">
      <w:pPr>
        <w:spacing w:line="540" w:lineRule="exact"/>
        <w:jc w:val="center"/>
        <w:rPr>
          <w:rFonts w:eastAsia="仿宋_GB2312"/>
          <w:kern w:val="0"/>
          <w:sz w:val="30"/>
          <w:szCs w:val="30"/>
        </w:rPr>
      </w:pPr>
    </w:p>
    <w:p w14:paraId="2D26C85F">
      <w:pPr>
        <w:spacing w:line="540" w:lineRule="exact"/>
        <w:jc w:val="center"/>
        <w:rPr>
          <w:rFonts w:eastAsia="仿宋_GB2312"/>
          <w:kern w:val="0"/>
          <w:sz w:val="30"/>
          <w:szCs w:val="30"/>
        </w:rPr>
      </w:pPr>
    </w:p>
    <w:p w14:paraId="614E0D2E">
      <w:pPr>
        <w:spacing w:line="540" w:lineRule="exact"/>
        <w:jc w:val="center"/>
        <w:rPr>
          <w:rFonts w:eastAsia="仿宋_GB2312"/>
          <w:kern w:val="0"/>
          <w:sz w:val="30"/>
          <w:szCs w:val="30"/>
        </w:rPr>
      </w:pPr>
    </w:p>
    <w:p w14:paraId="5DC7E6BF">
      <w:pPr>
        <w:pStyle w:val="9"/>
      </w:pPr>
    </w:p>
    <w:p w14:paraId="1CB0FD85">
      <w:pPr>
        <w:tabs>
          <w:tab w:val="left" w:pos="6315"/>
        </w:tabs>
        <w:spacing w:line="540" w:lineRule="exact"/>
        <w:jc w:val="left"/>
        <w:rPr>
          <w:rFonts w:eastAsia="仿宋_GB2312"/>
          <w:kern w:val="0"/>
          <w:sz w:val="30"/>
          <w:szCs w:val="30"/>
        </w:rPr>
      </w:pPr>
      <w:r>
        <w:rPr>
          <w:rFonts w:eastAsia="仿宋_GB2312"/>
          <w:kern w:val="0"/>
          <w:sz w:val="30"/>
          <w:szCs w:val="30"/>
        </w:rPr>
        <w:tab/>
      </w:r>
    </w:p>
    <w:p w14:paraId="3B8B5726">
      <w:pPr>
        <w:spacing w:line="540" w:lineRule="exact"/>
        <w:rPr>
          <w:rFonts w:eastAsia="仿宋_GB2312"/>
          <w:kern w:val="0"/>
          <w:sz w:val="30"/>
          <w:szCs w:val="30"/>
        </w:rPr>
      </w:pPr>
    </w:p>
    <w:p w14:paraId="7FE3685E">
      <w:pPr>
        <w:spacing w:line="700" w:lineRule="exact"/>
        <w:ind w:firstLine="720" w:firstLineChars="2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自治区生态环境厅机关服务中心</w:t>
      </w:r>
    </w:p>
    <w:p w14:paraId="5526BB25">
      <w:pPr>
        <w:spacing w:line="700" w:lineRule="exact"/>
        <w:ind w:firstLine="2520" w:firstLineChars="700"/>
        <w:jc w:val="left"/>
        <w:rPr>
          <w:rFonts w:eastAsia="仿宋_GB2312"/>
          <w:kern w:val="0"/>
          <w:sz w:val="36"/>
          <w:szCs w:val="36"/>
        </w:rPr>
      </w:pPr>
      <w:r>
        <w:rPr>
          <w:rFonts w:hint="eastAsia" w:eastAsia="仿宋_GB2312"/>
          <w:kern w:val="0"/>
          <w:sz w:val="36"/>
          <w:szCs w:val="36"/>
        </w:rPr>
        <w:t>运维保障经费</w:t>
      </w:r>
    </w:p>
    <w:p w14:paraId="72543E19">
      <w:pPr>
        <w:spacing w:line="700" w:lineRule="exact"/>
        <w:ind w:firstLine="720" w:firstLineChars="2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新疆维吾尔自治区生态</w:t>
      </w:r>
    </w:p>
    <w:p w14:paraId="173C6511">
      <w:pPr>
        <w:spacing w:line="700" w:lineRule="exact"/>
        <w:ind w:firstLine="3960" w:firstLineChars="1100"/>
        <w:jc w:val="left"/>
        <w:rPr>
          <w:rFonts w:eastAsia="仿宋_GB2312"/>
          <w:kern w:val="0"/>
          <w:sz w:val="36"/>
          <w:szCs w:val="36"/>
        </w:rPr>
      </w:pPr>
      <w:r>
        <w:rPr>
          <w:rFonts w:hint="eastAsia" w:eastAsia="仿宋_GB2312"/>
          <w:kern w:val="0"/>
          <w:sz w:val="36"/>
          <w:szCs w:val="36"/>
        </w:rPr>
        <w:t>环境厅机关服务中心</w:t>
      </w:r>
    </w:p>
    <w:p w14:paraId="4D1359D2">
      <w:pPr>
        <w:spacing w:line="700" w:lineRule="exact"/>
        <w:ind w:firstLine="720" w:firstLineChars="2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14:paraId="2511CD78">
      <w:pPr>
        <w:spacing w:line="700" w:lineRule="exact"/>
        <w:ind w:firstLine="720" w:firstLineChars="2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王瑜</w:t>
      </w:r>
    </w:p>
    <w:p w14:paraId="4A74FD5A">
      <w:pPr>
        <w:spacing w:line="700" w:lineRule="exact"/>
        <w:ind w:firstLine="720" w:firstLineChars="2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21</w:t>
      </w:r>
      <w:r>
        <w:rPr>
          <w:rFonts w:eastAsia="仿宋_GB2312"/>
          <w:kern w:val="0"/>
          <w:sz w:val="36"/>
          <w:szCs w:val="36"/>
        </w:rPr>
        <w:t>日</w:t>
      </w:r>
    </w:p>
    <w:p w14:paraId="5CD553AF">
      <w:pPr>
        <w:spacing w:line="540" w:lineRule="exact"/>
        <w:jc w:val="center"/>
        <w:rPr>
          <w:rFonts w:eastAsia="仿宋_GB2312"/>
          <w:kern w:val="0"/>
          <w:sz w:val="30"/>
          <w:szCs w:val="30"/>
        </w:rPr>
      </w:pPr>
    </w:p>
    <w:p w14:paraId="1A1BD4D4">
      <w:pPr>
        <w:spacing w:line="540" w:lineRule="exact"/>
        <w:rPr>
          <w:rStyle w:val="15"/>
          <w:rFonts w:eastAsia="黑体"/>
          <w:b w:val="0"/>
          <w:spacing w:val="-4"/>
          <w:sz w:val="32"/>
          <w:szCs w:val="32"/>
        </w:rPr>
      </w:pPr>
    </w:p>
    <w:p w14:paraId="4C6A1E3F">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3287FF5C">
      <w:pPr>
        <w:spacing w:line="560" w:lineRule="exact"/>
        <w:ind w:firstLine="640" w:firstLineChars="200"/>
        <w:rPr>
          <w:rFonts w:eastAsia="黑体"/>
          <w:bCs/>
          <w:sz w:val="32"/>
          <w:szCs w:val="32"/>
        </w:rPr>
      </w:pPr>
      <w:r>
        <w:rPr>
          <w:rFonts w:eastAsia="黑体"/>
          <w:bCs/>
          <w:sz w:val="32"/>
          <w:szCs w:val="32"/>
        </w:rPr>
        <w:t>一、基本情况</w:t>
      </w:r>
    </w:p>
    <w:p w14:paraId="6CAE5DF6">
      <w:pPr>
        <w:spacing w:line="560" w:lineRule="exact"/>
        <w:ind w:firstLine="643" w:firstLineChars="200"/>
        <w:rPr>
          <w:rFonts w:eastAsia="楷体_GB2312"/>
          <w:b/>
          <w:bCs/>
          <w:sz w:val="32"/>
          <w:szCs w:val="32"/>
        </w:rPr>
      </w:pPr>
      <w:r>
        <w:rPr>
          <w:rFonts w:eastAsia="楷体_GB2312"/>
          <w:b/>
          <w:bCs/>
          <w:sz w:val="32"/>
          <w:szCs w:val="32"/>
        </w:rPr>
        <w:t>（一）项目概况</w:t>
      </w:r>
    </w:p>
    <w:p w14:paraId="20194B40">
      <w:pPr>
        <w:spacing w:line="560" w:lineRule="exact"/>
        <w:ind w:firstLine="643" w:firstLineChars="200"/>
        <w:rPr>
          <w:rFonts w:eastAsia="仿宋_GB2312"/>
          <w:b/>
          <w:bCs/>
          <w:sz w:val="32"/>
          <w:szCs w:val="32"/>
        </w:rPr>
      </w:pPr>
      <w:r>
        <w:rPr>
          <w:rFonts w:eastAsia="仿宋_GB2312"/>
          <w:b/>
          <w:bCs/>
          <w:sz w:val="32"/>
          <w:szCs w:val="32"/>
        </w:rPr>
        <w:t>1、项目背景</w:t>
      </w:r>
    </w:p>
    <w:p w14:paraId="21B5046E">
      <w:pPr>
        <w:spacing w:line="560" w:lineRule="exact"/>
        <w:ind w:firstLine="640" w:firstLineChars="200"/>
        <w:rPr>
          <w:rStyle w:val="15"/>
          <w:rFonts w:eastAsia="黑体"/>
          <w:b w:val="0"/>
          <w:spacing w:val="-4"/>
          <w:sz w:val="32"/>
          <w:szCs w:val="32"/>
        </w:rPr>
      </w:pPr>
      <w:r>
        <w:rPr>
          <w:rFonts w:hint="eastAsia" w:ascii="仿宋_GB2312" w:hAnsi="仿宋_GB2312" w:eastAsia="仿宋_GB2312" w:cs="仿宋_GB2312"/>
          <w:sz w:val="32"/>
          <w:szCs w:val="32"/>
        </w:rPr>
        <w:t>本项目旨在承担自治区生态环境厅机关后勤事务工作，对办公楼及业务楼水电、房屋、电梯定期维修维护，改善办公环境规范办公秩序，加强公务用车运行调度，做好日常检测和维护，会务服务保障和接待等后勤服务工作。</w:t>
      </w:r>
    </w:p>
    <w:p w14:paraId="7CDEBF62">
      <w:pPr>
        <w:pStyle w:val="9"/>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07B6E441">
      <w:pPr>
        <w:spacing w:line="560" w:lineRule="exact"/>
        <w:ind w:firstLine="600" w:firstLineChars="200"/>
        <w:rPr>
          <w:rFonts w:eastAsia="黑体"/>
        </w:rPr>
      </w:pPr>
      <w:r>
        <w:rPr>
          <w:rFonts w:hint="eastAsia" w:ascii="仿宋_GB2312" w:hAnsi="仿宋_GB2312" w:eastAsia="仿宋_GB2312" w:cs="仿宋_GB2312"/>
          <w:sz w:val="30"/>
          <w:szCs w:val="30"/>
        </w:rPr>
        <w:t>项目主要内容：</w:t>
      </w:r>
      <w:r>
        <w:rPr>
          <w:rFonts w:hint="eastAsia" w:ascii="仿宋_GB2312" w:hAnsi="仿宋_GB2312" w:eastAsia="仿宋_GB2312" w:cs="仿宋_GB2312"/>
          <w:sz w:val="32"/>
          <w:szCs w:val="32"/>
        </w:rPr>
        <w:t>项目支出根据“部门职责-工作活动”确定，本项目主要承担生态环境厅机关后勤事务工作，对安保、卫生、会务、绿化等物业服务的监督管理，办公业务用房和办公家具的调配管理及维修维护，对办公业务楼水电、房屋、电梯定期维修维护。加强公务用车运行调度，日常检测和维护，会务服务保障和接待等后勤服务工作，动态管理实时掌握固定资产使用情况，及时进行账务核对和实物处理。</w:t>
      </w:r>
    </w:p>
    <w:p w14:paraId="792DBDBC">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7484DED">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611943A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4AA6ABC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该项目年初预算数140.69万元，全年预算数140.69万元，实际总投入140.69万元，该项目资金已全部落实到位，资金来源为自治区财政。</w:t>
      </w:r>
    </w:p>
    <w:p w14:paraId="69E1CD7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1FC48A90">
      <w:pPr>
        <w:pStyle w:val="9"/>
        <w:spacing w:before="0" w:after="0" w:line="600" w:lineRule="exact"/>
        <w:ind w:firstLine="640" w:firstLineChars="200"/>
        <w:jc w:val="both"/>
        <w:rPr>
          <w:rFonts w:ascii="仿宋_GB2312" w:hAnsi="仿宋_GB2312" w:eastAsia="仿宋_GB2312" w:cs="仿宋_GB2312"/>
        </w:rPr>
      </w:pPr>
      <w:r>
        <w:rPr>
          <w:rFonts w:hint="eastAsia" w:ascii="Times New Roman" w:hAnsi="Times New Roman" w:eastAsia="仿宋_GB2312"/>
          <w:b w:val="0"/>
          <w:bCs w:val="0"/>
          <w:kern w:val="2"/>
        </w:rPr>
        <w:t>该项目年初预算数140.69万元，全年预算数140.69万元，全年执行数139.79万元，预算执行率为99.36%，主要用于：</w:t>
      </w:r>
      <w:r>
        <w:rPr>
          <w:rFonts w:ascii="Times New Roman" w:hAnsi="Times New Roman" w:eastAsia="仿宋_GB2312"/>
          <w:b w:val="0"/>
          <w:bCs w:val="0"/>
          <w:kern w:val="2"/>
        </w:rPr>
        <w:t>支付项目实施进程中的各项费用。</w:t>
      </w:r>
    </w:p>
    <w:p w14:paraId="21D88779">
      <w:pPr>
        <w:spacing w:line="560" w:lineRule="exact"/>
        <w:ind w:firstLine="643" w:firstLineChars="200"/>
        <w:rPr>
          <w:rFonts w:eastAsia="楷体_GB2312"/>
          <w:b/>
          <w:bCs/>
          <w:sz w:val="32"/>
          <w:szCs w:val="32"/>
        </w:rPr>
      </w:pPr>
      <w:r>
        <w:rPr>
          <w:rFonts w:eastAsia="楷体_GB2312"/>
          <w:b/>
          <w:bCs/>
          <w:sz w:val="32"/>
          <w:szCs w:val="32"/>
        </w:rPr>
        <w:t>（二）项目绩效目标</w:t>
      </w:r>
    </w:p>
    <w:p w14:paraId="30EDE8D8">
      <w:pPr>
        <w:spacing w:line="560" w:lineRule="exact"/>
        <w:ind w:firstLine="640" w:firstLineChars="200"/>
        <w:rPr>
          <w:rFonts w:eastAsia="仿宋_GB2312"/>
          <w:sz w:val="32"/>
          <w:szCs w:val="32"/>
        </w:rPr>
      </w:pPr>
      <w:r>
        <w:rPr>
          <w:rFonts w:eastAsia="仿宋_GB2312"/>
          <w:sz w:val="32"/>
          <w:szCs w:val="32"/>
        </w:rPr>
        <w:t>1、总体目标</w:t>
      </w:r>
    </w:p>
    <w:p w14:paraId="2F56F5FB">
      <w:pPr>
        <w:spacing w:line="560" w:lineRule="exact"/>
        <w:ind w:firstLine="640" w:firstLineChars="200"/>
        <w:rPr>
          <w:rFonts w:eastAsia="仿宋_GB2312"/>
          <w:sz w:val="32"/>
          <w:szCs w:val="32"/>
        </w:rPr>
      </w:pPr>
      <w:r>
        <w:rPr>
          <w:rFonts w:hint="eastAsia" w:eastAsia="仿宋_GB2312"/>
          <w:sz w:val="32"/>
          <w:szCs w:val="32"/>
        </w:rPr>
        <w:t>承担生态环境厅机关后勤事务工作，加强对安保、卫生、会务、绿化等物业服务的监督管理。办公业务用房和办公家具的调配管理及维修维护，对办公业务楼水电、房屋、电梯定期维修维护，改善办公环境规范办公秩序。推进公共机构节能管理工作，对能源资源消耗进行分项计量、数据采集分析，降低机关运行成本。加强公务用车运行调度，做好日常检测和维护，会务服务保障和接待等后勤服务工作，树立机关公务车辆文明行车、遵纪守法的良好形象。努力探索控制后勤服务成本，节约财政开支，严格控制经费支出。开展固定资产清查工作，动态管理实时掌握固定资产使用情况，及时进行账务核对和实物处理。做好生态环境厅机关各项后勤服务保障工作，提高后勤保障能力，保障厅办公业务楼正常工作高效运转。</w:t>
      </w:r>
    </w:p>
    <w:p w14:paraId="0505D37F">
      <w:pPr>
        <w:spacing w:line="560" w:lineRule="exact"/>
        <w:ind w:firstLine="640" w:firstLineChars="200"/>
        <w:rPr>
          <w:rFonts w:ascii="仿宋_GB2312" w:hAnsi="仿宋_GB2312" w:eastAsia="仿宋_GB2312" w:cs="仿宋_GB2312"/>
          <w:color w:val="FF0000"/>
          <w:sz w:val="30"/>
          <w:szCs w:val="30"/>
        </w:rPr>
      </w:pPr>
      <w:r>
        <w:rPr>
          <w:rFonts w:hint="eastAsia" w:eastAsia="仿宋_GB2312"/>
          <w:sz w:val="32"/>
          <w:szCs w:val="32"/>
        </w:rPr>
        <w:t>2、</w:t>
      </w:r>
      <w:r>
        <w:rPr>
          <w:rFonts w:eastAsia="仿宋_GB2312"/>
          <w:sz w:val="32"/>
          <w:szCs w:val="32"/>
        </w:rPr>
        <w:t>阶段性目标</w:t>
      </w:r>
    </w:p>
    <w:p w14:paraId="5DF0C90A">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72F5512A">
      <w:pPr>
        <w:spacing w:line="600" w:lineRule="exact"/>
        <w:ind w:firstLine="640" w:firstLineChars="200"/>
        <w:rPr>
          <w:rFonts w:eastAsia="黑体"/>
          <w:bCs/>
        </w:rPr>
      </w:pPr>
      <w:r>
        <w:rPr>
          <w:rFonts w:eastAsia="仿宋_GB2312"/>
          <w:sz w:val="32"/>
          <w:szCs w:val="32"/>
        </w:rPr>
        <w:t>（2）组织实施：资金一到位，立即根据项目要求实施项目。项目责任人按照项目实施方案要求逐一进行项目部署安排，提高项目质量及效率性。</w:t>
      </w:r>
    </w:p>
    <w:p w14:paraId="1D916996">
      <w:pPr>
        <w:spacing w:line="560" w:lineRule="exact"/>
        <w:ind w:firstLine="640" w:firstLineChars="200"/>
        <w:rPr>
          <w:rFonts w:eastAsia="黑体"/>
          <w:sz w:val="32"/>
          <w:szCs w:val="32"/>
        </w:rPr>
      </w:pPr>
      <w:r>
        <w:rPr>
          <w:rFonts w:eastAsia="黑体"/>
          <w:sz w:val="32"/>
          <w:szCs w:val="32"/>
        </w:rPr>
        <w:t>二、绩效评价工作开展情况</w:t>
      </w:r>
    </w:p>
    <w:p w14:paraId="2593155A">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69501D17">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755E6D4A">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DAB9961">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3A355696">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71EECD05">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611602A">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47925DF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自治区生态环境厅机关服务中心运维保障项目所包含的全部项目内容。</w:t>
      </w:r>
    </w:p>
    <w:p w14:paraId="69FEF75A">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4844047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自治区生态环境厅机关服务中心运维保障经费项目进行评价，评价核心为专项资金的支出完成情况和效果。</w:t>
      </w:r>
    </w:p>
    <w:p w14:paraId="5813F9B8">
      <w:pPr>
        <w:spacing w:line="560" w:lineRule="exact"/>
        <w:ind w:firstLine="643" w:firstLineChars="200"/>
      </w:pPr>
      <w:r>
        <w:rPr>
          <w:rFonts w:eastAsia="楷体_GB2312"/>
          <w:b/>
          <w:bCs/>
          <w:sz w:val="32"/>
          <w:szCs w:val="32"/>
        </w:rPr>
        <w:t>（二）绩效评价原则、评价指标体系（详情见表1）、评价方法、评价标准。</w:t>
      </w:r>
    </w:p>
    <w:p w14:paraId="2857FF99">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0C77E99A">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022DACB8">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7755CC47">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74F64399">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B3E00B6">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44B8410D">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06DD970E">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755C9A8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42DE389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20AF39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0832C98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4BDC564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541A631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F4D3BDF">
      <w:pPr>
        <w:pStyle w:val="9"/>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A943424">
      <w:pPr>
        <w:pStyle w:val="9"/>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027961B7">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5DF0FCE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14:paraId="585BB2DB">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574A6F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387664D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45C4FBC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7EC2AE5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56CF4EDF">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5F06937E">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绩效评价标准通常包括计划标准、行业标准、历史标准等，用于对绩效指标完成情况进行比较、分析、评价。本次评价主要采用了计划标准和历史标准。</w:t>
      </w:r>
    </w:p>
    <w:p w14:paraId="7579B8A1">
      <w:pPr>
        <w:spacing w:line="560" w:lineRule="exact"/>
        <w:ind w:firstLine="708" w:firstLineChars="200"/>
        <w:rPr>
          <w:rFonts w:eastAsia="仿宋_GB2312"/>
          <w:color w:val="000000"/>
          <w:spacing w:val="17"/>
          <w:sz w:val="32"/>
          <w:szCs w:val="32"/>
        </w:rPr>
      </w:pPr>
      <w:bookmarkStart w:id="0" w:name="_Toc17882"/>
      <w:bookmarkStart w:id="1" w:name="_Toc31464"/>
      <w:r>
        <w:rPr>
          <w:rFonts w:hint="eastAsia" w:eastAsia="仿宋_GB2312"/>
          <w:color w:val="000000"/>
          <w:spacing w:val="17"/>
          <w:sz w:val="32"/>
          <w:szCs w:val="32"/>
        </w:rPr>
        <w:t>计划标准：指以预先制定的目标、计划、预算、定额等作为评价标准。</w:t>
      </w:r>
      <w:bookmarkEnd w:id="0"/>
      <w:bookmarkEnd w:id="1"/>
    </w:p>
    <w:p w14:paraId="127EA757">
      <w:pPr>
        <w:spacing w:line="560" w:lineRule="exact"/>
        <w:ind w:firstLine="708" w:firstLineChars="200"/>
        <w:rPr>
          <w:rFonts w:eastAsia="仿宋_GB2312"/>
          <w:color w:val="000000"/>
          <w:spacing w:val="17"/>
          <w:sz w:val="32"/>
          <w:szCs w:val="32"/>
        </w:rPr>
      </w:pPr>
      <w:bookmarkStart w:id="2" w:name="_Toc2318"/>
      <w:bookmarkStart w:id="3" w:name="_Toc5633"/>
      <w:r>
        <w:rPr>
          <w:rFonts w:hint="eastAsia" w:eastAsia="仿宋_GB2312"/>
          <w:color w:val="000000"/>
          <w:spacing w:val="17"/>
          <w:sz w:val="32"/>
          <w:szCs w:val="32"/>
        </w:rPr>
        <w:t>行业标准：指参照国家公布的行业指标数据制定的评价标准。</w:t>
      </w:r>
      <w:bookmarkEnd w:id="2"/>
      <w:bookmarkEnd w:id="3"/>
    </w:p>
    <w:p w14:paraId="063B3B75">
      <w:pPr>
        <w:spacing w:line="560" w:lineRule="exact"/>
        <w:ind w:firstLine="708" w:firstLineChars="200"/>
        <w:rPr>
          <w:rFonts w:eastAsia="仿宋_GB2312"/>
          <w:color w:val="000000"/>
          <w:spacing w:val="17"/>
          <w:sz w:val="32"/>
          <w:szCs w:val="32"/>
        </w:rPr>
      </w:pPr>
      <w:bookmarkStart w:id="4" w:name="_Toc16028"/>
      <w:bookmarkStart w:id="5"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14:paraId="07F54620">
      <w:pPr>
        <w:pStyle w:val="9"/>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090BD278">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1E0C72D5">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1BAC2D95">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DB9111E">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470B4FC0">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3893A160">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B09EA30">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67D77BA8">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color w:val="000000" w:themeColor="text1"/>
        </w:rPr>
        <w:t>99.97</w:t>
      </w:r>
      <w:r>
        <w:rPr>
          <w:rFonts w:hint="eastAsia" w:ascii="Times New Roman" w:hAnsi="Times New Roman" w:eastAsia="仿宋_GB2312"/>
          <w:b w:val="0"/>
          <w:bCs w:val="0"/>
        </w:rPr>
        <w:t>分，属于“优”。其中，项目决策类指标权重为20分，得分为20分，得分率为100%。项目过程类指标权重为20分，得分为19.97分，得分率为99.85%。项目产出类指标权重为40分，得分为40分，得分率为100%。项目效益类指标权重为20分，得分为20分，得分率为100%。具体打分情况详见：附件1综合评分表。</w:t>
      </w:r>
    </w:p>
    <w:p w14:paraId="6D2FF28F">
      <w:pPr>
        <w:pStyle w:val="9"/>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C3C828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66A766E">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BB93073">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87C2DF6">
            <w:pPr>
              <w:jc w:val="center"/>
              <w:rPr>
                <w:b/>
                <w:bCs/>
                <w:color w:val="000000"/>
                <w:sz w:val="22"/>
              </w:rPr>
            </w:pPr>
            <w:r>
              <w:rPr>
                <w:rFonts w:hint="eastAsia"/>
                <w:b/>
                <w:bCs/>
                <w:color w:val="000000"/>
                <w:sz w:val="22"/>
              </w:rPr>
              <w:t>得分</w:t>
            </w:r>
          </w:p>
        </w:tc>
      </w:tr>
      <w:tr w14:paraId="6E6759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BBAA06">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2BD22763">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CA06CC5">
            <w:pPr>
              <w:jc w:val="center"/>
              <w:rPr>
                <w:color w:val="000000"/>
                <w:sz w:val="22"/>
              </w:rPr>
            </w:pPr>
            <w:r>
              <w:rPr>
                <w:rFonts w:hint="eastAsia"/>
                <w:color w:val="000000"/>
                <w:sz w:val="22"/>
              </w:rPr>
              <w:t>20</w:t>
            </w:r>
          </w:p>
        </w:tc>
      </w:tr>
      <w:tr w14:paraId="27478BC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6BA493">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2AF4E0B">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54DF9D3">
            <w:pPr>
              <w:jc w:val="center"/>
              <w:rPr>
                <w:color w:val="000000"/>
                <w:sz w:val="22"/>
              </w:rPr>
            </w:pPr>
            <w:r>
              <w:rPr>
                <w:rFonts w:hint="eastAsia"/>
                <w:color w:val="000000"/>
                <w:sz w:val="22"/>
              </w:rPr>
              <w:t>19.97</w:t>
            </w:r>
          </w:p>
        </w:tc>
      </w:tr>
      <w:tr w14:paraId="68C2DAE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C1E92A">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7D247F6">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20B61C92">
            <w:pPr>
              <w:jc w:val="center"/>
              <w:rPr>
                <w:color w:val="000000"/>
                <w:sz w:val="22"/>
              </w:rPr>
            </w:pPr>
            <w:r>
              <w:rPr>
                <w:rFonts w:hint="eastAsia"/>
                <w:color w:val="000000"/>
                <w:sz w:val="22"/>
              </w:rPr>
              <w:t>40</w:t>
            </w:r>
          </w:p>
        </w:tc>
      </w:tr>
      <w:tr w14:paraId="1C1B3E7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6C6F65">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EE1B72B">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BB31FE1">
            <w:pPr>
              <w:jc w:val="center"/>
              <w:rPr>
                <w:color w:val="000000"/>
                <w:sz w:val="22"/>
              </w:rPr>
            </w:pPr>
            <w:r>
              <w:rPr>
                <w:rFonts w:hint="eastAsia"/>
                <w:color w:val="000000"/>
                <w:sz w:val="22"/>
              </w:rPr>
              <w:t>20</w:t>
            </w:r>
          </w:p>
        </w:tc>
      </w:tr>
      <w:tr w14:paraId="32800E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2CA502">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31247E6">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37296326">
            <w:pPr>
              <w:jc w:val="center"/>
              <w:rPr>
                <w:b/>
                <w:bCs/>
                <w:color w:val="000000"/>
                <w:sz w:val="22"/>
              </w:rPr>
            </w:pPr>
            <w:r>
              <w:rPr>
                <w:rFonts w:hint="eastAsia"/>
                <w:b/>
                <w:bCs/>
                <w:color w:val="000000"/>
                <w:sz w:val="22"/>
              </w:rPr>
              <w:t>99.97</w:t>
            </w:r>
          </w:p>
        </w:tc>
      </w:tr>
    </w:tbl>
    <w:p w14:paraId="4BCFEEBD">
      <w:pPr>
        <w:spacing w:line="560" w:lineRule="exact"/>
        <w:ind w:firstLine="640" w:firstLineChars="200"/>
        <w:rPr>
          <w:rFonts w:eastAsia="黑体"/>
          <w:sz w:val="32"/>
          <w:szCs w:val="32"/>
        </w:rPr>
      </w:pPr>
      <w:r>
        <w:rPr>
          <w:rFonts w:eastAsia="黑体"/>
          <w:sz w:val="32"/>
          <w:szCs w:val="32"/>
        </w:rPr>
        <w:t>四、绩效评价指标分析</w:t>
      </w:r>
    </w:p>
    <w:p w14:paraId="39BBBCA5">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27B000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项目决策类指标包括项目立项、绩效目标和资金投入三方面的内容，由9个三级指标构成，权重分值为20分，实际得分20分，得分率为100%。</w:t>
      </w:r>
    </w:p>
    <w:p w14:paraId="1E6CE002">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19E6405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D50682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AC8D08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29767DD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14:paraId="7571BCBB">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44D5EAB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404F5DB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4F5DA8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4C74A3A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16B321B9">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2CF8AD2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72115CC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1EE28A7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43610B4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351F451C">
      <w:pPr>
        <w:pStyle w:val="9"/>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6B38334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项目过程类指标包括资金管理和组织实施两方面的内容，由3个三级指标构成，权重分值为20分，实际得分19.97分，得分率为99.85%。</w:t>
      </w:r>
    </w:p>
    <w:p w14:paraId="4A830A1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8698FA4">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0479ADB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5D85830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本项目总投资140.69万元，财政资金及时足额到位，到位率100%，预算资金按计划进度执行。</w:t>
      </w:r>
    </w:p>
    <w:p w14:paraId="21EF572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4D8F331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预算编制较为详细，项目资金支出总体能够按照预算执行，预算资金支出139.79万元，预算执行率为99.36%。</w:t>
      </w:r>
    </w:p>
    <w:p w14:paraId="4DC4057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0F9CDE7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5EA98C3">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32FFC79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6C79D76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B1B6C7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5AEFE35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60AD684F">
      <w:pPr>
        <w:pStyle w:val="11"/>
        <w:numPr>
          <w:ilvl w:val="0"/>
          <w:numId w:val="5"/>
        </w:numPr>
        <w:spacing w:line="560" w:lineRule="exact"/>
        <w:ind w:firstLine="640"/>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0F74A6D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项目产出类指标包括产出数量、产出质量、产出时效、产出成本四方面的内容，由7个三级指标构成，权重分为40分，实际得分40分，得分率为100%。具体产出指标完成情况如下：</w:t>
      </w:r>
    </w:p>
    <w:p w14:paraId="375E1B1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106C56B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指标1：厅办公业务楼物业面积，指标值：&gt;=10240.11平方米，实际完成值：10240.11平方米，指标完成率100%。</w:t>
      </w:r>
    </w:p>
    <w:p w14:paraId="24589EA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049011C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指标1：政府采购率，指标值：100%，实际完成值：97.3% ，指标完成率97.3%。偏差原因：车辆财险预算未完成部分。</w:t>
      </w:r>
    </w:p>
    <w:p w14:paraId="3FB29D5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指标2：机关办公后勤服务达标率，指标值：&gt;=95%，实际完成值：95%。，指标完成率100%。</w:t>
      </w:r>
    </w:p>
    <w:p w14:paraId="16C2879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67E6A5D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服务及时率，指标值：&gt;=95%，实际完成值：95%，指标完成率100%。</w:t>
      </w:r>
    </w:p>
    <w:p w14:paraId="0188F3D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2A64A13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指标1：厅办公业务楼物业管理费，指标值：&lt;=39.88万元，实际完成值：39.79万元，指标完成率99.77%，偏差率0.23%，偏差原因：物业合同金额小于预算金额，未执行部分已退回财政。</w:t>
      </w:r>
    </w:p>
    <w:p w14:paraId="3912159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指标2：后勤事务保障费用，指标值：&lt;=96.36万元，实际完成值95.67万元，指标完成率99.28%，偏差率0.72%，偏差原因：其他资金预算0.69万元未使用。</w:t>
      </w:r>
    </w:p>
    <w:p w14:paraId="01B95F0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指标3：政府采购费用，指标值：&lt;=4.45万元，实际完成值4.33万元，指标完成率97.30%，偏差率2.70%，偏差原因：车辆财险预算未执行部分退回财政。</w:t>
      </w:r>
    </w:p>
    <w:p w14:paraId="7588F68F">
      <w:pPr>
        <w:pStyle w:val="11"/>
        <w:numPr>
          <w:ilvl w:val="0"/>
          <w:numId w:val="5"/>
        </w:numPr>
        <w:spacing w:line="560" w:lineRule="exact"/>
        <w:ind w:firstLine="640"/>
        <w:rPr>
          <w:rFonts w:eastAsia="楷体_GB2312"/>
          <w:b/>
          <w:bCs/>
          <w:sz w:val="32"/>
          <w:szCs w:val="32"/>
        </w:rPr>
      </w:pPr>
      <w:r>
        <w:rPr>
          <w:rFonts w:hint="eastAsia" w:eastAsia="楷体_GB2312"/>
          <w:b/>
          <w:bCs/>
          <w:sz w:val="32"/>
          <w:szCs w:val="32"/>
        </w:rPr>
        <w:t>项目效益情况</w:t>
      </w:r>
    </w:p>
    <w:p w14:paraId="62EB9CB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14:paraId="59F7FBC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14:paraId="6CCCC91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社会效益指标：保障工作环境安全，指标值：及时排除安全隐患，实际完成值及时排除安全隐患，指标完成率100%。</w:t>
      </w:r>
    </w:p>
    <w:p w14:paraId="1FDEC757">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14:paraId="2EA2B9C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满意度指标：干部职工对后勤保障服务满意度，指标值：&gt;=95%，实际完成值：95%，指标完成率100%。</w:t>
      </w:r>
    </w:p>
    <w:p w14:paraId="26771939">
      <w:pPr>
        <w:spacing w:line="560" w:lineRule="exact"/>
        <w:ind w:firstLine="640" w:firstLineChars="200"/>
        <w:rPr>
          <w:rFonts w:eastAsia="黑体"/>
          <w:sz w:val="32"/>
          <w:szCs w:val="32"/>
        </w:rPr>
      </w:pPr>
      <w:r>
        <w:rPr>
          <w:rFonts w:hint="eastAsia" w:eastAsia="黑体"/>
          <w:sz w:val="32"/>
          <w:szCs w:val="32"/>
        </w:rPr>
        <w:t>五、预算执行进度与绩效指标总体完成率偏差</w:t>
      </w:r>
    </w:p>
    <w:p w14:paraId="4D00AF3E">
      <w:pPr>
        <w:pStyle w:val="18"/>
        <w:spacing w:line="560" w:lineRule="exact"/>
        <w:ind w:firstLine="64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自治区生态环境厅机关服务中心运维保障经费项目年初预算140.69万元，全年预算140.69万元，实际支出139.79万元，预算执行率为99.36%，项目绩效指标总体完成率为99.60%，总体偏差率为0.24%,偏差原因：项目成本指标中物业合同金额小于预算金额未执行部分退回财政，其他资金预算未使用，车辆财险预算未执行部分退回财政，改进措施：今后加强预算准确性。</w:t>
      </w:r>
    </w:p>
    <w:p w14:paraId="37DF1E56">
      <w:pPr>
        <w:spacing w:line="560" w:lineRule="exact"/>
        <w:ind w:firstLine="640" w:firstLineChars="200"/>
        <w:rPr>
          <w:rStyle w:val="17"/>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14:paraId="751A1D83">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2FC367F0">
      <w:pPr>
        <w:snapToGrid w:val="0"/>
        <w:spacing w:line="520" w:lineRule="exact"/>
        <w:ind w:firstLine="640" w:firstLineChars="200"/>
        <w:rPr>
          <w:rFonts w:eastAsia="仿宋_GB2312"/>
        </w:rPr>
      </w:pPr>
      <w:r>
        <w:rPr>
          <w:rFonts w:hint="eastAsia" w:ascii="仿宋_GB2312" w:hAnsi="仿宋" w:eastAsia="仿宋_GB2312"/>
          <w:sz w:val="32"/>
          <w:szCs w:val="32"/>
        </w:rPr>
        <w:t>贯彻落实党中央关于生态环境保护工作的方针政策和决策部署以及自治区党委工作要求，以改善生态环境质量为核心，依法推动公共机构节能工作，强化节能目标责任，切实发挥公共机构在节约能源资源方面的示范引领作用。项目落实了各项机关后勤保障服务，保证机关服务中心各项日常工作正常开展。职工食堂运转率100%，能够准时准点保质保量提高合理搭配的营养餐食。物业方面也能及时良好的提供各项相关服务。</w:t>
      </w:r>
    </w:p>
    <w:p w14:paraId="7FAAF65B">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3571606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一是按照行政事业单位预算执行年度的收支状况确定考核指标，这种方法不能反映出每个预算周期内预算资金的运行轨迹及其变化规律，也无法准确地衡量其真实水平。</w:t>
      </w:r>
    </w:p>
    <w:p w14:paraId="1E4B958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二是没有形成统一的绩效管理机构或工作职责未明确到人。</w:t>
      </w:r>
    </w:p>
    <w:p w14:paraId="5D4A1D8B">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14:paraId="608325D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一是进一步健全和完善财务管理制度及内部控制制度，创新管理手段，用新思路、新方法，改进完善财务管理方法。</w:t>
      </w:r>
    </w:p>
    <w:p w14:paraId="2A74B14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二是按照财政支出绩效管理的要求，建立科学的财政资金效益考评制度体系，不断提高财政资金使用管理的水平和效率。</w:t>
      </w:r>
    </w:p>
    <w:p w14:paraId="24402AD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三是为确保项目实施符合预期要求，建议领导牵头，分解细化各项任务目标，责任落实到人。</w:t>
      </w:r>
    </w:p>
    <w:p w14:paraId="10EA711F">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6" w:name="page8"/>
      <w:bookmarkEnd w:id="6"/>
      <w:r>
        <w:rPr>
          <w:rFonts w:eastAsia="黑体"/>
          <w:sz w:val="32"/>
          <w:szCs w:val="32"/>
        </w:rPr>
        <w:t>明的问题</w:t>
      </w:r>
    </w:p>
    <w:p w14:paraId="3C7FA925">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14:paraId="05432C0C">
      <w:pPr>
        <w:pStyle w:val="12"/>
        <w:spacing w:after="0" w:line="560" w:lineRule="exact"/>
        <w:ind w:left="0" w:leftChars="0" w:firstLine="640"/>
        <w:rPr>
          <w:rFonts w:ascii="仿宋_GB2312" w:hAnsi="仿宋_GB2312" w:eastAsia="仿宋_GB2312" w:cs="仿宋_GB2312"/>
          <w:sz w:val="32"/>
          <w:szCs w:val="32"/>
        </w:rPr>
      </w:pPr>
    </w:p>
    <w:p w14:paraId="5C6FDBF6">
      <w:pPr>
        <w:pStyle w:val="12"/>
        <w:spacing w:after="0" w:line="560" w:lineRule="exact"/>
        <w:ind w:left="0" w:leftChars="0" w:firstLine="640"/>
        <w:rPr>
          <w:rFonts w:ascii="仿宋_GB2312" w:hAnsi="仿宋_GB2312" w:eastAsia="仿宋_GB2312" w:cs="仿宋_GB2312"/>
          <w:sz w:val="32"/>
          <w:szCs w:val="32"/>
        </w:rPr>
      </w:pPr>
    </w:p>
    <w:p w14:paraId="0063F5CC">
      <w:pPr>
        <w:pStyle w:val="12"/>
        <w:spacing w:after="0" w:line="560" w:lineRule="exact"/>
        <w:ind w:left="0" w:leftChars="0" w:firstLine="0" w:firstLineChars="0"/>
        <w:rPr>
          <w:rFonts w:ascii="仿宋_GB2312" w:hAnsi="仿宋_GB2312" w:eastAsia="仿宋_GB2312" w:cs="仿宋_GB2312"/>
          <w:sz w:val="32"/>
          <w:szCs w:val="32"/>
        </w:rPr>
      </w:pPr>
    </w:p>
    <w:p w14:paraId="1C2ECDE5">
      <w:pPr>
        <w:widowControl/>
        <w:jc w:val="center"/>
        <w:textAlignment w:val="center"/>
        <w:rPr>
          <w:rFonts w:eastAsia="方正小标宋简体"/>
          <w:b/>
          <w:kern w:val="0"/>
          <w:sz w:val="32"/>
          <w:szCs w:val="32"/>
        </w:rPr>
        <w:sectPr>
          <w:pgSz w:w="11906" w:h="16838"/>
          <w:pgMar w:top="1440" w:right="1558" w:bottom="1440" w:left="1800" w:header="851" w:footer="992" w:gutter="0"/>
          <w:cols w:space="425" w:num="1"/>
          <w:docGrid w:type="lines" w:linePitch="312" w:charSpace="0"/>
        </w:sectPr>
      </w:pPr>
    </w:p>
    <w:tbl>
      <w:tblPr>
        <w:tblStyle w:val="13"/>
        <w:tblW w:w="15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8"/>
        <w:gridCol w:w="550"/>
        <w:gridCol w:w="1040"/>
        <w:gridCol w:w="2265"/>
        <w:gridCol w:w="771"/>
        <w:gridCol w:w="1333"/>
        <w:gridCol w:w="1044"/>
        <w:gridCol w:w="759"/>
        <w:gridCol w:w="634"/>
        <w:gridCol w:w="640"/>
        <w:gridCol w:w="710"/>
        <w:gridCol w:w="1665"/>
        <w:gridCol w:w="979"/>
        <w:gridCol w:w="2242"/>
      </w:tblGrid>
      <w:tr w14:paraId="25E06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jc w:val="center"/>
        </w:trPr>
        <w:tc>
          <w:tcPr>
            <w:tcW w:w="15020" w:type="dxa"/>
            <w:gridSpan w:val="14"/>
            <w:tcBorders>
              <w:top w:val="nil"/>
              <w:left w:val="nil"/>
              <w:bottom w:val="nil"/>
              <w:right w:val="nil"/>
            </w:tcBorders>
            <w:shd w:val="clear" w:color="auto" w:fill="auto"/>
            <w:vAlign w:val="center"/>
          </w:tcPr>
          <w:p w14:paraId="1152404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F4A4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15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5AC6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14:paraId="1AA59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81D2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40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1B76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新疆维吾尔自治区生态环境厅机关服务中心运维保障项目</w:t>
            </w:r>
          </w:p>
        </w:tc>
      </w:tr>
      <w:tr w14:paraId="55574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1D07E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64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E7B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07CB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62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631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新疆维吾尔自治区生态环境厅机关服务中心</w:t>
            </w:r>
          </w:p>
        </w:tc>
      </w:tr>
      <w:tr w14:paraId="1B964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jc w:val="center"/>
        </w:trPr>
        <w:tc>
          <w:tcPr>
            <w:tcW w:w="9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BEF4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2AF25">
            <w:pPr>
              <w:jc w:val="center"/>
              <w:rPr>
                <w:rFonts w:hint="eastAsia" w:ascii="宋体" w:hAnsi="宋体" w:eastAsia="宋体" w:cs="宋体"/>
                <w:b/>
                <w:bCs/>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F07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84EA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B7B8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4458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9EF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C72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1C93E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05E8C">
            <w:pPr>
              <w:jc w:val="center"/>
              <w:rPr>
                <w:rFonts w:hint="eastAsia" w:ascii="宋体" w:hAnsi="宋体" w:eastAsia="宋体" w:cs="宋体"/>
                <w:b/>
                <w:bCs/>
                <w:i w:val="0"/>
                <w:iCs w:val="0"/>
                <w:color w:val="000000"/>
                <w:sz w:val="18"/>
                <w:szCs w:val="18"/>
                <w:u w:val="none"/>
              </w:rPr>
            </w:pP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FCF6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5F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140.69</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CE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140.69</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C1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139.79</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DBD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C3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99.36%</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F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w:t>
            </w:r>
          </w:p>
        </w:tc>
      </w:tr>
      <w:tr w14:paraId="77F66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806CF">
            <w:pPr>
              <w:jc w:val="center"/>
              <w:rPr>
                <w:rFonts w:hint="eastAsia" w:ascii="宋体" w:hAnsi="宋体" w:eastAsia="宋体" w:cs="宋体"/>
                <w:b/>
                <w:bCs/>
                <w:i w:val="0"/>
                <w:iCs w:val="0"/>
                <w:color w:val="000000"/>
                <w:sz w:val="18"/>
                <w:szCs w:val="18"/>
                <w:u w:val="none"/>
              </w:rPr>
            </w:pP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59ECD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77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140.00 </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47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140.00 </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F4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139.79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111B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8D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99.85%</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AD9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02F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F377F">
            <w:pPr>
              <w:jc w:val="center"/>
              <w:rPr>
                <w:rFonts w:hint="eastAsia" w:ascii="宋体" w:hAnsi="宋体" w:eastAsia="宋体" w:cs="宋体"/>
                <w:b/>
                <w:bCs/>
                <w:i w:val="0"/>
                <w:iCs w:val="0"/>
                <w:color w:val="000000"/>
                <w:sz w:val="18"/>
                <w:szCs w:val="18"/>
                <w:u w:val="none"/>
              </w:rPr>
            </w:pP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6090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36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417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A4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14D280">
            <w:pPr>
              <w:jc w:val="center"/>
              <w:rPr>
                <w:rFonts w:hint="eastAsia" w:ascii="宋体" w:hAnsi="宋体" w:eastAsia="宋体" w:cs="宋体"/>
                <w:i w:val="0"/>
                <w:iCs w:val="0"/>
                <w:color w:val="000000"/>
                <w:sz w:val="18"/>
                <w:szCs w:val="18"/>
                <w:u w:val="none"/>
              </w:rPr>
            </w:pP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D1D0C">
            <w:pPr>
              <w:jc w:val="center"/>
              <w:rPr>
                <w:rFonts w:hint="eastAsia" w:ascii="宋体" w:hAnsi="宋体" w:eastAsia="宋体" w:cs="宋体"/>
                <w:i w:val="0"/>
                <w:iCs w:val="0"/>
                <w:color w:val="000000"/>
                <w:sz w:val="18"/>
                <w:szCs w:val="18"/>
                <w:u w:val="none"/>
              </w:rPr>
            </w:pP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D58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02A4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A028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70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EE4676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6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69C6A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43699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5"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053A8">
            <w:pPr>
              <w:jc w:val="center"/>
              <w:rPr>
                <w:rFonts w:hint="eastAsia" w:ascii="宋体" w:hAnsi="宋体" w:eastAsia="宋体" w:cs="宋体"/>
                <w:b/>
                <w:bCs/>
                <w:i w:val="0"/>
                <w:iCs w:val="0"/>
                <w:color w:val="000000"/>
                <w:sz w:val="18"/>
                <w:szCs w:val="18"/>
                <w:u w:val="none"/>
              </w:rPr>
            </w:pPr>
          </w:p>
        </w:tc>
        <w:tc>
          <w:tcPr>
            <w:tcW w:w="70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4502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度项目支出绩效目标：为做好生态环境厅机关各项后勤服务保障工作，提高后勤保障能力，优化机关职工生活福利，完成各项相关接待任务，按时足额发放劳务费，保障劳务人员工资收入、社会保障费用，凝聚人心，激发劳务人员爱岗敬业积极工作热情，保障厅机关正常工作高效运转。</w:t>
            </w:r>
          </w:p>
        </w:tc>
        <w:tc>
          <w:tcPr>
            <w:tcW w:w="76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51FF2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高效完成机关服务中心各项后勤保障工作任务，保障机关服务中心工作经费，提高后勤保障能力。保障办公区域10240.11平方米的取暖面积、水电及物业管理费29.64万元，按时足额保障各项服务人员经费，凝聚人心，激发职工爱岗敬业积极工作热情，提高厅机关后勤服务工作效率，保障中心各项工作高效运转。</w:t>
            </w:r>
          </w:p>
        </w:tc>
      </w:tr>
      <w:tr w14:paraId="4546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5199A">
            <w:pPr>
              <w:jc w:val="center"/>
              <w:rPr>
                <w:rFonts w:hint="eastAsia" w:ascii="宋体" w:hAnsi="宋体" w:eastAsia="宋体" w:cs="宋体"/>
                <w:i w:val="0"/>
                <w:iCs w:val="0"/>
                <w:color w:val="000000"/>
                <w:sz w:val="18"/>
                <w:szCs w:val="18"/>
                <w:u w:val="none"/>
              </w:rPr>
            </w:pP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DC236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8BE3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2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D688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0638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3F4DC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D0F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02CC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2DF7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A482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17D0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1493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9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3A92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22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4982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42DED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5"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E9FCB">
            <w:pPr>
              <w:jc w:val="center"/>
              <w:rPr>
                <w:rFonts w:hint="eastAsia" w:ascii="宋体" w:hAnsi="宋体" w:eastAsia="宋体" w:cs="宋体"/>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FD2DA">
            <w:pPr>
              <w:jc w:val="center"/>
              <w:rPr>
                <w:rFonts w:hint="eastAsia" w:ascii="宋体" w:hAnsi="宋体" w:eastAsia="宋体" w:cs="宋体"/>
                <w:b/>
                <w:bCs/>
                <w:i w:val="0"/>
                <w:iCs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EE1339">
            <w:pPr>
              <w:jc w:val="center"/>
              <w:rPr>
                <w:rFonts w:hint="eastAsia" w:ascii="宋体" w:hAnsi="宋体" w:eastAsia="宋体" w:cs="宋体"/>
                <w:b/>
                <w:bCs/>
                <w:i w:val="0"/>
                <w:iCs w:val="0"/>
                <w:color w:val="000000"/>
                <w:sz w:val="18"/>
                <w:szCs w:val="18"/>
                <w:u w:val="none"/>
              </w:rPr>
            </w:pPr>
          </w:p>
        </w:tc>
        <w:tc>
          <w:tcPr>
            <w:tcW w:w="2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FB76D">
            <w:pPr>
              <w:jc w:val="center"/>
              <w:rPr>
                <w:rFonts w:hint="eastAsia" w:ascii="宋体" w:hAnsi="宋体" w:eastAsia="宋体" w:cs="宋体"/>
                <w:b/>
                <w:bCs/>
                <w:i w:val="0"/>
                <w:iCs w:val="0"/>
                <w:color w:val="000000"/>
                <w:sz w:val="18"/>
                <w:szCs w:val="18"/>
                <w:u w:val="none"/>
              </w:rPr>
            </w:pP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7A975">
            <w:pPr>
              <w:jc w:val="center"/>
              <w:rPr>
                <w:rFonts w:hint="eastAsia" w:ascii="宋体" w:hAnsi="宋体" w:eastAsia="宋体" w:cs="宋体"/>
                <w:b/>
                <w:bCs/>
                <w:i w:val="0"/>
                <w:iCs w:val="0"/>
                <w:color w:val="000000"/>
                <w:sz w:val="18"/>
                <w:szCs w:val="18"/>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84ED7">
            <w:pPr>
              <w:jc w:val="center"/>
              <w:rPr>
                <w:rFonts w:hint="eastAsia" w:ascii="宋体" w:hAnsi="宋体" w:eastAsia="宋体" w:cs="宋体"/>
                <w:b/>
                <w:bCs/>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AA5DE">
            <w:pPr>
              <w:jc w:val="center"/>
              <w:rPr>
                <w:rFonts w:hint="eastAsia" w:ascii="宋体" w:hAnsi="宋体" w:eastAsia="宋体" w:cs="宋体"/>
                <w:b/>
                <w:bCs/>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F898C4">
            <w:pPr>
              <w:jc w:val="center"/>
              <w:rPr>
                <w:rFonts w:hint="eastAsia" w:ascii="宋体" w:hAnsi="宋体" w:eastAsia="宋体" w:cs="宋体"/>
                <w:b/>
                <w:bCs/>
                <w:i w:val="0"/>
                <w:iCs w:val="0"/>
                <w:color w:val="000000"/>
                <w:sz w:val="18"/>
                <w:szCs w:val="18"/>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3810C">
            <w:pPr>
              <w:jc w:val="center"/>
              <w:rPr>
                <w:rFonts w:hint="eastAsia" w:ascii="宋体" w:hAnsi="宋体" w:eastAsia="宋体" w:cs="宋体"/>
                <w:b/>
                <w:bCs/>
                <w:i w:val="0"/>
                <w:iCs w:val="0"/>
                <w:color w:val="000000"/>
                <w:sz w:val="18"/>
                <w:szCs w:val="18"/>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E18A2">
            <w:pPr>
              <w:jc w:val="center"/>
              <w:rPr>
                <w:rFonts w:hint="eastAsia" w:ascii="宋体" w:hAnsi="宋体" w:eastAsia="宋体" w:cs="宋体"/>
                <w:b/>
                <w:bCs/>
                <w:i w:val="0"/>
                <w:iCs w:val="0"/>
                <w:color w:val="000000"/>
                <w:sz w:val="18"/>
                <w:szCs w:val="18"/>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3C345">
            <w:pPr>
              <w:jc w:val="center"/>
              <w:rPr>
                <w:rFonts w:hint="eastAsia" w:ascii="宋体" w:hAnsi="宋体" w:eastAsia="宋体" w:cs="宋体"/>
                <w:b/>
                <w:bCs/>
                <w:i w:val="0"/>
                <w:iCs w:val="0"/>
                <w:color w:val="000000"/>
                <w:sz w:val="18"/>
                <w:szCs w:val="18"/>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3B9AA">
            <w:pPr>
              <w:jc w:val="center"/>
              <w:rPr>
                <w:rFonts w:hint="eastAsia" w:ascii="宋体" w:hAnsi="宋体" w:eastAsia="宋体" w:cs="宋体"/>
                <w:b/>
                <w:bCs/>
                <w:i w:val="0"/>
                <w:iCs w:val="0"/>
                <w:color w:val="000000"/>
                <w:sz w:val="18"/>
                <w:szCs w:val="18"/>
                <w:u w:val="none"/>
              </w:rPr>
            </w:pPr>
          </w:p>
        </w:tc>
        <w:tc>
          <w:tcPr>
            <w:tcW w:w="9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F5C85">
            <w:pPr>
              <w:jc w:val="center"/>
              <w:rPr>
                <w:rFonts w:hint="eastAsia" w:ascii="宋体" w:hAnsi="宋体" w:eastAsia="宋体" w:cs="宋体"/>
                <w:b/>
                <w:bCs/>
                <w:i w:val="0"/>
                <w:iCs w:val="0"/>
                <w:color w:val="000000"/>
                <w:sz w:val="18"/>
                <w:szCs w:val="18"/>
                <w:u w:val="none"/>
              </w:rPr>
            </w:pPr>
          </w:p>
        </w:tc>
        <w:tc>
          <w:tcPr>
            <w:tcW w:w="2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96C12">
            <w:pPr>
              <w:jc w:val="center"/>
              <w:rPr>
                <w:rFonts w:hint="eastAsia" w:ascii="宋体" w:hAnsi="宋体" w:eastAsia="宋体" w:cs="宋体"/>
                <w:b/>
                <w:bCs/>
                <w:i w:val="0"/>
                <w:iCs w:val="0"/>
                <w:color w:val="000000"/>
                <w:sz w:val="18"/>
                <w:szCs w:val="18"/>
                <w:u w:val="none"/>
              </w:rPr>
            </w:pPr>
          </w:p>
        </w:tc>
      </w:tr>
      <w:tr w14:paraId="1AB9D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jc w:val="center"/>
        </w:trPr>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935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B68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E7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D5A4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厅办公业务楼物业面积</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E2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57B6FF4">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≥10240.11平方米</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D7A1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≥10240.11平方米</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70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75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BF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C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6B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6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77293">
            <w:pPr>
              <w:jc w:val="center"/>
              <w:rPr>
                <w:rFonts w:hint="eastAsia" w:ascii="宋体" w:hAnsi="宋体" w:eastAsia="宋体" w:cs="宋体"/>
                <w:i w:val="0"/>
                <w:iCs w:val="0"/>
                <w:color w:val="000000"/>
                <w:sz w:val="18"/>
                <w:szCs w:val="18"/>
                <w:u w:val="none"/>
              </w:rPr>
            </w:pPr>
          </w:p>
        </w:tc>
      </w:tr>
      <w:tr w14:paraId="1A153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7851A">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D9EB7">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C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77B7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政府采购率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5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auto" w:sz="4" w:space="0"/>
              <w:left w:val="nil"/>
              <w:bottom w:val="nil"/>
              <w:right w:val="nil"/>
            </w:tcBorders>
            <w:shd w:val="clear" w:color="auto" w:fill="auto"/>
            <w:noWrap/>
            <w:vAlign w:val="center"/>
          </w:tcPr>
          <w:p w14:paraId="1273B1F4">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2CEF">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6B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9D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52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C3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66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B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25E89">
            <w:pPr>
              <w:jc w:val="center"/>
              <w:rPr>
                <w:rFonts w:hint="eastAsia" w:ascii="宋体" w:hAnsi="宋体" w:eastAsia="宋体" w:cs="宋体"/>
                <w:i w:val="0"/>
                <w:iCs w:val="0"/>
                <w:color w:val="000000"/>
                <w:sz w:val="18"/>
                <w:szCs w:val="18"/>
                <w:u w:val="none"/>
              </w:rPr>
            </w:pPr>
          </w:p>
        </w:tc>
      </w:tr>
      <w:tr w14:paraId="3BADA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9"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19192">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8B705">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9F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058A5">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机关办公后勤服务达标率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80F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022B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6A406">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E2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E9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E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9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A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50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6E0C">
            <w:pPr>
              <w:jc w:val="center"/>
              <w:rPr>
                <w:rFonts w:hint="eastAsia" w:ascii="宋体" w:hAnsi="宋体" w:eastAsia="宋体" w:cs="宋体"/>
                <w:i w:val="0"/>
                <w:iCs w:val="0"/>
                <w:color w:val="000000"/>
                <w:sz w:val="18"/>
                <w:szCs w:val="18"/>
                <w:u w:val="none"/>
              </w:rPr>
            </w:pPr>
          </w:p>
        </w:tc>
      </w:tr>
      <w:tr w14:paraId="19A90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153D6">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B001E">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8D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5EC5C">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服务及时率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B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nil"/>
              <w:left w:val="nil"/>
              <w:bottom w:val="nil"/>
              <w:right w:val="nil"/>
            </w:tcBorders>
            <w:shd w:val="clear" w:color="auto" w:fill="auto"/>
            <w:noWrap/>
            <w:vAlign w:val="center"/>
          </w:tcPr>
          <w:p w14:paraId="2FE68CFD">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CD10">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32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B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C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9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47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6ED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DA196">
            <w:pPr>
              <w:jc w:val="center"/>
              <w:rPr>
                <w:rFonts w:hint="eastAsia" w:ascii="宋体" w:hAnsi="宋体" w:eastAsia="宋体" w:cs="宋体"/>
                <w:i w:val="0"/>
                <w:iCs w:val="0"/>
                <w:color w:val="000000"/>
                <w:sz w:val="18"/>
                <w:szCs w:val="18"/>
                <w:u w:val="none"/>
              </w:rPr>
            </w:pPr>
          </w:p>
        </w:tc>
      </w:tr>
      <w:tr w14:paraId="72723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1DC97">
            <w:pPr>
              <w:jc w:val="center"/>
              <w:rPr>
                <w:rFonts w:hint="eastAsia" w:ascii="宋体" w:hAnsi="宋体" w:eastAsia="宋体" w:cs="宋体"/>
                <w:b/>
                <w:bCs/>
                <w:i w:val="0"/>
                <w:iCs w:val="0"/>
                <w:color w:val="000000"/>
                <w:sz w:val="18"/>
                <w:szCs w:val="18"/>
                <w:u w:val="none"/>
              </w:rPr>
            </w:pP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A414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3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358A9">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厅办公业务楼物业管理费</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A0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6.67</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85BE2">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≤39.88万元</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10C6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39.79万元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1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99.77%</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E0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6.65</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4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6D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46.88万元</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2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3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32A4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物业合同金额小于预算金额，未执行部分已退回财政，今后加强预算准确性</w:t>
            </w:r>
          </w:p>
        </w:tc>
      </w:tr>
      <w:tr w14:paraId="31A1A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CBEEC">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6180F">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04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8BE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后勤事务保障费用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C7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6.67</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50FFF">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≤96.36万元</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385C1">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95.67万元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5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99.28%</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1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9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D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93.12万元</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3F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25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C5091">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其他资金预算未使用，今后加强预算准确性</w:t>
            </w:r>
          </w:p>
        </w:tc>
      </w:tr>
      <w:tr w14:paraId="55E5C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35A03">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B15F6">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32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15FB">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政府采购费用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48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6.66</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8396">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≤4.45万元</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951D7">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5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A09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D4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B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A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15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8F38C">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车辆财险预算未执行部分退回财政，今后加强预算准确性</w:t>
            </w:r>
          </w:p>
        </w:tc>
      </w:tr>
      <w:tr w14:paraId="09AE2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4"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AD055">
            <w:pPr>
              <w:jc w:val="center"/>
              <w:rPr>
                <w:rFonts w:hint="eastAsia" w:ascii="宋体" w:hAnsi="宋体" w:eastAsia="宋体" w:cs="宋体"/>
                <w:b/>
                <w:bCs/>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2A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3F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65" w:type="dxa"/>
            <w:tcBorders>
              <w:top w:val="nil"/>
              <w:left w:val="nil"/>
              <w:bottom w:val="nil"/>
              <w:right w:val="nil"/>
            </w:tcBorders>
            <w:shd w:val="clear" w:color="auto" w:fill="auto"/>
            <w:noWrap/>
            <w:vAlign w:val="center"/>
          </w:tcPr>
          <w:p w14:paraId="4FE92C65">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保障工作环境安全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C0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33" w:type="dxa"/>
            <w:tcBorders>
              <w:top w:val="nil"/>
              <w:left w:val="nil"/>
              <w:bottom w:val="nil"/>
              <w:right w:val="nil"/>
            </w:tcBorders>
            <w:shd w:val="clear" w:color="auto" w:fill="auto"/>
            <w:noWrap/>
            <w:vAlign w:val="center"/>
          </w:tcPr>
          <w:p w14:paraId="6F14AD3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及时排除安全隐患</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9C9A7">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及时排除安全隐患</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DE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DC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01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A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8F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5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DE4D5">
            <w:pPr>
              <w:jc w:val="center"/>
              <w:rPr>
                <w:rFonts w:hint="eastAsia" w:ascii="宋体" w:hAnsi="宋体" w:eastAsia="宋体" w:cs="宋体"/>
                <w:i w:val="0"/>
                <w:iCs w:val="0"/>
                <w:color w:val="000000"/>
                <w:sz w:val="18"/>
                <w:szCs w:val="18"/>
                <w:u w:val="none"/>
              </w:rPr>
            </w:pPr>
          </w:p>
        </w:tc>
      </w:tr>
      <w:tr w14:paraId="53BA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5" w:hRule="atLeast"/>
          <w:jc w:val="center"/>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3FAAA">
            <w:pPr>
              <w:jc w:val="center"/>
              <w:rPr>
                <w:rFonts w:hint="eastAsia" w:ascii="宋体" w:hAnsi="宋体" w:eastAsia="宋体" w:cs="宋体"/>
                <w:b/>
                <w:bCs/>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78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D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DA9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干部职工对后勤保障服务满意度</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6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E305">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7561D">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76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06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6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0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63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9E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9E740">
            <w:pPr>
              <w:jc w:val="center"/>
              <w:rPr>
                <w:rFonts w:hint="eastAsia" w:ascii="宋体" w:hAnsi="宋体" w:eastAsia="宋体" w:cs="宋体"/>
                <w:i w:val="0"/>
                <w:iCs w:val="0"/>
                <w:color w:val="000000"/>
                <w:sz w:val="18"/>
                <w:szCs w:val="18"/>
                <w:u w:val="none"/>
              </w:rPr>
            </w:pPr>
          </w:p>
        </w:tc>
      </w:tr>
      <w:tr w14:paraId="47638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jc w:val="center"/>
        </w:trPr>
        <w:tc>
          <w:tcPr>
            <w:tcW w:w="4243" w:type="dxa"/>
            <w:gridSpan w:val="4"/>
            <w:tcBorders>
              <w:top w:val="single" w:color="000000" w:sz="4" w:space="0"/>
              <w:left w:val="single" w:color="000000" w:sz="4" w:space="0"/>
              <w:bottom w:val="single" w:color="000000" w:sz="4" w:space="0"/>
              <w:right w:val="nil"/>
            </w:tcBorders>
            <w:shd w:val="clear" w:color="auto" w:fill="auto"/>
            <w:vAlign w:val="center"/>
          </w:tcPr>
          <w:p w14:paraId="63617DE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B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33" w:type="dxa"/>
            <w:tcBorders>
              <w:top w:val="single" w:color="000000" w:sz="4" w:space="0"/>
              <w:left w:val="nil"/>
              <w:bottom w:val="single" w:color="000000" w:sz="4" w:space="0"/>
              <w:right w:val="single" w:color="000000" w:sz="4" w:space="0"/>
            </w:tcBorders>
            <w:shd w:val="clear" w:color="auto" w:fill="auto"/>
            <w:vAlign w:val="center"/>
          </w:tcPr>
          <w:p w14:paraId="73D480A0">
            <w:pPr>
              <w:rPr>
                <w:rFonts w:hint="eastAsia" w:ascii="宋体" w:hAnsi="宋体" w:eastAsia="宋体" w:cs="宋体"/>
                <w:b/>
                <w:bCs/>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1C12">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1E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99.59%</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78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99.69</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69628">
            <w:pP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E327">
            <w:pPr>
              <w:rPr>
                <w:rFonts w:hint="eastAsia" w:ascii="宋体" w:hAnsi="宋体" w:eastAsia="宋体" w:cs="宋体"/>
                <w:i w:val="0"/>
                <w:iCs w:val="0"/>
                <w:color w:val="000000"/>
                <w:sz w:val="18"/>
                <w:szCs w:val="18"/>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8A423">
            <w:pPr>
              <w:rPr>
                <w:rFonts w:hint="eastAsia" w:ascii="宋体" w:hAnsi="宋体" w:eastAsia="宋体" w:cs="宋体"/>
                <w:i w:val="0"/>
                <w:iCs w:val="0"/>
                <w:color w:val="000000"/>
                <w:sz w:val="18"/>
                <w:szCs w:val="18"/>
                <w:u w:val="none"/>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10227">
            <w:pPr>
              <w:rPr>
                <w:rFonts w:hint="eastAsia" w:ascii="宋体" w:hAnsi="宋体" w:eastAsia="宋体" w:cs="宋体"/>
                <w:i w:val="0"/>
                <w:iCs w:val="0"/>
                <w:color w:val="000000"/>
                <w:sz w:val="18"/>
                <w:szCs w:val="18"/>
                <w:u w:val="none"/>
              </w:rPr>
            </w:pP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9E30">
            <w:pPr>
              <w:rPr>
                <w:rFonts w:hint="eastAsia" w:ascii="宋体" w:hAnsi="宋体" w:eastAsia="宋体" w:cs="宋体"/>
                <w:i w:val="0"/>
                <w:iCs w:val="0"/>
                <w:color w:val="000000"/>
                <w:sz w:val="18"/>
                <w:szCs w:val="18"/>
                <w:u w:val="none"/>
              </w:rPr>
            </w:pPr>
          </w:p>
        </w:tc>
      </w:tr>
    </w:tbl>
    <w:p w14:paraId="12A73AFA">
      <w:pPr>
        <w:spacing w:line="600" w:lineRule="exact"/>
        <w:rPr>
          <w:rFonts w:hint="eastAsia" w:ascii="黑体" w:hAnsi="黑体" w:eastAsia="黑体" w:cs="黑体"/>
          <w:bCs/>
          <w:sz w:val="32"/>
          <w:szCs w:val="32"/>
        </w:rPr>
        <w:sectPr>
          <w:pgSz w:w="16838" w:h="11906" w:orient="landscape"/>
          <w:pgMar w:top="1800" w:right="1440" w:bottom="1558" w:left="1440" w:header="851" w:footer="992" w:gutter="0"/>
          <w:cols w:space="425" w:num="1"/>
          <w:docGrid w:type="lines" w:linePitch="312" w:charSpace="0"/>
        </w:sectPr>
      </w:pPr>
    </w:p>
    <w:p w14:paraId="243475D7">
      <w:pPr>
        <w:spacing w:line="600" w:lineRule="exact"/>
        <w:rPr>
          <w:rFonts w:ascii="黑体" w:hAnsi="黑体" w:eastAsia="黑体" w:cs="黑体"/>
        </w:rPr>
      </w:pPr>
      <w:r>
        <w:rPr>
          <w:rFonts w:hint="eastAsia" w:ascii="黑体" w:hAnsi="黑体" w:eastAsia="黑体" w:cs="黑体"/>
          <w:bCs/>
          <w:sz w:val="32"/>
          <w:szCs w:val="32"/>
        </w:rPr>
        <w:t>附件1</w:t>
      </w:r>
    </w:p>
    <w:p w14:paraId="46F5A59C">
      <w:pPr>
        <w:pStyle w:val="18"/>
        <w:ind w:firstLine="562"/>
        <w:jc w:val="center"/>
        <w:rPr>
          <w:sz w:val="28"/>
          <w:szCs w:val="40"/>
        </w:rPr>
      </w:pPr>
      <w:bookmarkStart w:id="7" w:name="_Toc26499_WPSOffice_Level2"/>
      <w:bookmarkStart w:id="8" w:name="_Toc30064_WPSOffice_Level1"/>
      <w:r>
        <w:rPr>
          <w:rFonts w:hint="eastAsia"/>
          <w:b/>
          <w:bCs/>
          <w:sz w:val="28"/>
          <w:szCs w:val="40"/>
        </w:rPr>
        <w:t>自治区生态环境厅机关服务中心运维保障经费项目绩效评价指标体系及综合评分表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5FCCE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7C576745">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14:paraId="752CC933">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25446AF4">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0DD973BC">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14:paraId="10C017EC">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5F206BCE">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4DFE9930">
            <w:pPr>
              <w:widowControl/>
              <w:spacing w:line="0" w:lineRule="atLeast"/>
              <w:jc w:val="center"/>
              <w:rPr>
                <w:b/>
                <w:bCs/>
                <w:color w:val="000000"/>
                <w:kern w:val="0"/>
                <w:sz w:val="22"/>
                <w:szCs w:val="22"/>
              </w:rPr>
            </w:pPr>
            <w:r>
              <w:rPr>
                <w:b/>
                <w:bCs/>
                <w:color w:val="000000"/>
                <w:kern w:val="0"/>
                <w:sz w:val="22"/>
                <w:szCs w:val="22"/>
              </w:rPr>
              <w:t>得分</w:t>
            </w:r>
          </w:p>
        </w:tc>
      </w:tr>
      <w:tr w14:paraId="61503C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0C529A2E">
            <w:pPr>
              <w:widowControl/>
              <w:spacing w:line="0" w:lineRule="atLeast"/>
              <w:jc w:val="center"/>
              <w:rPr>
                <w:color w:val="000000"/>
                <w:kern w:val="0"/>
                <w:sz w:val="22"/>
                <w:szCs w:val="22"/>
              </w:rPr>
            </w:pPr>
          </w:p>
          <w:p w14:paraId="0AA0279C">
            <w:pPr>
              <w:widowControl/>
              <w:spacing w:line="0" w:lineRule="atLeast"/>
              <w:jc w:val="center"/>
              <w:rPr>
                <w:color w:val="000000"/>
                <w:kern w:val="0"/>
                <w:sz w:val="22"/>
                <w:szCs w:val="22"/>
              </w:rPr>
            </w:pPr>
          </w:p>
          <w:p w14:paraId="0F84B0B9">
            <w:pPr>
              <w:widowControl/>
              <w:spacing w:line="0" w:lineRule="atLeast"/>
              <w:jc w:val="center"/>
              <w:rPr>
                <w:color w:val="000000"/>
                <w:kern w:val="0"/>
                <w:sz w:val="22"/>
                <w:szCs w:val="22"/>
              </w:rPr>
            </w:pPr>
          </w:p>
          <w:p w14:paraId="56AAEBC7">
            <w:pPr>
              <w:widowControl/>
              <w:spacing w:line="0" w:lineRule="atLeast"/>
              <w:jc w:val="center"/>
              <w:rPr>
                <w:color w:val="000000"/>
                <w:kern w:val="0"/>
                <w:sz w:val="22"/>
                <w:szCs w:val="22"/>
              </w:rPr>
            </w:pPr>
          </w:p>
          <w:p w14:paraId="459D046E">
            <w:pPr>
              <w:widowControl/>
              <w:spacing w:line="0" w:lineRule="atLeast"/>
              <w:jc w:val="center"/>
              <w:rPr>
                <w:color w:val="000000"/>
                <w:kern w:val="0"/>
                <w:sz w:val="22"/>
                <w:szCs w:val="22"/>
              </w:rPr>
            </w:pPr>
          </w:p>
          <w:p w14:paraId="58195E4C">
            <w:pPr>
              <w:widowControl/>
              <w:spacing w:line="0" w:lineRule="atLeast"/>
              <w:jc w:val="center"/>
              <w:rPr>
                <w:color w:val="000000"/>
                <w:kern w:val="0"/>
                <w:sz w:val="22"/>
                <w:szCs w:val="22"/>
              </w:rPr>
            </w:pPr>
          </w:p>
          <w:p w14:paraId="388B126B">
            <w:pPr>
              <w:widowControl/>
              <w:spacing w:line="0" w:lineRule="atLeast"/>
              <w:jc w:val="center"/>
              <w:rPr>
                <w:color w:val="000000"/>
                <w:kern w:val="0"/>
                <w:sz w:val="22"/>
                <w:szCs w:val="22"/>
              </w:rPr>
            </w:pPr>
            <w:r>
              <w:rPr>
                <w:color w:val="000000"/>
                <w:kern w:val="0"/>
                <w:sz w:val="22"/>
                <w:szCs w:val="22"/>
              </w:rPr>
              <w:t>决策　</w:t>
            </w:r>
          </w:p>
        </w:tc>
        <w:tc>
          <w:tcPr>
            <w:tcW w:w="301" w:type="pct"/>
            <w:vMerge w:val="restart"/>
            <w:shd w:val="clear" w:color="auto" w:fill="FFFFFF"/>
            <w:vAlign w:val="center"/>
          </w:tcPr>
          <w:p w14:paraId="2A053468">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36821DE2">
            <w:pPr>
              <w:widowControl/>
              <w:spacing w:line="0" w:lineRule="atLeast"/>
              <w:jc w:val="center"/>
              <w:rPr>
                <w:color w:val="000000"/>
                <w:kern w:val="0"/>
                <w:sz w:val="22"/>
                <w:szCs w:val="22"/>
              </w:rPr>
            </w:pPr>
            <w:r>
              <w:rPr>
                <w:color w:val="000000"/>
                <w:kern w:val="0"/>
                <w:sz w:val="22"/>
                <w:szCs w:val="22"/>
              </w:rPr>
              <w:t>立项依据</w:t>
            </w:r>
          </w:p>
          <w:p w14:paraId="17C22E3C">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0345874C">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2E337A37">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30A37C8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132E71BA">
            <w:pPr>
              <w:widowControl/>
              <w:spacing w:line="0" w:lineRule="atLeast"/>
              <w:jc w:val="center"/>
              <w:rPr>
                <w:b/>
                <w:bCs/>
                <w:color w:val="000000"/>
                <w:kern w:val="0"/>
                <w:sz w:val="22"/>
                <w:szCs w:val="22"/>
              </w:rPr>
            </w:pPr>
            <w:r>
              <w:rPr>
                <w:rFonts w:hint="eastAsia"/>
                <w:b/>
                <w:bCs/>
                <w:color w:val="000000"/>
                <w:kern w:val="0"/>
                <w:sz w:val="22"/>
                <w:szCs w:val="22"/>
              </w:rPr>
              <w:t>3</w:t>
            </w:r>
          </w:p>
        </w:tc>
      </w:tr>
      <w:tr w14:paraId="4843C0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5EFA03EB">
            <w:pPr>
              <w:spacing w:line="0" w:lineRule="atLeast"/>
              <w:jc w:val="center"/>
              <w:rPr>
                <w:color w:val="000000"/>
                <w:kern w:val="0"/>
                <w:sz w:val="22"/>
                <w:szCs w:val="22"/>
              </w:rPr>
            </w:pPr>
          </w:p>
        </w:tc>
        <w:tc>
          <w:tcPr>
            <w:tcW w:w="301" w:type="pct"/>
            <w:vMerge w:val="continue"/>
            <w:shd w:val="clear" w:color="auto" w:fill="FFFFFF"/>
            <w:vAlign w:val="center"/>
          </w:tcPr>
          <w:p w14:paraId="1834F2C7">
            <w:pPr>
              <w:widowControl/>
              <w:spacing w:line="0" w:lineRule="atLeast"/>
              <w:jc w:val="center"/>
              <w:rPr>
                <w:color w:val="000000"/>
                <w:kern w:val="0"/>
                <w:sz w:val="22"/>
                <w:szCs w:val="22"/>
              </w:rPr>
            </w:pPr>
          </w:p>
        </w:tc>
        <w:tc>
          <w:tcPr>
            <w:tcW w:w="344" w:type="pct"/>
            <w:shd w:val="clear" w:color="auto" w:fill="FFFFFF"/>
            <w:vAlign w:val="center"/>
          </w:tcPr>
          <w:p w14:paraId="42FC672B">
            <w:pPr>
              <w:widowControl/>
              <w:spacing w:line="0" w:lineRule="atLeast"/>
              <w:jc w:val="center"/>
              <w:rPr>
                <w:color w:val="000000"/>
                <w:kern w:val="0"/>
                <w:sz w:val="22"/>
                <w:szCs w:val="22"/>
              </w:rPr>
            </w:pPr>
            <w:r>
              <w:rPr>
                <w:color w:val="000000"/>
                <w:kern w:val="0"/>
                <w:sz w:val="22"/>
                <w:szCs w:val="22"/>
              </w:rPr>
              <w:t>立项程序</w:t>
            </w:r>
          </w:p>
          <w:p w14:paraId="7F7FC499">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5DC5B084">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13A15767">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04CF6B80">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6590293F">
            <w:pPr>
              <w:widowControl/>
              <w:spacing w:line="0" w:lineRule="atLeast"/>
              <w:jc w:val="center"/>
              <w:rPr>
                <w:b/>
                <w:bCs/>
                <w:color w:val="000000"/>
                <w:kern w:val="0"/>
                <w:sz w:val="22"/>
                <w:szCs w:val="22"/>
              </w:rPr>
            </w:pPr>
            <w:r>
              <w:rPr>
                <w:rFonts w:hint="eastAsia"/>
                <w:b/>
                <w:bCs/>
                <w:color w:val="000000"/>
                <w:kern w:val="0"/>
                <w:sz w:val="22"/>
                <w:szCs w:val="22"/>
              </w:rPr>
              <w:t>3</w:t>
            </w:r>
          </w:p>
        </w:tc>
      </w:tr>
      <w:tr w14:paraId="69F63B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0515E142">
            <w:pPr>
              <w:spacing w:line="0" w:lineRule="atLeast"/>
              <w:jc w:val="center"/>
              <w:rPr>
                <w:color w:val="000000"/>
                <w:kern w:val="0"/>
                <w:sz w:val="22"/>
                <w:szCs w:val="22"/>
              </w:rPr>
            </w:pPr>
          </w:p>
        </w:tc>
        <w:tc>
          <w:tcPr>
            <w:tcW w:w="301" w:type="pct"/>
            <w:vMerge w:val="restart"/>
            <w:shd w:val="clear" w:color="auto" w:fill="FFFFFF"/>
            <w:vAlign w:val="center"/>
          </w:tcPr>
          <w:p w14:paraId="2649C235">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3375CD58">
            <w:pPr>
              <w:widowControl/>
              <w:spacing w:line="0" w:lineRule="atLeast"/>
              <w:jc w:val="center"/>
              <w:rPr>
                <w:color w:val="000000"/>
                <w:kern w:val="0"/>
                <w:sz w:val="22"/>
                <w:szCs w:val="22"/>
              </w:rPr>
            </w:pPr>
            <w:r>
              <w:rPr>
                <w:color w:val="000000"/>
                <w:kern w:val="0"/>
                <w:sz w:val="22"/>
                <w:szCs w:val="22"/>
              </w:rPr>
              <w:t>绩效目标</w:t>
            </w:r>
          </w:p>
          <w:p w14:paraId="44681962">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6AFFB14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584C9EF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09FE7205">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6617ABC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590FA0F7">
            <w:pPr>
              <w:widowControl/>
              <w:spacing w:line="0" w:lineRule="atLeast"/>
              <w:jc w:val="center"/>
              <w:rPr>
                <w:b/>
                <w:bCs/>
                <w:color w:val="000000"/>
                <w:kern w:val="0"/>
                <w:sz w:val="22"/>
                <w:szCs w:val="22"/>
              </w:rPr>
            </w:pPr>
            <w:r>
              <w:rPr>
                <w:rFonts w:hint="eastAsia"/>
                <w:b/>
                <w:bCs/>
                <w:color w:val="000000"/>
                <w:kern w:val="0"/>
                <w:sz w:val="22"/>
                <w:szCs w:val="22"/>
              </w:rPr>
              <w:t>3</w:t>
            </w:r>
          </w:p>
        </w:tc>
      </w:tr>
      <w:tr w14:paraId="7C103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5905808D">
            <w:pPr>
              <w:widowControl/>
              <w:spacing w:line="0" w:lineRule="atLeast"/>
              <w:jc w:val="center"/>
              <w:rPr>
                <w:color w:val="000000"/>
                <w:kern w:val="0"/>
                <w:sz w:val="22"/>
                <w:szCs w:val="22"/>
              </w:rPr>
            </w:pPr>
          </w:p>
        </w:tc>
        <w:tc>
          <w:tcPr>
            <w:tcW w:w="301" w:type="pct"/>
            <w:vMerge w:val="continue"/>
            <w:shd w:val="clear" w:color="auto" w:fill="FFFFFF"/>
            <w:vAlign w:val="center"/>
          </w:tcPr>
          <w:p w14:paraId="6E3EBA06">
            <w:pPr>
              <w:widowControl/>
              <w:spacing w:line="0" w:lineRule="atLeast"/>
              <w:jc w:val="center"/>
              <w:rPr>
                <w:color w:val="000000"/>
                <w:kern w:val="0"/>
                <w:sz w:val="22"/>
                <w:szCs w:val="22"/>
              </w:rPr>
            </w:pPr>
          </w:p>
        </w:tc>
        <w:tc>
          <w:tcPr>
            <w:tcW w:w="344" w:type="pct"/>
            <w:shd w:val="clear" w:color="auto" w:fill="FFFFFF"/>
            <w:vAlign w:val="center"/>
          </w:tcPr>
          <w:p w14:paraId="04699BFA">
            <w:pPr>
              <w:widowControl/>
              <w:spacing w:line="0" w:lineRule="atLeast"/>
              <w:jc w:val="center"/>
              <w:rPr>
                <w:color w:val="000000"/>
                <w:kern w:val="0"/>
                <w:sz w:val="22"/>
                <w:szCs w:val="22"/>
              </w:rPr>
            </w:pPr>
            <w:r>
              <w:rPr>
                <w:color w:val="000000"/>
                <w:kern w:val="0"/>
                <w:sz w:val="22"/>
                <w:szCs w:val="22"/>
              </w:rPr>
              <w:t>绩效指标</w:t>
            </w:r>
          </w:p>
          <w:p w14:paraId="238776D1">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7813415B">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61CCB9D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64250BBD">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1E401E90">
            <w:pPr>
              <w:widowControl/>
              <w:spacing w:line="0" w:lineRule="atLeast"/>
              <w:jc w:val="center"/>
              <w:rPr>
                <w:b/>
                <w:bCs/>
                <w:color w:val="000000"/>
                <w:kern w:val="0"/>
                <w:sz w:val="22"/>
                <w:szCs w:val="22"/>
              </w:rPr>
            </w:pPr>
            <w:r>
              <w:rPr>
                <w:rFonts w:hint="eastAsia"/>
                <w:b/>
                <w:bCs/>
                <w:color w:val="000000"/>
                <w:kern w:val="0"/>
                <w:sz w:val="22"/>
                <w:szCs w:val="22"/>
              </w:rPr>
              <w:t>3</w:t>
            </w:r>
          </w:p>
        </w:tc>
      </w:tr>
      <w:tr w14:paraId="49F8A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3724A2D5">
            <w:pPr>
              <w:spacing w:line="0" w:lineRule="atLeast"/>
              <w:jc w:val="center"/>
              <w:rPr>
                <w:color w:val="000000"/>
                <w:kern w:val="0"/>
                <w:sz w:val="22"/>
                <w:szCs w:val="22"/>
              </w:rPr>
            </w:pPr>
          </w:p>
        </w:tc>
        <w:tc>
          <w:tcPr>
            <w:tcW w:w="301" w:type="pct"/>
            <w:vMerge w:val="restart"/>
            <w:shd w:val="clear" w:color="auto" w:fill="FFFFFF"/>
            <w:vAlign w:val="center"/>
          </w:tcPr>
          <w:p w14:paraId="7C05DF0A">
            <w:pPr>
              <w:widowControl/>
              <w:spacing w:line="0" w:lineRule="atLeast"/>
              <w:jc w:val="center"/>
              <w:rPr>
                <w:color w:val="000000"/>
                <w:kern w:val="0"/>
                <w:sz w:val="22"/>
                <w:szCs w:val="22"/>
              </w:rPr>
            </w:pPr>
            <w:r>
              <w:rPr>
                <w:color w:val="000000"/>
                <w:kern w:val="0"/>
                <w:sz w:val="22"/>
                <w:szCs w:val="22"/>
              </w:rPr>
              <w:t>资金投入</w:t>
            </w:r>
          </w:p>
          <w:p w14:paraId="04DDBCE3">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707A7DE0">
            <w:pPr>
              <w:widowControl/>
              <w:spacing w:line="0" w:lineRule="atLeast"/>
              <w:jc w:val="center"/>
              <w:rPr>
                <w:color w:val="000000"/>
                <w:kern w:val="0"/>
                <w:sz w:val="22"/>
                <w:szCs w:val="22"/>
              </w:rPr>
            </w:pPr>
            <w:r>
              <w:rPr>
                <w:color w:val="000000"/>
                <w:kern w:val="0"/>
                <w:sz w:val="22"/>
                <w:szCs w:val="22"/>
              </w:rPr>
              <w:t>预算编制</w:t>
            </w:r>
          </w:p>
          <w:p w14:paraId="1C02F3F9">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522D3E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2EAD4F2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5BB1F1C9">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3514D01D">
            <w:pPr>
              <w:widowControl/>
              <w:spacing w:line="0" w:lineRule="atLeast"/>
              <w:jc w:val="center"/>
              <w:rPr>
                <w:b/>
                <w:bCs/>
                <w:color w:val="000000"/>
                <w:kern w:val="0"/>
                <w:sz w:val="22"/>
                <w:szCs w:val="22"/>
              </w:rPr>
            </w:pPr>
            <w:r>
              <w:rPr>
                <w:rFonts w:hint="eastAsia"/>
                <w:b/>
                <w:bCs/>
                <w:color w:val="000000"/>
                <w:kern w:val="0"/>
                <w:sz w:val="22"/>
                <w:szCs w:val="22"/>
              </w:rPr>
              <w:t>4</w:t>
            </w:r>
          </w:p>
        </w:tc>
      </w:tr>
      <w:tr w14:paraId="0531F6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74BAB6A0">
            <w:pPr>
              <w:widowControl/>
              <w:spacing w:line="0" w:lineRule="atLeast"/>
              <w:jc w:val="center"/>
              <w:rPr>
                <w:color w:val="000000"/>
                <w:kern w:val="0"/>
                <w:sz w:val="22"/>
                <w:szCs w:val="22"/>
              </w:rPr>
            </w:pPr>
          </w:p>
        </w:tc>
        <w:tc>
          <w:tcPr>
            <w:tcW w:w="301" w:type="pct"/>
            <w:vMerge w:val="continue"/>
            <w:shd w:val="clear" w:color="auto" w:fill="FFFFFF"/>
            <w:vAlign w:val="center"/>
          </w:tcPr>
          <w:p w14:paraId="7F40D123">
            <w:pPr>
              <w:widowControl/>
              <w:spacing w:line="0" w:lineRule="atLeast"/>
              <w:jc w:val="center"/>
              <w:rPr>
                <w:color w:val="000000"/>
                <w:kern w:val="0"/>
                <w:sz w:val="22"/>
                <w:szCs w:val="22"/>
              </w:rPr>
            </w:pPr>
          </w:p>
        </w:tc>
        <w:tc>
          <w:tcPr>
            <w:tcW w:w="344" w:type="pct"/>
            <w:shd w:val="clear" w:color="auto" w:fill="FFFFFF"/>
            <w:vAlign w:val="center"/>
          </w:tcPr>
          <w:p w14:paraId="4619D97F">
            <w:pPr>
              <w:widowControl/>
              <w:spacing w:line="0" w:lineRule="atLeast"/>
              <w:jc w:val="center"/>
              <w:rPr>
                <w:color w:val="000000"/>
                <w:kern w:val="0"/>
                <w:sz w:val="22"/>
                <w:szCs w:val="22"/>
              </w:rPr>
            </w:pPr>
            <w:r>
              <w:rPr>
                <w:color w:val="000000"/>
                <w:kern w:val="0"/>
                <w:sz w:val="22"/>
                <w:szCs w:val="22"/>
              </w:rPr>
              <w:t>资金分配</w:t>
            </w:r>
          </w:p>
          <w:p w14:paraId="099452B1">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5D95CABD">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EB0C9A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5B949522">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2FA5EB44">
            <w:pPr>
              <w:widowControl/>
              <w:spacing w:line="0" w:lineRule="atLeast"/>
              <w:jc w:val="center"/>
              <w:rPr>
                <w:b/>
                <w:bCs/>
                <w:color w:val="000000"/>
                <w:kern w:val="0"/>
                <w:sz w:val="22"/>
                <w:szCs w:val="22"/>
              </w:rPr>
            </w:pPr>
            <w:r>
              <w:rPr>
                <w:rFonts w:hint="eastAsia"/>
                <w:b/>
                <w:bCs/>
                <w:color w:val="000000"/>
                <w:kern w:val="0"/>
                <w:sz w:val="22"/>
                <w:szCs w:val="22"/>
              </w:rPr>
              <w:t>4</w:t>
            </w:r>
          </w:p>
        </w:tc>
      </w:tr>
      <w:tr w14:paraId="17914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12FFC589">
            <w:pPr>
              <w:spacing w:line="0" w:lineRule="atLeast"/>
              <w:jc w:val="center"/>
              <w:rPr>
                <w:color w:val="000000"/>
                <w:kern w:val="0"/>
                <w:sz w:val="22"/>
                <w:szCs w:val="22"/>
              </w:rPr>
            </w:pPr>
          </w:p>
          <w:p w14:paraId="23A4EF09">
            <w:pPr>
              <w:spacing w:line="0" w:lineRule="atLeast"/>
              <w:jc w:val="center"/>
              <w:rPr>
                <w:color w:val="000000"/>
                <w:kern w:val="0"/>
                <w:sz w:val="22"/>
                <w:szCs w:val="22"/>
              </w:rPr>
            </w:pPr>
          </w:p>
          <w:p w14:paraId="51CFCFF0">
            <w:pPr>
              <w:spacing w:line="0" w:lineRule="atLeast"/>
              <w:jc w:val="center"/>
              <w:rPr>
                <w:color w:val="000000"/>
                <w:kern w:val="0"/>
                <w:sz w:val="22"/>
                <w:szCs w:val="22"/>
              </w:rPr>
            </w:pPr>
          </w:p>
          <w:p w14:paraId="2C372261">
            <w:pPr>
              <w:spacing w:line="0" w:lineRule="atLeast"/>
              <w:jc w:val="center"/>
              <w:rPr>
                <w:color w:val="000000"/>
                <w:kern w:val="0"/>
                <w:sz w:val="22"/>
                <w:szCs w:val="22"/>
              </w:rPr>
            </w:pPr>
          </w:p>
          <w:p w14:paraId="4FC6C0FC">
            <w:pPr>
              <w:spacing w:line="0" w:lineRule="atLeast"/>
              <w:jc w:val="center"/>
              <w:rPr>
                <w:color w:val="000000"/>
                <w:kern w:val="0"/>
                <w:sz w:val="22"/>
                <w:szCs w:val="22"/>
              </w:rPr>
            </w:pPr>
          </w:p>
          <w:p w14:paraId="7C88CCD6">
            <w:pPr>
              <w:spacing w:line="0" w:lineRule="atLeast"/>
              <w:jc w:val="center"/>
              <w:rPr>
                <w:color w:val="000000"/>
                <w:kern w:val="0"/>
                <w:sz w:val="22"/>
                <w:szCs w:val="22"/>
              </w:rPr>
            </w:pPr>
          </w:p>
          <w:p w14:paraId="7BAF2BC0">
            <w:pPr>
              <w:spacing w:line="0" w:lineRule="atLeast"/>
              <w:jc w:val="center"/>
              <w:rPr>
                <w:color w:val="000000"/>
                <w:kern w:val="0"/>
                <w:sz w:val="22"/>
                <w:szCs w:val="22"/>
              </w:rPr>
            </w:pPr>
          </w:p>
          <w:p w14:paraId="7D7DA553">
            <w:pPr>
              <w:spacing w:line="0" w:lineRule="atLeast"/>
              <w:jc w:val="center"/>
              <w:rPr>
                <w:color w:val="000000"/>
                <w:kern w:val="0"/>
                <w:sz w:val="22"/>
                <w:szCs w:val="22"/>
              </w:rPr>
            </w:pPr>
          </w:p>
          <w:p w14:paraId="1EDC6A54">
            <w:pPr>
              <w:spacing w:line="0" w:lineRule="atLeast"/>
              <w:jc w:val="center"/>
              <w:rPr>
                <w:color w:val="000000"/>
                <w:kern w:val="0"/>
                <w:sz w:val="22"/>
                <w:szCs w:val="22"/>
              </w:rPr>
            </w:pPr>
          </w:p>
          <w:p w14:paraId="2B84B99D">
            <w:pPr>
              <w:spacing w:line="0" w:lineRule="atLeast"/>
              <w:jc w:val="center"/>
              <w:rPr>
                <w:color w:val="000000"/>
                <w:kern w:val="0"/>
                <w:sz w:val="22"/>
                <w:szCs w:val="22"/>
              </w:rPr>
            </w:pPr>
          </w:p>
          <w:p w14:paraId="4EDB4699">
            <w:pPr>
              <w:spacing w:line="0" w:lineRule="atLeast"/>
              <w:jc w:val="center"/>
              <w:rPr>
                <w:color w:val="000000"/>
                <w:kern w:val="0"/>
                <w:sz w:val="22"/>
                <w:szCs w:val="22"/>
              </w:rPr>
            </w:pPr>
          </w:p>
          <w:p w14:paraId="1A5DB785">
            <w:pPr>
              <w:spacing w:line="0" w:lineRule="atLeast"/>
              <w:jc w:val="center"/>
              <w:rPr>
                <w:color w:val="000000"/>
                <w:kern w:val="0"/>
                <w:sz w:val="22"/>
                <w:szCs w:val="22"/>
              </w:rPr>
            </w:pPr>
          </w:p>
          <w:p w14:paraId="4123A3FC">
            <w:pPr>
              <w:spacing w:line="0" w:lineRule="atLeast"/>
              <w:jc w:val="center"/>
              <w:rPr>
                <w:color w:val="000000"/>
                <w:kern w:val="0"/>
                <w:sz w:val="22"/>
                <w:szCs w:val="22"/>
              </w:rPr>
            </w:pPr>
          </w:p>
          <w:p w14:paraId="0953F88D">
            <w:pPr>
              <w:spacing w:line="0" w:lineRule="atLeast"/>
              <w:jc w:val="center"/>
              <w:rPr>
                <w:color w:val="000000"/>
                <w:kern w:val="0"/>
                <w:sz w:val="22"/>
                <w:szCs w:val="22"/>
              </w:rPr>
            </w:pPr>
          </w:p>
          <w:p w14:paraId="3DBD4189">
            <w:pPr>
              <w:spacing w:line="0" w:lineRule="atLeast"/>
              <w:jc w:val="center"/>
              <w:rPr>
                <w:color w:val="000000"/>
                <w:kern w:val="0"/>
                <w:sz w:val="22"/>
                <w:szCs w:val="22"/>
              </w:rPr>
            </w:pPr>
          </w:p>
          <w:p w14:paraId="17B59605">
            <w:pPr>
              <w:spacing w:line="0" w:lineRule="atLeast"/>
              <w:jc w:val="center"/>
              <w:rPr>
                <w:color w:val="000000"/>
                <w:kern w:val="0"/>
                <w:sz w:val="22"/>
                <w:szCs w:val="22"/>
              </w:rPr>
            </w:pPr>
            <w:r>
              <w:rPr>
                <w:color w:val="000000"/>
                <w:kern w:val="0"/>
                <w:sz w:val="22"/>
                <w:szCs w:val="22"/>
              </w:rPr>
              <w:t>过程</w:t>
            </w:r>
          </w:p>
          <w:p w14:paraId="25C53A0E">
            <w:pPr>
              <w:widowControl/>
              <w:spacing w:line="0" w:lineRule="atLeas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14:paraId="337FE40E">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BFEC51A">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173DE22F">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47C68EC9">
            <w:pPr>
              <w:widowControl/>
              <w:spacing w:line="0" w:lineRule="atLeast"/>
              <w:rPr>
                <w:color w:val="000000"/>
                <w:kern w:val="0"/>
                <w:sz w:val="22"/>
                <w:szCs w:val="22"/>
              </w:rPr>
            </w:pPr>
            <w:r>
              <w:rPr>
                <w:color w:val="000000"/>
                <w:kern w:val="0"/>
                <w:sz w:val="22"/>
                <w:szCs w:val="22"/>
              </w:rPr>
              <w:t>资金到位率=（实际到位资金/预算资金）×100%。</w:t>
            </w:r>
          </w:p>
          <w:p w14:paraId="04ACEFD7">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71F9ED59">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349895F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0A000A34">
            <w:pPr>
              <w:widowControl/>
              <w:spacing w:line="0" w:lineRule="atLeast"/>
              <w:jc w:val="center"/>
              <w:rPr>
                <w:b/>
                <w:bCs/>
                <w:color w:val="000000"/>
                <w:kern w:val="0"/>
                <w:sz w:val="22"/>
                <w:szCs w:val="22"/>
              </w:rPr>
            </w:pPr>
            <w:r>
              <w:rPr>
                <w:rFonts w:hint="eastAsia"/>
                <w:b/>
                <w:bCs/>
                <w:color w:val="000000"/>
                <w:kern w:val="0"/>
                <w:sz w:val="22"/>
                <w:szCs w:val="22"/>
              </w:rPr>
              <w:t>4</w:t>
            </w:r>
          </w:p>
        </w:tc>
      </w:tr>
      <w:tr w14:paraId="55719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132ADCB9">
            <w:pPr>
              <w:spacing w:line="0" w:lineRule="atLeast"/>
              <w:jc w:val="center"/>
              <w:rPr>
                <w:color w:val="000000"/>
                <w:kern w:val="0"/>
                <w:sz w:val="22"/>
                <w:szCs w:val="22"/>
              </w:rPr>
            </w:pPr>
          </w:p>
        </w:tc>
        <w:tc>
          <w:tcPr>
            <w:tcW w:w="301" w:type="pct"/>
            <w:vMerge w:val="continue"/>
            <w:shd w:val="clear" w:color="auto" w:fill="FFFFFF"/>
            <w:vAlign w:val="center"/>
          </w:tcPr>
          <w:p w14:paraId="36FC7090">
            <w:pPr>
              <w:spacing w:line="0" w:lineRule="atLeast"/>
              <w:jc w:val="center"/>
              <w:rPr>
                <w:color w:val="000000"/>
                <w:kern w:val="0"/>
                <w:sz w:val="22"/>
                <w:szCs w:val="22"/>
              </w:rPr>
            </w:pPr>
          </w:p>
        </w:tc>
        <w:tc>
          <w:tcPr>
            <w:tcW w:w="344" w:type="pct"/>
            <w:shd w:val="clear" w:color="auto" w:fill="FFFFFF"/>
            <w:vAlign w:val="center"/>
          </w:tcPr>
          <w:p w14:paraId="5DAE89F0">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50BB5CF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14:paraId="35837BAE">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6BD1B17F">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226F22A5">
            <w:pPr>
              <w:widowControl/>
              <w:spacing w:line="0" w:lineRule="atLeast"/>
              <w:jc w:val="center"/>
              <w:rPr>
                <w:b/>
                <w:bCs/>
                <w:color w:val="000000"/>
                <w:kern w:val="0"/>
                <w:sz w:val="22"/>
                <w:szCs w:val="22"/>
              </w:rPr>
            </w:pPr>
            <w:r>
              <w:rPr>
                <w:rFonts w:hint="eastAsia"/>
                <w:b/>
                <w:bCs/>
                <w:color w:val="000000"/>
                <w:kern w:val="0"/>
                <w:sz w:val="22"/>
                <w:szCs w:val="22"/>
              </w:rPr>
              <w:t>3.97</w:t>
            </w:r>
          </w:p>
        </w:tc>
      </w:tr>
      <w:tr w14:paraId="05F61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649BFFDE">
            <w:pPr>
              <w:spacing w:line="0" w:lineRule="atLeast"/>
              <w:jc w:val="center"/>
              <w:rPr>
                <w:color w:val="000000"/>
                <w:kern w:val="0"/>
                <w:sz w:val="22"/>
                <w:szCs w:val="22"/>
              </w:rPr>
            </w:pPr>
          </w:p>
        </w:tc>
        <w:tc>
          <w:tcPr>
            <w:tcW w:w="301" w:type="pct"/>
            <w:shd w:val="clear" w:color="auto" w:fill="FFFFFF"/>
            <w:vAlign w:val="center"/>
          </w:tcPr>
          <w:p w14:paraId="599BF933">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471BD77B">
            <w:pPr>
              <w:widowControl/>
              <w:spacing w:line="0" w:lineRule="atLeast"/>
              <w:jc w:val="center"/>
              <w:rPr>
                <w:color w:val="000000"/>
                <w:kern w:val="0"/>
                <w:sz w:val="22"/>
                <w:szCs w:val="22"/>
              </w:rPr>
            </w:pPr>
            <w:r>
              <w:rPr>
                <w:color w:val="000000"/>
                <w:kern w:val="0"/>
                <w:sz w:val="22"/>
                <w:szCs w:val="22"/>
              </w:rPr>
              <w:t>资金使用</w:t>
            </w:r>
          </w:p>
          <w:p w14:paraId="7C1D0D47">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58502673">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004478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761824E7">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47730C85">
            <w:pPr>
              <w:widowControl/>
              <w:spacing w:line="0" w:lineRule="atLeast"/>
              <w:jc w:val="center"/>
              <w:rPr>
                <w:b/>
                <w:bCs/>
                <w:color w:val="000000"/>
                <w:kern w:val="0"/>
                <w:sz w:val="22"/>
                <w:szCs w:val="22"/>
              </w:rPr>
            </w:pPr>
            <w:r>
              <w:rPr>
                <w:rFonts w:hint="eastAsia"/>
                <w:b/>
                <w:bCs/>
                <w:color w:val="000000"/>
                <w:kern w:val="0"/>
                <w:sz w:val="22"/>
                <w:szCs w:val="22"/>
              </w:rPr>
              <w:t>4</w:t>
            </w:r>
          </w:p>
        </w:tc>
      </w:tr>
      <w:tr w14:paraId="0823F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419E31ED">
            <w:pPr>
              <w:spacing w:line="0" w:lineRule="atLeast"/>
              <w:jc w:val="center"/>
              <w:rPr>
                <w:color w:val="000000"/>
                <w:kern w:val="0"/>
                <w:sz w:val="22"/>
                <w:szCs w:val="22"/>
              </w:rPr>
            </w:pPr>
          </w:p>
        </w:tc>
        <w:tc>
          <w:tcPr>
            <w:tcW w:w="301" w:type="pct"/>
            <w:vMerge w:val="restart"/>
            <w:shd w:val="clear" w:color="auto" w:fill="FFFFFF"/>
            <w:vAlign w:val="center"/>
          </w:tcPr>
          <w:p w14:paraId="211BAAC4">
            <w:pPr>
              <w:widowControl/>
              <w:spacing w:line="0" w:lineRule="atLeast"/>
              <w:jc w:val="center"/>
              <w:rPr>
                <w:color w:val="000000"/>
                <w:kern w:val="0"/>
                <w:sz w:val="22"/>
                <w:szCs w:val="22"/>
              </w:rPr>
            </w:pPr>
            <w:r>
              <w:rPr>
                <w:color w:val="000000"/>
                <w:kern w:val="0"/>
                <w:sz w:val="22"/>
                <w:szCs w:val="22"/>
              </w:rPr>
              <w:t>组织实施</w:t>
            </w:r>
          </w:p>
          <w:p w14:paraId="6529DC1F">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10BBD9E5">
            <w:pPr>
              <w:widowControl/>
              <w:spacing w:line="0" w:lineRule="atLeast"/>
              <w:jc w:val="center"/>
              <w:rPr>
                <w:color w:val="000000"/>
                <w:kern w:val="0"/>
                <w:sz w:val="22"/>
                <w:szCs w:val="22"/>
              </w:rPr>
            </w:pPr>
            <w:r>
              <w:rPr>
                <w:color w:val="000000"/>
                <w:kern w:val="0"/>
                <w:sz w:val="22"/>
                <w:szCs w:val="22"/>
              </w:rPr>
              <w:t>管理制度</w:t>
            </w:r>
          </w:p>
          <w:p w14:paraId="06CFFA28">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57A151D1">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3C0EFDFF">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446974C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0106E060">
            <w:pPr>
              <w:widowControl/>
              <w:spacing w:line="0" w:lineRule="atLeast"/>
              <w:jc w:val="center"/>
              <w:rPr>
                <w:b/>
                <w:bCs/>
                <w:color w:val="000000"/>
                <w:kern w:val="0"/>
                <w:sz w:val="22"/>
                <w:szCs w:val="22"/>
              </w:rPr>
            </w:pPr>
            <w:r>
              <w:rPr>
                <w:rFonts w:hint="eastAsia"/>
                <w:b/>
                <w:bCs/>
                <w:color w:val="000000"/>
                <w:kern w:val="0"/>
                <w:sz w:val="22"/>
                <w:szCs w:val="22"/>
              </w:rPr>
              <w:t>4</w:t>
            </w:r>
          </w:p>
        </w:tc>
      </w:tr>
      <w:tr w14:paraId="0E5372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7285DE66">
            <w:pPr>
              <w:widowControl/>
              <w:spacing w:line="0" w:lineRule="atLeast"/>
              <w:jc w:val="center"/>
              <w:rPr>
                <w:color w:val="000000"/>
                <w:kern w:val="0"/>
                <w:sz w:val="22"/>
                <w:szCs w:val="22"/>
              </w:rPr>
            </w:pPr>
          </w:p>
        </w:tc>
        <w:tc>
          <w:tcPr>
            <w:tcW w:w="301" w:type="pct"/>
            <w:vMerge w:val="continue"/>
            <w:shd w:val="clear" w:color="auto" w:fill="FFFFFF"/>
            <w:vAlign w:val="center"/>
          </w:tcPr>
          <w:p w14:paraId="49321B7B">
            <w:pPr>
              <w:widowControl/>
              <w:spacing w:line="0" w:lineRule="atLeast"/>
              <w:jc w:val="center"/>
              <w:rPr>
                <w:color w:val="000000"/>
                <w:kern w:val="0"/>
                <w:sz w:val="22"/>
                <w:szCs w:val="22"/>
              </w:rPr>
            </w:pPr>
          </w:p>
        </w:tc>
        <w:tc>
          <w:tcPr>
            <w:tcW w:w="344" w:type="pct"/>
            <w:shd w:val="clear" w:color="auto" w:fill="FFFFFF"/>
            <w:vAlign w:val="center"/>
          </w:tcPr>
          <w:p w14:paraId="2EFC5EDD">
            <w:pPr>
              <w:widowControl/>
              <w:spacing w:line="0" w:lineRule="atLeast"/>
              <w:jc w:val="center"/>
              <w:rPr>
                <w:color w:val="000000"/>
                <w:kern w:val="0"/>
                <w:sz w:val="22"/>
                <w:szCs w:val="22"/>
              </w:rPr>
            </w:pPr>
            <w:r>
              <w:rPr>
                <w:color w:val="000000"/>
                <w:kern w:val="0"/>
                <w:sz w:val="22"/>
                <w:szCs w:val="22"/>
              </w:rPr>
              <w:t>制度执行</w:t>
            </w:r>
          </w:p>
          <w:p w14:paraId="67F27CBF">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3C1CB8C5">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578B6A5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685E8608">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4B13DCF1">
            <w:pPr>
              <w:widowControl/>
              <w:spacing w:line="0" w:lineRule="atLeast"/>
              <w:jc w:val="center"/>
              <w:rPr>
                <w:b/>
                <w:bCs/>
                <w:color w:val="000000"/>
                <w:kern w:val="0"/>
                <w:sz w:val="22"/>
                <w:szCs w:val="22"/>
              </w:rPr>
            </w:pPr>
            <w:r>
              <w:rPr>
                <w:rFonts w:hint="eastAsia"/>
                <w:b/>
                <w:bCs/>
                <w:color w:val="000000"/>
                <w:kern w:val="0"/>
                <w:sz w:val="22"/>
                <w:szCs w:val="22"/>
              </w:rPr>
              <w:t>4</w:t>
            </w:r>
          </w:p>
        </w:tc>
      </w:tr>
      <w:tr w14:paraId="14FCC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43D01774">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14:paraId="0554B373">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0B7E5942">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09454800">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8E7DDEE">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592960F">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4A3E8C3">
            <w:pPr>
              <w:widowControl/>
              <w:spacing w:line="0" w:lineRule="atLeast"/>
              <w:jc w:val="center"/>
              <w:rPr>
                <w:b/>
                <w:bCs/>
                <w:color w:val="000000"/>
                <w:kern w:val="0"/>
                <w:sz w:val="22"/>
                <w:szCs w:val="22"/>
              </w:rPr>
            </w:pPr>
            <w:r>
              <w:rPr>
                <w:rFonts w:hint="eastAsia"/>
                <w:b/>
                <w:bCs/>
                <w:color w:val="000000"/>
                <w:kern w:val="0"/>
                <w:sz w:val="22"/>
                <w:szCs w:val="22"/>
              </w:rPr>
              <w:t>10</w:t>
            </w:r>
          </w:p>
        </w:tc>
      </w:tr>
      <w:tr w14:paraId="47E9A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338CAFD0">
            <w:pPr>
              <w:widowControl/>
              <w:spacing w:line="0" w:lineRule="atLeast"/>
              <w:jc w:val="center"/>
              <w:rPr>
                <w:color w:val="000000"/>
                <w:kern w:val="0"/>
                <w:sz w:val="22"/>
                <w:szCs w:val="22"/>
              </w:rPr>
            </w:pPr>
          </w:p>
        </w:tc>
        <w:tc>
          <w:tcPr>
            <w:tcW w:w="301" w:type="pct"/>
            <w:shd w:val="clear" w:color="auto" w:fill="FFFFFF"/>
            <w:vAlign w:val="center"/>
          </w:tcPr>
          <w:p w14:paraId="0528A7A6">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7B5967E2">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67BE790B">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29FC12CB">
            <w:pPr>
              <w:widowControl/>
              <w:spacing w:line="0" w:lineRule="atLeast"/>
              <w:rPr>
                <w:color w:val="000000"/>
                <w:kern w:val="0"/>
                <w:sz w:val="22"/>
                <w:szCs w:val="22"/>
              </w:rPr>
            </w:pPr>
            <w:r>
              <w:rPr>
                <w:color w:val="000000"/>
                <w:kern w:val="0"/>
                <w:sz w:val="22"/>
                <w:szCs w:val="22"/>
              </w:rPr>
              <w:t>质量达标率=（质量达标产出数/实际产出数）×100%。</w:t>
            </w:r>
          </w:p>
          <w:p w14:paraId="3DD708D9">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E9F1CEF">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70DDF6F5">
            <w:pPr>
              <w:widowControl/>
              <w:spacing w:line="0" w:lineRule="atLeast"/>
              <w:jc w:val="center"/>
              <w:rPr>
                <w:b/>
                <w:bCs/>
                <w:color w:val="000000"/>
                <w:kern w:val="0"/>
                <w:sz w:val="22"/>
                <w:szCs w:val="22"/>
              </w:rPr>
            </w:pPr>
            <w:r>
              <w:rPr>
                <w:rFonts w:hint="eastAsia"/>
                <w:b/>
                <w:bCs/>
                <w:color w:val="000000"/>
                <w:kern w:val="0"/>
                <w:sz w:val="22"/>
                <w:szCs w:val="22"/>
              </w:rPr>
              <w:t>10</w:t>
            </w:r>
          </w:p>
        </w:tc>
      </w:tr>
      <w:tr w14:paraId="0B61D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26BCF170">
            <w:pPr>
              <w:spacing w:line="0" w:lineRule="atLeast"/>
              <w:jc w:val="center"/>
              <w:rPr>
                <w:color w:val="000000"/>
                <w:kern w:val="0"/>
                <w:sz w:val="22"/>
                <w:szCs w:val="22"/>
              </w:rPr>
            </w:pPr>
          </w:p>
        </w:tc>
        <w:tc>
          <w:tcPr>
            <w:tcW w:w="301" w:type="pct"/>
            <w:shd w:val="clear" w:color="auto" w:fill="FFFFFF"/>
            <w:vAlign w:val="center"/>
          </w:tcPr>
          <w:p w14:paraId="2E518576">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57097A45">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430C70DB">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08D1D278">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0B66E2D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74337514">
            <w:pPr>
              <w:widowControl/>
              <w:spacing w:line="0" w:lineRule="atLeast"/>
              <w:jc w:val="center"/>
              <w:rPr>
                <w:b/>
                <w:bCs/>
                <w:color w:val="000000"/>
                <w:kern w:val="0"/>
                <w:sz w:val="22"/>
                <w:szCs w:val="22"/>
              </w:rPr>
            </w:pPr>
            <w:r>
              <w:rPr>
                <w:rFonts w:hint="eastAsia"/>
                <w:b/>
                <w:bCs/>
                <w:color w:val="000000"/>
                <w:kern w:val="0"/>
                <w:sz w:val="22"/>
                <w:szCs w:val="22"/>
              </w:rPr>
              <w:t>10</w:t>
            </w:r>
          </w:p>
        </w:tc>
      </w:tr>
      <w:tr w14:paraId="537D2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2008C2EE">
            <w:pPr>
              <w:widowControl/>
              <w:spacing w:line="0" w:lineRule="atLeast"/>
              <w:jc w:val="center"/>
              <w:rPr>
                <w:color w:val="000000"/>
                <w:kern w:val="0"/>
                <w:sz w:val="22"/>
                <w:szCs w:val="22"/>
              </w:rPr>
            </w:pPr>
          </w:p>
        </w:tc>
        <w:tc>
          <w:tcPr>
            <w:tcW w:w="301" w:type="pct"/>
            <w:shd w:val="clear" w:color="auto" w:fill="FFFFFF"/>
            <w:vAlign w:val="center"/>
          </w:tcPr>
          <w:p w14:paraId="6CDA9E58">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F71026B">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20A20F12">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7B34F6C">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628965A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6C6E8430">
            <w:pPr>
              <w:widowControl/>
              <w:spacing w:line="0" w:lineRule="atLeast"/>
              <w:jc w:val="center"/>
              <w:rPr>
                <w:b/>
                <w:bCs/>
                <w:color w:val="000000"/>
                <w:kern w:val="0"/>
                <w:sz w:val="22"/>
                <w:szCs w:val="22"/>
              </w:rPr>
            </w:pPr>
            <w:r>
              <w:rPr>
                <w:rFonts w:hint="eastAsia"/>
                <w:b/>
                <w:bCs/>
                <w:color w:val="000000"/>
                <w:kern w:val="0"/>
                <w:sz w:val="22"/>
                <w:szCs w:val="22"/>
              </w:rPr>
              <w:t>10</w:t>
            </w:r>
          </w:p>
        </w:tc>
      </w:tr>
      <w:tr w14:paraId="08AFB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0367D3E8">
            <w:pPr>
              <w:widowControl/>
              <w:spacing w:line="0" w:lineRule="atLeas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14:paraId="5CC4E9D9">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1BDC9E26">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325AC44C">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14:paraId="3F8D75C7">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E3AE3DF">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590E7F19">
            <w:pPr>
              <w:widowControl/>
              <w:spacing w:line="0" w:lineRule="atLeast"/>
              <w:jc w:val="center"/>
              <w:rPr>
                <w:b/>
                <w:bCs/>
                <w:color w:val="000000"/>
                <w:kern w:val="0"/>
                <w:sz w:val="22"/>
                <w:szCs w:val="22"/>
              </w:rPr>
            </w:pPr>
            <w:r>
              <w:rPr>
                <w:rFonts w:hint="eastAsia"/>
                <w:b/>
                <w:bCs/>
                <w:color w:val="000000"/>
                <w:kern w:val="0"/>
                <w:sz w:val="22"/>
                <w:szCs w:val="22"/>
              </w:rPr>
              <w:t>10</w:t>
            </w:r>
          </w:p>
        </w:tc>
      </w:tr>
      <w:tr w14:paraId="186DE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29F9FF43">
            <w:pPr>
              <w:widowControl/>
              <w:spacing w:line="0" w:lineRule="atLeast"/>
              <w:jc w:val="center"/>
              <w:rPr>
                <w:color w:val="000000"/>
                <w:kern w:val="0"/>
                <w:sz w:val="22"/>
                <w:szCs w:val="22"/>
              </w:rPr>
            </w:pPr>
          </w:p>
        </w:tc>
        <w:tc>
          <w:tcPr>
            <w:tcW w:w="301" w:type="pct"/>
            <w:vMerge w:val="continue"/>
            <w:shd w:val="clear" w:color="auto" w:fill="FFFFFF"/>
            <w:vAlign w:val="center"/>
          </w:tcPr>
          <w:p w14:paraId="732E289A">
            <w:pPr>
              <w:widowControl/>
              <w:spacing w:line="0" w:lineRule="atLeast"/>
              <w:jc w:val="center"/>
              <w:rPr>
                <w:color w:val="000000"/>
                <w:kern w:val="0"/>
                <w:sz w:val="22"/>
                <w:szCs w:val="22"/>
              </w:rPr>
            </w:pPr>
          </w:p>
        </w:tc>
        <w:tc>
          <w:tcPr>
            <w:tcW w:w="344" w:type="pct"/>
            <w:shd w:val="clear" w:color="auto" w:fill="FFFFFF"/>
            <w:vAlign w:val="center"/>
          </w:tcPr>
          <w:p w14:paraId="3F761C20">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6C3CB77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14:paraId="3B0CB323">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F6A9B6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C2EBD16">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040AB27D"/>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5950F28">
        <w:pPr>
          <w:pStyle w:val="7"/>
          <w:jc w:val="center"/>
        </w:pPr>
        <w:r>
          <w:fldChar w:fldCharType="begin"/>
        </w:r>
        <w:r>
          <w:instrText xml:space="preserve">PAGE   \* MERGEFORMAT</w:instrText>
        </w:r>
        <w:r>
          <w:fldChar w:fldCharType="separate"/>
        </w:r>
        <w:r>
          <w:rPr>
            <w:lang w:val="zh-CN"/>
          </w:rPr>
          <w:t>1</w:t>
        </w:r>
        <w:r>
          <w:fldChar w:fldCharType="end"/>
        </w:r>
      </w:p>
    </w:sdtContent>
  </w:sdt>
  <w:p w14:paraId="30F4D5C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U0NDY0OGU2MmQxYjRhMGI0Nzk0YTkwZmIzOTBhMGEifQ=="/>
  </w:docVars>
  <w:rsids>
    <w:rsidRoot w:val="FF6C4049"/>
    <w:rsid w:val="000572AB"/>
    <w:rsid w:val="000C3DA7"/>
    <w:rsid w:val="00160485"/>
    <w:rsid w:val="003550AC"/>
    <w:rsid w:val="003D16CE"/>
    <w:rsid w:val="00417EF4"/>
    <w:rsid w:val="004A7C05"/>
    <w:rsid w:val="006F7242"/>
    <w:rsid w:val="006F7489"/>
    <w:rsid w:val="007654FD"/>
    <w:rsid w:val="007B168A"/>
    <w:rsid w:val="008B2CFE"/>
    <w:rsid w:val="00A9338B"/>
    <w:rsid w:val="00B10043"/>
    <w:rsid w:val="00BB6DD5"/>
    <w:rsid w:val="00BD67DC"/>
    <w:rsid w:val="00C8402B"/>
    <w:rsid w:val="00E52F76"/>
    <w:rsid w:val="00F12D2C"/>
    <w:rsid w:val="00F26FF6"/>
    <w:rsid w:val="010B22B0"/>
    <w:rsid w:val="01113D6B"/>
    <w:rsid w:val="01814321"/>
    <w:rsid w:val="019404F8"/>
    <w:rsid w:val="01DD59FB"/>
    <w:rsid w:val="01E0373D"/>
    <w:rsid w:val="026779BA"/>
    <w:rsid w:val="02714395"/>
    <w:rsid w:val="02924A37"/>
    <w:rsid w:val="02B26E88"/>
    <w:rsid w:val="02C62933"/>
    <w:rsid w:val="032849B5"/>
    <w:rsid w:val="03681C3C"/>
    <w:rsid w:val="0397607D"/>
    <w:rsid w:val="042518DB"/>
    <w:rsid w:val="042E69E2"/>
    <w:rsid w:val="046C12B8"/>
    <w:rsid w:val="04AE18D1"/>
    <w:rsid w:val="05085485"/>
    <w:rsid w:val="05663F59"/>
    <w:rsid w:val="05D9472B"/>
    <w:rsid w:val="070C28DE"/>
    <w:rsid w:val="0728596A"/>
    <w:rsid w:val="073065CD"/>
    <w:rsid w:val="07397B77"/>
    <w:rsid w:val="0768220B"/>
    <w:rsid w:val="077706A0"/>
    <w:rsid w:val="07D23B28"/>
    <w:rsid w:val="07EF0236"/>
    <w:rsid w:val="086C7AD9"/>
    <w:rsid w:val="08B84ACC"/>
    <w:rsid w:val="08E6788B"/>
    <w:rsid w:val="09622C8A"/>
    <w:rsid w:val="09A908B8"/>
    <w:rsid w:val="09AF2373"/>
    <w:rsid w:val="09E0252C"/>
    <w:rsid w:val="0ABB4D47"/>
    <w:rsid w:val="0B2D79F3"/>
    <w:rsid w:val="0B552AA6"/>
    <w:rsid w:val="0B6A2C23"/>
    <w:rsid w:val="0B950FB1"/>
    <w:rsid w:val="0B9F3D21"/>
    <w:rsid w:val="0BB53545"/>
    <w:rsid w:val="0BBB7BCD"/>
    <w:rsid w:val="0C087B18"/>
    <w:rsid w:val="0C405504"/>
    <w:rsid w:val="0C9F66CF"/>
    <w:rsid w:val="0CBF0B1F"/>
    <w:rsid w:val="0D110C4F"/>
    <w:rsid w:val="0D5A43A4"/>
    <w:rsid w:val="0D841421"/>
    <w:rsid w:val="0D8458C4"/>
    <w:rsid w:val="0D847672"/>
    <w:rsid w:val="0E9B2EC6"/>
    <w:rsid w:val="0EFC4D43"/>
    <w:rsid w:val="0F0A1DF9"/>
    <w:rsid w:val="0F4277E5"/>
    <w:rsid w:val="0F6239E3"/>
    <w:rsid w:val="0FEF171B"/>
    <w:rsid w:val="10831E63"/>
    <w:rsid w:val="11164A85"/>
    <w:rsid w:val="115D26B4"/>
    <w:rsid w:val="11AD363C"/>
    <w:rsid w:val="12152F8F"/>
    <w:rsid w:val="127F48AC"/>
    <w:rsid w:val="12B46304"/>
    <w:rsid w:val="132E1B44"/>
    <w:rsid w:val="13471461"/>
    <w:rsid w:val="13B90F01"/>
    <w:rsid w:val="148F527B"/>
    <w:rsid w:val="14A30D26"/>
    <w:rsid w:val="14D507B4"/>
    <w:rsid w:val="14E135FC"/>
    <w:rsid w:val="14EF7AC7"/>
    <w:rsid w:val="157E709D"/>
    <w:rsid w:val="15804BC3"/>
    <w:rsid w:val="15E46F00"/>
    <w:rsid w:val="15EC4007"/>
    <w:rsid w:val="16297009"/>
    <w:rsid w:val="17005FBC"/>
    <w:rsid w:val="17377504"/>
    <w:rsid w:val="17FD699F"/>
    <w:rsid w:val="181066D2"/>
    <w:rsid w:val="182061EA"/>
    <w:rsid w:val="18AE426C"/>
    <w:rsid w:val="19033B41"/>
    <w:rsid w:val="19193365"/>
    <w:rsid w:val="19267830"/>
    <w:rsid w:val="19A03A86"/>
    <w:rsid w:val="19C92FDD"/>
    <w:rsid w:val="19EF2318"/>
    <w:rsid w:val="1A231FC1"/>
    <w:rsid w:val="1A2F6BB8"/>
    <w:rsid w:val="1A5A4584"/>
    <w:rsid w:val="1A6936B1"/>
    <w:rsid w:val="1A6B5E42"/>
    <w:rsid w:val="1B721452"/>
    <w:rsid w:val="1BA64C58"/>
    <w:rsid w:val="1BAB04C0"/>
    <w:rsid w:val="1BC577D4"/>
    <w:rsid w:val="1BDC68CC"/>
    <w:rsid w:val="1C0F0A4F"/>
    <w:rsid w:val="1C197B20"/>
    <w:rsid w:val="1C2C7853"/>
    <w:rsid w:val="1C2E5379"/>
    <w:rsid w:val="1C3D736A"/>
    <w:rsid w:val="1C632B49"/>
    <w:rsid w:val="1C671E73"/>
    <w:rsid w:val="1C827473"/>
    <w:rsid w:val="1C93342E"/>
    <w:rsid w:val="1C9F1C74"/>
    <w:rsid w:val="1CC07ED6"/>
    <w:rsid w:val="1CC935F7"/>
    <w:rsid w:val="1CCB2BC8"/>
    <w:rsid w:val="1D1722B1"/>
    <w:rsid w:val="1D2247B2"/>
    <w:rsid w:val="1D2422D8"/>
    <w:rsid w:val="1D5A219E"/>
    <w:rsid w:val="1E18008F"/>
    <w:rsid w:val="1E537319"/>
    <w:rsid w:val="1E6257AE"/>
    <w:rsid w:val="1EA5569B"/>
    <w:rsid w:val="1ECE074D"/>
    <w:rsid w:val="1F1840BF"/>
    <w:rsid w:val="1F325180"/>
    <w:rsid w:val="1F9C4CF0"/>
    <w:rsid w:val="1FB97650"/>
    <w:rsid w:val="20831A0C"/>
    <w:rsid w:val="208C266E"/>
    <w:rsid w:val="20987265"/>
    <w:rsid w:val="20AF2801"/>
    <w:rsid w:val="20DF4E94"/>
    <w:rsid w:val="20E24984"/>
    <w:rsid w:val="21292995"/>
    <w:rsid w:val="21617F9F"/>
    <w:rsid w:val="21C36564"/>
    <w:rsid w:val="21D544E9"/>
    <w:rsid w:val="21F04E7F"/>
    <w:rsid w:val="2201708C"/>
    <w:rsid w:val="22D12F02"/>
    <w:rsid w:val="23403BE4"/>
    <w:rsid w:val="238E2BA1"/>
    <w:rsid w:val="24013373"/>
    <w:rsid w:val="24466FD8"/>
    <w:rsid w:val="24E101A2"/>
    <w:rsid w:val="25090731"/>
    <w:rsid w:val="254554E2"/>
    <w:rsid w:val="26492DAF"/>
    <w:rsid w:val="272A0E33"/>
    <w:rsid w:val="278C389C"/>
    <w:rsid w:val="27B8643F"/>
    <w:rsid w:val="27DD7C53"/>
    <w:rsid w:val="27EC46B5"/>
    <w:rsid w:val="284657F9"/>
    <w:rsid w:val="28AD5878"/>
    <w:rsid w:val="28B07116"/>
    <w:rsid w:val="28F90ABD"/>
    <w:rsid w:val="2A450AA9"/>
    <w:rsid w:val="2A781EB5"/>
    <w:rsid w:val="2B4D50F0"/>
    <w:rsid w:val="2B771E8B"/>
    <w:rsid w:val="2BD61589"/>
    <w:rsid w:val="2C701096"/>
    <w:rsid w:val="2C864D5D"/>
    <w:rsid w:val="2D4D587B"/>
    <w:rsid w:val="2DD438A6"/>
    <w:rsid w:val="2DED6716"/>
    <w:rsid w:val="2E2F6D2F"/>
    <w:rsid w:val="2E3B3926"/>
    <w:rsid w:val="2E4427DA"/>
    <w:rsid w:val="2E5073D1"/>
    <w:rsid w:val="2E7B3D22"/>
    <w:rsid w:val="2E9574DA"/>
    <w:rsid w:val="2F0177F6"/>
    <w:rsid w:val="2F0F2DE8"/>
    <w:rsid w:val="2F7610B9"/>
    <w:rsid w:val="2F89500B"/>
    <w:rsid w:val="2FA8323D"/>
    <w:rsid w:val="2FF26266"/>
    <w:rsid w:val="300A1801"/>
    <w:rsid w:val="302503E9"/>
    <w:rsid w:val="3095452D"/>
    <w:rsid w:val="30C65728"/>
    <w:rsid w:val="30CE6CD3"/>
    <w:rsid w:val="31132938"/>
    <w:rsid w:val="318B6972"/>
    <w:rsid w:val="318D4356"/>
    <w:rsid w:val="31C12394"/>
    <w:rsid w:val="32931F82"/>
    <w:rsid w:val="32DC56D7"/>
    <w:rsid w:val="32DF6F75"/>
    <w:rsid w:val="3355548A"/>
    <w:rsid w:val="33631954"/>
    <w:rsid w:val="33997124"/>
    <w:rsid w:val="33F94067"/>
    <w:rsid w:val="345C0152"/>
    <w:rsid w:val="346A6D13"/>
    <w:rsid w:val="34A246FE"/>
    <w:rsid w:val="34AE4E51"/>
    <w:rsid w:val="34B166F0"/>
    <w:rsid w:val="34F605A6"/>
    <w:rsid w:val="35074561"/>
    <w:rsid w:val="355B006D"/>
    <w:rsid w:val="35690D78"/>
    <w:rsid w:val="35D24B6F"/>
    <w:rsid w:val="35DA3A24"/>
    <w:rsid w:val="35FC399A"/>
    <w:rsid w:val="36010D63"/>
    <w:rsid w:val="365B4B65"/>
    <w:rsid w:val="36687282"/>
    <w:rsid w:val="36851BE2"/>
    <w:rsid w:val="36C24BE4"/>
    <w:rsid w:val="36CA5847"/>
    <w:rsid w:val="36F079A3"/>
    <w:rsid w:val="36FA437E"/>
    <w:rsid w:val="37265173"/>
    <w:rsid w:val="37296A11"/>
    <w:rsid w:val="3759048B"/>
    <w:rsid w:val="3809239F"/>
    <w:rsid w:val="381C0324"/>
    <w:rsid w:val="38433B03"/>
    <w:rsid w:val="38563836"/>
    <w:rsid w:val="38877E93"/>
    <w:rsid w:val="38A13E1C"/>
    <w:rsid w:val="38CA40DD"/>
    <w:rsid w:val="38CC7F9C"/>
    <w:rsid w:val="38E76B84"/>
    <w:rsid w:val="38FD1F03"/>
    <w:rsid w:val="390F7E89"/>
    <w:rsid w:val="392E47B3"/>
    <w:rsid w:val="395F2B56"/>
    <w:rsid w:val="398D772B"/>
    <w:rsid w:val="39D07618"/>
    <w:rsid w:val="3A092B2A"/>
    <w:rsid w:val="3A0B4AF4"/>
    <w:rsid w:val="3A5C0EAC"/>
    <w:rsid w:val="3B312338"/>
    <w:rsid w:val="3B4A51A8"/>
    <w:rsid w:val="3B5B5607"/>
    <w:rsid w:val="3B90705F"/>
    <w:rsid w:val="3B9D177C"/>
    <w:rsid w:val="3BB6283D"/>
    <w:rsid w:val="3BDB4052"/>
    <w:rsid w:val="3BECE841"/>
    <w:rsid w:val="3C720E5A"/>
    <w:rsid w:val="3CEF6007"/>
    <w:rsid w:val="3D143CBF"/>
    <w:rsid w:val="3D4D2D2E"/>
    <w:rsid w:val="3DD05E38"/>
    <w:rsid w:val="3DF8713D"/>
    <w:rsid w:val="3DFD29A6"/>
    <w:rsid w:val="3E151A9D"/>
    <w:rsid w:val="3E5500EC"/>
    <w:rsid w:val="3E7A5DA4"/>
    <w:rsid w:val="3E9E5F37"/>
    <w:rsid w:val="3EA370A9"/>
    <w:rsid w:val="3EBF1A09"/>
    <w:rsid w:val="3EFD2AC1"/>
    <w:rsid w:val="3F1104B7"/>
    <w:rsid w:val="3F544847"/>
    <w:rsid w:val="3F836EDA"/>
    <w:rsid w:val="3FCC6AD3"/>
    <w:rsid w:val="3FF7797D"/>
    <w:rsid w:val="40B76E3C"/>
    <w:rsid w:val="40C357E1"/>
    <w:rsid w:val="40E36B26"/>
    <w:rsid w:val="421502BE"/>
    <w:rsid w:val="423F7B2F"/>
    <w:rsid w:val="425A6618"/>
    <w:rsid w:val="42DA1507"/>
    <w:rsid w:val="42F8373B"/>
    <w:rsid w:val="434F5A51"/>
    <w:rsid w:val="435412BA"/>
    <w:rsid w:val="43544E16"/>
    <w:rsid w:val="4358397B"/>
    <w:rsid w:val="43CA332A"/>
    <w:rsid w:val="43D83C99"/>
    <w:rsid w:val="442567B2"/>
    <w:rsid w:val="44330ECF"/>
    <w:rsid w:val="448654A3"/>
    <w:rsid w:val="45050ABD"/>
    <w:rsid w:val="45961716"/>
    <w:rsid w:val="45B93656"/>
    <w:rsid w:val="45C51FFB"/>
    <w:rsid w:val="45D67D64"/>
    <w:rsid w:val="45ED50AE"/>
    <w:rsid w:val="45F20916"/>
    <w:rsid w:val="46454EEA"/>
    <w:rsid w:val="465D2233"/>
    <w:rsid w:val="46737CA9"/>
    <w:rsid w:val="46853538"/>
    <w:rsid w:val="46B06807"/>
    <w:rsid w:val="46DC584E"/>
    <w:rsid w:val="46E464B1"/>
    <w:rsid w:val="46FF153C"/>
    <w:rsid w:val="471C5C4A"/>
    <w:rsid w:val="475E44B5"/>
    <w:rsid w:val="477A7EB5"/>
    <w:rsid w:val="47E30E5E"/>
    <w:rsid w:val="47E349BA"/>
    <w:rsid w:val="48693111"/>
    <w:rsid w:val="48E00EFA"/>
    <w:rsid w:val="491017DF"/>
    <w:rsid w:val="4941408E"/>
    <w:rsid w:val="49DB003F"/>
    <w:rsid w:val="4A111CB3"/>
    <w:rsid w:val="4A443E36"/>
    <w:rsid w:val="4A8E50B1"/>
    <w:rsid w:val="4A9B77CE"/>
    <w:rsid w:val="4A9D70A2"/>
    <w:rsid w:val="4AA04DE4"/>
    <w:rsid w:val="4AA06B93"/>
    <w:rsid w:val="4AA2290B"/>
    <w:rsid w:val="4AC72371"/>
    <w:rsid w:val="4AD36F68"/>
    <w:rsid w:val="4AEC002A"/>
    <w:rsid w:val="4B7778F3"/>
    <w:rsid w:val="4B916D2A"/>
    <w:rsid w:val="4BE13907"/>
    <w:rsid w:val="4C431ECB"/>
    <w:rsid w:val="4C6562E6"/>
    <w:rsid w:val="4CC0176E"/>
    <w:rsid w:val="4D1675E0"/>
    <w:rsid w:val="4D5819A6"/>
    <w:rsid w:val="4D5F4AE3"/>
    <w:rsid w:val="4D6E77E9"/>
    <w:rsid w:val="4D754306"/>
    <w:rsid w:val="4D812CAB"/>
    <w:rsid w:val="4DF25957"/>
    <w:rsid w:val="4EDD03B5"/>
    <w:rsid w:val="4F302BDB"/>
    <w:rsid w:val="4F6C798B"/>
    <w:rsid w:val="4F7800DE"/>
    <w:rsid w:val="4FD74D0A"/>
    <w:rsid w:val="50447FC0"/>
    <w:rsid w:val="50566671"/>
    <w:rsid w:val="50697A27"/>
    <w:rsid w:val="51025EB1"/>
    <w:rsid w:val="511107EA"/>
    <w:rsid w:val="512C2F2E"/>
    <w:rsid w:val="51452242"/>
    <w:rsid w:val="51B51175"/>
    <w:rsid w:val="524E5126"/>
    <w:rsid w:val="525E180D"/>
    <w:rsid w:val="526A6404"/>
    <w:rsid w:val="52A01E26"/>
    <w:rsid w:val="53073C53"/>
    <w:rsid w:val="530879CB"/>
    <w:rsid w:val="532A16EF"/>
    <w:rsid w:val="535E7DE9"/>
    <w:rsid w:val="53A1135E"/>
    <w:rsid w:val="53D37FD9"/>
    <w:rsid w:val="54CA13DC"/>
    <w:rsid w:val="54D933CD"/>
    <w:rsid w:val="551B1C37"/>
    <w:rsid w:val="5560589C"/>
    <w:rsid w:val="55884D97"/>
    <w:rsid w:val="55963418"/>
    <w:rsid w:val="559E0172"/>
    <w:rsid w:val="55B31E70"/>
    <w:rsid w:val="55F10BEA"/>
    <w:rsid w:val="56301712"/>
    <w:rsid w:val="564C5E20"/>
    <w:rsid w:val="56E46059"/>
    <w:rsid w:val="573568B4"/>
    <w:rsid w:val="575D6537"/>
    <w:rsid w:val="57715B3F"/>
    <w:rsid w:val="5789732C"/>
    <w:rsid w:val="57A71560"/>
    <w:rsid w:val="57AB3ACC"/>
    <w:rsid w:val="57D165DD"/>
    <w:rsid w:val="57D83E10"/>
    <w:rsid w:val="5839086E"/>
    <w:rsid w:val="583A23D4"/>
    <w:rsid w:val="5853793A"/>
    <w:rsid w:val="58616610"/>
    <w:rsid w:val="589715D5"/>
    <w:rsid w:val="58D72319"/>
    <w:rsid w:val="58E97957"/>
    <w:rsid w:val="59126EAD"/>
    <w:rsid w:val="59973856"/>
    <w:rsid w:val="59995821"/>
    <w:rsid w:val="59C81C62"/>
    <w:rsid w:val="59CD1026"/>
    <w:rsid w:val="59FD7B5D"/>
    <w:rsid w:val="5A3B2434"/>
    <w:rsid w:val="5A4A2677"/>
    <w:rsid w:val="5A533C21"/>
    <w:rsid w:val="5A67147B"/>
    <w:rsid w:val="5AC10B8B"/>
    <w:rsid w:val="5ACC7530"/>
    <w:rsid w:val="5B527A35"/>
    <w:rsid w:val="5B8F2A37"/>
    <w:rsid w:val="5BA1276A"/>
    <w:rsid w:val="5BAF4E87"/>
    <w:rsid w:val="5BF907F8"/>
    <w:rsid w:val="5BFF6039"/>
    <w:rsid w:val="5C9F314E"/>
    <w:rsid w:val="5D431D2B"/>
    <w:rsid w:val="5D76A616"/>
    <w:rsid w:val="5D7F20B9"/>
    <w:rsid w:val="5DA86032"/>
    <w:rsid w:val="5DAC7D0E"/>
    <w:rsid w:val="5F103E8F"/>
    <w:rsid w:val="5F773F0E"/>
    <w:rsid w:val="5F920D48"/>
    <w:rsid w:val="5F98B5AF"/>
    <w:rsid w:val="5FED5F7E"/>
    <w:rsid w:val="5FFE8511"/>
    <w:rsid w:val="5FFEACE2"/>
    <w:rsid w:val="600627FB"/>
    <w:rsid w:val="60AA20C1"/>
    <w:rsid w:val="60C07B37"/>
    <w:rsid w:val="60C457D9"/>
    <w:rsid w:val="60F375C4"/>
    <w:rsid w:val="614C4F26"/>
    <w:rsid w:val="61693D2A"/>
    <w:rsid w:val="617605EE"/>
    <w:rsid w:val="619C7C5C"/>
    <w:rsid w:val="61C046A0"/>
    <w:rsid w:val="626544F2"/>
    <w:rsid w:val="62C751AC"/>
    <w:rsid w:val="63B05C41"/>
    <w:rsid w:val="63CF256B"/>
    <w:rsid w:val="63F7561D"/>
    <w:rsid w:val="641F6922"/>
    <w:rsid w:val="64216B3E"/>
    <w:rsid w:val="642B3519"/>
    <w:rsid w:val="643EE26D"/>
    <w:rsid w:val="644545DB"/>
    <w:rsid w:val="65071890"/>
    <w:rsid w:val="65165F77"/>
    <w:rsid w:val="65757142"/>
    <w:rsid w:val="657F1D6E"/>
    <w:rsid w:val="65C23A09"/>
    <w:rsid w:val="65C6799D"/>
    <w:rsid w:val="65E47E23"/>
    <w:rsid w:val="660A79D6"/>
    <w:rsid w:val="66C0263F"/>
    <w:rsid w:val="676236F6"/>
    <w:rsid w:val="67BB4BB4"/>
    <w:rsid w:val="686F60CA"/>
    <w:rsid w:val="68B65AA7"/>
    <w:rsid w:val="697274F4"/>
    <w:rsid w:val="69CA10DE"/>
    <w:rsid w:val="6A220F1A"/>
    <w:rsid w:val="6A260A0B"/>
    <w:rsid w:val="6A3824EC"/>
    <w:rsid w:val="6A9569A5"/>
    <w:rsid w:val="6B0074AE"/>
    <w:rsid w:val="6B3E3B32"/>
    <w:rsid w:val="6BB362CE"/>
    <w:rsid w:val="6BC4672D"/>
    <w:rsid w:val="6C164AAF"/>
    <w:rsid w:val="6C884A11"/>
    <w:rsid w:val="6CA9147F"/>
    <w:rsid w:val="6D170ADE"/>
    <w:rsid w:val="6D34343E"/>
    <w:rsid w:val="6E160D96"/>
    <w:rsid w:val="6E2C2368"/>
    <w:rsid w:val="6E647D53"/>
    <w:rsid w:val="6E7206C2"/>
    <w:rsid w:val="6EDC5B3C"/>
    <w:rsid w:val="6F285225"/>
    <w:rsid w:val="6F5C41AC"/>
    <w:rsid w:val="6F834209"/>
    <w:rsid w:val="6FA7614A"/>
    <w:rsid w:val="6FAF6C78"/>
    <w:rsid w:val="70877D29"/>
    <w:rsid w:val="70DA7C91"/>
    <w:rsid w:val="70F074A0"/>
    <w:rsid w:val="70F76C5D"/>
    <w:rsid w:val="714479C8"/>
    <w:rsid w:val="717A163C"/>
    <w:rsid w:val="71B608C6"/>
    <w:rsid w:val="7202419A"/>
    <w:rsid w:val="720F6228"/>
    <w:rsid w:val="72331F17"/>
    <w:rsid w:val="7235262F"/>
    <w:rsid w:val="72BB1F0C"/>
    <w:rsid w:val="72BC63B0"/>
    <w:rsid w:val="72F35B4A"/>
    <w:rsid w:val="731358A4"/>
    <w:rsid w:val="7317C656"/>
    <w:rsid w:val="734ED73F"/>
    <w:rsid w:val="73591E51"/>
    <w:rsid w:val="735D2FC3"/>
    <w:rsid w:val="739E7864"/>
    <w:rsid w:val="73B01345"/>
    <w:rsid w:val="73CB617F"/>
    <w:rsid w:val="7407365B"/>
    <w:rsid w:val="7487654A"/>
    <w:rsid w:val="74C4183A"/>
    <w:rsid w:val="74C4654A"/>
    <w:rsid w:val="74E7348C"/>
    <w:rsid w:val="7590142E"/>
    <w:rsid w:val="75E55C1E"/>
    <w:rsid w:val="75F06371"/>
    <w:rsid w:val="761C0F14"/>
    <w:rsid w:val="762304F4"/>
    <w:rsid w:val="7657019E"/>
    <w:rsid w:val="7662726E"/>
    <w:rsid w:val="77212C85"/>
    <w:rsid w:val="773A78A3"/>
    <w:rsid w:val="774733AE"/>
    <w:rsid w:val="775F37AE"/>
    <w:rsid w:val="776E39F1"/>
    <w:rsid w:val="77FD8BE9"/>
    <w:rsid w:val="78850FF2"/>
    <w:rsid w:val="789631FF"/>
    <w:rsid w:val="7899684C"/>
    <w:rsid w:val="79134850"/>
    <w:rsid w:val="797966F0"/>
    <w:rsid w:val="79A9BD3F"/>
    <w:rsid w:val="79DC10E6"/>
    <w:rsid w:val="7A100D8F"/>
    <w:rsid w:val="7A8B6668"/>
    <w:rsid w:val="7A987115"/>
    <w:rsid w:val="7AB756AF"/>
    <w:rsid w:val="7AED2E7F"/>
    <w:rsid w:val="7B6A44CF"/>
    <w:rsid w:val="7B915F00"/>
    <w:rsid w:val="7BC10593"/>
    <w:rsid w:val="7BFFFDD0"/>
    <w:rsid w:val="7C287EA6"/>
    <w:rsid w:val="7C336E5F"/>
    <w:rsid w:val="7CBC0D5A"/>
    <w:rsid w:val="7D1F2A20"/>
    <w:rsid w:val="7D1F7AD0"/>
    <w:rsid w:val="7D690EE2"/>
    <w:rsid w:val="7D7A5F86"/>
    <w:rsid w:val="7DB54128"/>
    <w:rsid w:val="7DDB16B4"/>
    <w:rsid w:val="7DE62533"/>
    <w:rsid w:val="7EC81C39"/>
    <w:rsid w:val="7ED14F9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19"/>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autoRedefine/>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Char"/>
    <w:basedOn w:val="14"/>
    <w:link w:val="6"/>
    <w:autoRedefine/>
    <w:qFormat/>
    <w:uiPriority w:val="0"/>
    <w:rPr>
      <w:rFonts w:ascii="Times New Roman" w:hAnsi="Times New Roman" w:eastAsia="宋体" w:cs="Times New Roman"/>
      <w:kern w:val="2"/>
      <w:sz w:val="18"/>
      <w:szCs w:val="18"/>
    </w:rPr>
  </w:style>
  <w:style w:type="character" w:customStyle="1" w:styleId="20">
    <w:name w:val="页眉 Char"/>
    <w:basedOn w:val="14"/>
    <w:link w:val="8"/>
    <w:autoRedefine/>
    <w:qFormat/>
    <w:uiPriority w:val="0"/>
    <w:rPr>
      <w:rFonts w:ascii="Times New Roman" w:hAnsi="Times New Roman" w:eastAsia="宋体" w:cs="Times New Roman"/>
      <w:kern w:val="2"/>
      <w:sz w:val="18"/>
      <w:szCs w:val="18"/>
    </w:rPr>
  </w:style>
  <w:style w:type="character" w:customStyle="1" w:styleId="21">
    <w:name w:val="批注文字 Char"/>
    <w:basedOn w:val="14"/>
    <w:link w:val="3"/>
    <w:autoRedefine/>
    <w:qFormat/>
    <w:uiPriority w:val="0"/>
    <w:rPr>
      <w:rFonts w:ascii="Times New Roman" w:hAnsi="Times New Roman" w:eastAsia="宋体" w:cs="Times New Roman"/>
      <w:kern w:val="2"/>
      <w:sz w:val="21"/>
      <w:szCs w:val="24"/>
    </w:rPr>
  </w:style>
  <w:style w:type="character" w:customStyle="1" w:styleId="22">
    <w:name w:val="批注主题 Char"/>
    <w:basedOn w:val="21"/>
    <w:link w:val="10"/>
    <w:autoRedefine/>
    <w:qFormat/>
    <w:uiPriority w:val="0"/>
    <w:rPr>
      <w:rFonts w:ascii="Times New Roman" w:hAnsi="Times New Roman" w:eastAsia="宋体" w:cs="Times New Roman"/>
      <w:b/>
      <w:bCs/>
      <w:kern w:val="2"/>
      <w:sz w:val="21"/>
      <w:szCs w:val="24"/>
    </w:rPr>
  </w:style>
  <w:style w:type="character" w:customStyle="1" w:styleId="23">
    <w:name w:val="font41"/>
    <w:basedOn w:val="14"/>
    <w:qFormat/>
    <w:uiPriority w:val="0"/>
    <w:rPr>
      <w:rFonts w:hint="eastAsia" w:ascii="宋体" w:hAnsi="宋体" w:eastAsia="宋体" w:cs="宋体"/>
      <w:color w:val="000000"/>
      <w:sz w:val="18"/>
      <w:szCs w:val="18"/>
      <w:u w:val="none"/>
    </w:rPr>
  </w:style>
  <w:style w:type="character" w:customStyle="1" w:styleId="24">
    <w:name w:val="font81"/>
    <w:basedOn w:val="14"/>
    <w:qFormat/>
    <w:uiPriority w:val="0"/>
    <w:rPr>
      <w:rFonts w:hint="default" w:ascii="仿宋_GB2312" w:eastAsia="仿宋_GB2312" w:cs="仿宋_GB2312"/>
      <w:color w:val="000000"/>
      <w:sz w:val="13"/>
      <w:szCs w:val="13"/>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9692</Words>
  <Characters>10249</Characters>
  <Lines>76</Lines>
  <Paragraphs>21</Paragraphs>
  <TotalTime>25</TotalTime>
  <ScaleCrop>false</ScaleCrop>
  <LinksUpToDate>false</LinksUpToDate>
  <CharactersWithSpaces>10266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2024-04-13T02:01:00Z</dcterms:created>
  <dc:creator>审核人</dc:creator>
  <cp:lastModifiedBy>默</cp:lastModifiedBy>
  <dcterms:modified xsi:type="dcterms:W3CDTF">2024-08-27T06:32:51Z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C6FC6026C66D43798E72F00423E28F3B_13</vt:lpwstr>
  </property>
</Properties>
</file>