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080" w:type="dxa"/>
        <w:jc w:val="center"/>
        <w:tblLayout w:type="fixed"/>
        <w:tblCellMar>
          <w:top w:w="0" w:type="dxa"/>
          <w:left w:w="108" w:type="dxa"/>
          <w:bottom w:w="0" w:type="dxa"/>
          <w:right w:w="108" w:type="dxa"/>
        </w:tblCellMar>
      </w:tblPr>
      <w:tblGrid>
        <w:gridCol w:w="588"/>
        <w:gridCol w:w="980"/>
        <w:gridCol w:w="1112"/>
        <w:gridCol w:w="730"/>
        <w:gridCol w:w="1134"/>
        <w:gridCol w:w="90"/>
        <w:gridCol w:w="940"/>
        <w:gridCol w:w="955"/>
        <w:gridCol w:w="283"/>
        <w:gridCol w:w="284"/>
        <w:gridCol w:w="425"/>
        <w:gridCol w:w="323"/>
        <w:gridCol w:w="528"/>
        <w:gridCol w:w="708"/>
      </w:tblGrid>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left"/>
              <w:rPr>
                <w:rFonts w:hint="default" w:ascii="宋体" w:hAnsi="宋体" w:eastAsia="宋体" w:cs="宋体"/>
                <w:b/>
                <w:bCs/>
                <w:kern w:val="0"/>
                <w:sz w:val="32"/>
                <w:szCs w:val="32"/>
                <w:lang w:val="en-US" w:eastAsia="zh-CN"/>
              </w:rPr>
            </w:pPr>
          </w:p>
        </w:tc>
      </w:tr>
      <w:tr>
        <w:tblPrEx>
          <w:tblCellMar>
            <w:top w:w="0" w:type="dxa"/>
            <w:left w:w="108" w:type="dxa"/>
            <w:bottom w:w="0" w:type="dxa"/>
            <w:right w:w="108" w:type="dxa"/>
          </w:tblCellMar>
        </w:tblPrEx>
        <w:trPr>
          <w:trHeight w:val="454" w:hRule="exact"/>
          <w:jc w:val="center"/>
        </w:trPr>
        <w:tc>
          <w:tcPr>
            <w:tcW w:w="9080" w:type="dxa"/>
            <w:gridSpan w:val="14"/>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w:t>
            </w:r>
            <w:r>
              <w:rPr>
                <w:rFonts w:hint="eastAsia" w:ascii="宋体" w:hAnsi="宋体" w:eastAsia="宋体" w:cs="宋体"/>
                <w:kern w:val="0"/>
                <w:sz w:val="22"/>
                <w:szCs w:val="22"/>
                <w:lang w:val="en-US" w:eastAsia="zh-CN"/>
              </w:rPr>
              <w:t>2023</w:t>
            </w:r>
            <w:r>
              <w:rPr>
                <w:rFonts w:hint="eastAsia" w:ascii="宋体" w:hAnsi="宋体" w:eastAsia="宋体" w:cs="宋体"/>
                <w:kern w:val="0"/>
                <w:sz w:val="22"/>
                <w:szCs w:val="22"/>
              </w:rPr>
              <w:t>年度）</w:t>
            </w:r>
          </w:p>
        </w:tc>
      </w:tr>
      <w:tr>
        <w:tblPrEx>
          <w:tblCellMar>
            <w:top w:w="0" w:type="dxa"/>
            <w:left w:w="108" w:type="dxa"/>
            <w:bottom w:w="0" w:type="dxa"/>
            <w:right w:w="108" w:type="dxa"/>
          </w:tblCellMar>
        </w:tblPrEx>
        <w:trPr>
          <w:trHeight w:val="45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 w:eastAsia="zh-CN"/>
              </w:rPr>
              <w:t>自治区总量控制及排污权全业务监管信息平台运维保障项目</w:t>
            </w:r>
          </w:p>
        </w:tc>
      </w:tr>
      <w:tr>
        <w:tblPrEx>
          <w:tblCellMar>
            <w:top w:w="0" w:type="dxa"/>
            <w:left w:w="108" w:type="dxa"/>
            <w:bottom w:w="0" w:type="dxa"/>
            <w:right w:w="108" w:type="dxa"/>
          </w:tblCellMar>
        </w:tblPrEx>
        <w:trPr>
          <w:trHeight w:val="96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0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 w:eastAsia="zh-CN"/>
              </w:rPr>
            </w:pPr>
            <w:r>
              <w:rPr>
                <w:rFonts w:hint="eastAsia" w:ascii="宋体" w:hAnsi="宋体" w:eastAsia="宋体" w:cs="宋体"/>
                <w:kern w:val="0"/>
                <w:sz w:val="18"/>
                <w:szCs w:val="18"/>
                <w:lang w:val="en" w:eastAsia="zh-CN"/>
              </w:rPr>
              <w:t>新疆维吾尔族自治区生态环境厅</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新疆维吾尔自治区排污权交易储备中心（自治区应对气候变化与低碳发展研究中心）</w:t>
            </w:r>
          </w:p>
        </w:tc>
      </w:tr>
      <w:tr>
        <w:tblPrEx>
          <w:tblCellMar>
            <w:top w:w="0" w:type="dxa"/>
            <w:left w:w="108" w:type="dxa"/>
            <w:bottom w:w="0" w:type="dxa"/>
            <w:right w:w="108" w:type="dxa"/>
          </w:tblCellMar>
        </w:tblPrEx>
        <w:trPr>
          <w:trHeight w:val="454"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bookmarkStart w:id="0" w:name="_GoBack"/>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0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bookmarkEnd w:id="0"/>
      <w:tr>
        <w:tblPrEx>
          <w:tblCellMar>
            <w:top w:w="0" w:type="dxa"/>
            <w:left w:w="108" w:type="dxa"/>
            <w:bottom w:w="0" w:type="dxa"/>
            <w:right w:w="108" w:type="dxa"/>
          </w:tblCellMar>
        </w:tblPrEx>
        <w:trPr>
          <w:trHeight w:val="454"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0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rPr>
            </w:pPr>
            <w:r>
              <w:rPr>
                <w:rFonts w:hint="eastAsia" w:ascii="宋体" w:hAnsi="宋体" w:eastAsia="宋体" w:cs="宋体"/>
                <w:kern w:val="0"/>
                <w:sz w:val="18"/>
                <w:szCs w:val="18"/>
                <w:lang w:val="en-US" w:eastAsia="zh-CN"/>
              </w:rPr>
              <w:t>100</w:t>
            </w:r>
            <w:r>
              <w:rPr>
                <w:rFonts w:hint="default" w:ascii="宋体" w:hAnsi="宋体" w:eastAsia="宋体" w:cs="宋体"/>
                <w:kern w:val="0"/>
                <w:sz w:val="18"/>
                <w:szCs w:val="18"/>
                <w:lang w:val="en"/>
              </w:rPr>
              <w:t>%</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454"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03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454"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454"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03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3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9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50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1971"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98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项目用于自治区总量控制及排污权全业务监管信息平台的运维保障；委托第三方对总量控制及排污权全业务监管信息平台一套进行运维，维护服务器数量不少于两台，平台故障修复率达到</w:t>
            </w:r>
            <w:r>
              <w:rPr>
                <w:rFonts w:hint="eastAsia" w:ascii="宋体" w:hAnsi="宋体" w:eastAsia="宋体" w:cs="宋体"/>
                <w:kern w:val="0"/>
                <w:sz w:val="18"/>
                <w:szCs w:val="18"/>
                <w:lang w:val="en-US" w:eastAsia="zh-CN"/>
              </w:rPr>
              <w:t>95%以上，平台故障响应时限不超过两小时，通过项目的实施有效保障平台系统整体安全稳定运行；优化完善重要业务系统功能，使重要信息系统更好的为业务做支撑。</w:t>
            </w:r>
          </w:p>
        </w:tc>
        <w:tc>
          <w:tcPr>
            <w:tcW w:w="350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eastAsia="zh-CN"/>
              </w:rPr>
              <w:t>本年度完成信息化运维服务，业务系统，基础设施的管理以及日常维护</w:t>
            </w:r>
            <w:r>
              <w:rPr>
                <w:rFonts w:hint="eastAsia" w:ascii="宋体" w:hAnsi="宋体" w:cs="宋体"/>
                <w:kern w:val="0"/>
                <w:sz w:val="18"/>
                <w:szCs w:val="18"/>
                <w:lang w:eastAsia="zh-CN"/>
              </w:rPr>
              <w:t>。</w:t>
            </w:r>
            <w:r>
              <w:rPr>
                <w:rFonts w:hint="eastAsia" w:ascii="宋体" w:hAnsi="宋体" w:eastAsia="宋体" w:cs="宋体"/>
                <w:kern w:val="0"/>
                <w:sz w:val="18"/>
                <w:szCs w:val="18"/>
                <w:lang w:eastAsia="zh-CN"/>
              </w:rPr>
              <w:t>确保了</w:t>
            </w:r>
            <w:r>
              <w:rPr>
                <w:rFonts w:hint="eastAsia" w:ascii="宋体" w:hAnsi="宋体" w:cs="宋体"/>
                <w:kern w:val="0"/>
                <w:sz w:val="18"/>
                <w:szCs w:val="18"/>
                <w:lang w:val="en-US" w:eastAsia="zh-CN"/>
              </w:rPr>
              <w:t>2023</w:t>
            </w:r>
            <w:r>
              <w:rPr>
                <w:rFonts w:hint="eastAsia" w:ascii="宋体" w:hAnsi="宋体" w:eastAsia="宋体" w:cs="宋体"/>
                <w:kern w:val="0"/>
                <w:sz w:val="18"/>
                <w:szCs w:val="18"/>
                <w:lang w:eastAsia="zh-CN"/>
              </w:rPr>
              <w:t>年度自治区总量控制及排污权全业务监管信息平台系统的正常稳定运行，提高了业务系统功能，达到项目实施预期目标。</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维护服务器数量</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eastAsia="zh-CN"/>
              </w:rPr>
            </w:pPr>
            <w:r>
              <w:rPr>
                <w:rFonts w:hint="default" w:ascii="宋体" w:hAnsi="宋体" w:eastAsia="宋体" w:cs="宋体"/>
                <w:kern w:val="0"/>
                <w:sz w:val="18"/>
                <w:szCs w:val="18"/>
                <w:lang w:val="en" w:eastAsia="zh-CN"/>
              </w:rPr>
              <w:t>≧2个</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 w:eastAsia="zh-CN"/>
              </w:rPr>
            </w:pPr>
            <w:r>
              <w:rPr>
                <w:rFonts w:hint="eastAsia" w:ascii="宋体" w:hAnsi="宋体" w:eastAsia="宋体" w:cs="宋体"/>
                <w:kern w:val="0"/>
                <w:sz w:val="18"/>
                <w:szCs w:val="18"/>
                <w:lang w:val="en-US" w:eastAsia="zh-CN"/>
              </w:rPr>
              <w:t>2</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 w:eastAsia="zh-CN"/>
              </w:rPr>
            </w:pPr>
            <w:r>
              <w:rPr>
                <w:rFonts w:hint="eastAsia" w:ascii="宋体" w:hAnsi="宋体" w:eastAsia="宋体" w:cs="宋体"/>
                <w:color w:val="000000"/>
                <w:kern w:val="0"/>
                <w:sz w:val="18"/>
                <w:szCs w:val="18"/>
                <w:lang w:val="en" w:eastAsia="zh-CN"/>
              </w:rPr>
              <w:t>网络连通率</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 w:eastAsia="zh-CN"/>
              </w:rPr>
            </w:pPr>
            <w:r>
              <w:rPr>
                <w:rFonts w:hint="default" w:ascii="宋体" w:hAnsi="宋体" w:eastAsia="宋体" w:cs="宋体"/>
                <w:kern w:val="0"/>
                <w:sz w:val="18"/>
                <w:szCs w:val="18"/>
                <w:lang w:val="en"/>
              </w:rPr>
              <w:t>≥90%</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平台故障修复率</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rPr>
            </w:pPr>
            <w:r>
              <w:rPr>
                <w:rFonts w:hint="default" w:ascii="宋体" w:hAnsi="宋体" w:eastAsia="宋体" w:cs="宋体"/>
                <w:kern w:val="0"/>
                <w:sz w:val="18"/>
                <w:szCs w:val="18"/>
                <w:lang w:val="en"/>
              </w:rPr>
              <w:t>≥95%</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平台故障响应时限</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 w:eastAsia="zh-CN"/>
              </w:rPr>
              <w:t>≦2小时</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1小时</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rPr>
            </w:pPr>
            <w:r>
              <w:rPr>
                <w:rFonts w:hint="default" w:ascii="宋体" w:hAnsi="宋体" w:eastAsia="宋体" w:cs="宋体"/>
                <w:kern w:val="0"/>
                <w:sz w:val="18"/>
                <w:szCs w:val="18"/>
                <w:lang w:val="e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年度系统维护成本增长率</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0%</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效益指标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总量减排等环保业务办理工作效率</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有所提升</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有所提升</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rPr>
            </w:pPr>
            <w:r>
              <w:rPr>
                <w:rFonts w:hint="default" w:ascii="宋体" w:hAnsi="宋体" w:eastAsia="宋体" w:cs="宋体"/>
                <w:kern w:val="0"/>
                <w:sz w:val="18"/>
                <w:szCs w:val="18"/>
                <w:lang w:val="en"/>
              </w:rPr>
              <w:t>30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855"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954"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用户满意度</w:t>
            </w:r>
          </w:p>
        </w:tc>
        <w:tc>
          <w:tcPr>
            <w:tcW w:w="940"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rPr>
            </w:pPr>
            <w:r>
              <w:rPr>
                <w:rFonts w:hint="default" w:ascii="宋体" w:hAnsi="宋体" w:eastAsia="宋体" w:cs="宋体"/>
                <w:kern w:val="0"/>
                <w:sz w:val="18"/>
                <w:szCs w:val="18"/>
                <w:lang w:val="en"/>
              </w:rPr>
              <w:t>≥95%</w:t>
            </w:r>
          </w:p>
        </w:tc>
        <w:tc>
          <w:tcPr>
            <w:tcW w:w="9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rPr>
            </w:pPr>
            <w:r>
              <w:rPr>
                <w:rFonts w:hint="default" w:ascii="宋体" w:hAnsi="宋体" w:eastAsia="宋体" w:cs="宋体"/>
                <w:kern w:val="0"/>
                <w:sz w:val="18"/>
                <w:szCs w:val="18"/>
                <w:lang w:val="en"/>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
              </w:rPr>
            </w:pPr>
            <w:r>
              <w:rPr>
                <w:rFonts w:hint="default" w:ascii="宋体" w:hAnsi="宋体" w:eastAsia="宋体" w:cs="宋体"/>
                <w:kern w:val="0"/>
                <w:sz w:val="18"/>
                <w:szCs w:val="18"/>
                <w:lang w:val="en"/>
              </w:rPr>
              <w:t>10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4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48"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2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4OTQ2ZGMzNjhjYmU5MjEwMTIwYzc0ZTkxYWM2ZDgifQ=="/>
  </w:docVars>
  <w:rsids>
    <w:rsidRoot w:val="005144AE"/>
    <w:rsid w:val="001209D6"/>
    <w:rsid w:val="005144AE"/>
    <w:rsid w:val="2AC53D75"/>
    <w:rsid w:val="4B803512"/>
    <w:rsid w:val="55415E92"/>
    <w:rsid w:val="5BAD42CE"/>
    <w:rsid w:val="5FFD431F"/>
    <w:rsid w:val="617F7A8A"/>
    <w:rsid w:val="6E1D7330"/>
    <w:rsid w:val="76C125BF"/>
    <w:rsid w:val="A75D774E"/>
    <w:rsid w:val="FFC7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4">
    <w:name w:val="Default Paragraph Font"/>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semiHidden/>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304</Words>
  <Characters>310</Characters>
  <Lines>4</Lines>
  <Paragraphs>1</Paragraphs>
  <TotalTime>64</TotalTime>
  <ScaleCrop>false</ScaleCrop>
  <LinksUpToDate>false</LinksUpToDate>
  <CharactersWithSpaces>318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2022-01-25T03:10:00Z</dcterms:created>
  <dc:creator>Administrator</dc:creator>
  <cp:lastModifiedBy></cp:lastModifiedBy>
  <dcterms:modified xsi:type="dcterms:W3CDTF">2024-02-23T08:16:31Z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F2D50DD01E3B47DDAA622E1EFBE1FBAC</vt:lpwstr>
  </property>
</Properties>
</file>