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color w:val="auto"/>
          <w:kern w:val="0"/>
          <w:sz w:val="72"/>
          <w:szCs w:val="72"/>
          <w:highlight w:val="none"/>
        </w:rPr>
      </w:pPr>
    </w:p>
    <w:p>
      <w:pPr>
        <w:spacing w:line="540" w:lineRule="exact"/>
        <w:jc w:val="center"/>
        <w:rPr>
          <w:rFonts w:eastAsia="华文中宋"/>
          <w:b/>
          <w:color w:val="auto"/>
          <w:kern w:val="0"/>
          <w:sz w:val="52"/>
          <w:szCs w:val="52"/>
          <w:highlight w:val="none"/>
        </w:rPr>
      </w:pPr>
    </w:p>
    <w:p>
      <w:pPr>
        <w:spacing w:line="540" w:lineRule="exact"/>
        <w:jc w:val="center"/>
        <w:rPr>
          <w:rFonts w:eastAsia="华文中宋"/>
          <w:b/>
          <w:color w:val="auto"/>
          <w:kern w:val="0"/>
          <w:sz w:val="52"/>
          <w:szCs w:val="52"/>
          <w:highlight w:val="none"/>
        </w:rPr>
      </w:pPr>
    </w:p>
    <w:p>
      <w:pPr>
        <w:spacing w:line="700" w:lineRule="exact"/>
        <w:ind w:left="510" w:leftChars="243"/>
        <w:jc w:val="left"/>
        <w:rPr>
          <w:rFonts w:eastAsia="方正小标宋_GBK"/>
          <w:color w:val="auto"/>
          <w:kern w:val="0"/>
          <w:sz w:val="48"/>
          <w:szCs w:val="48"/>
          <w:highlight w:val="none"/>
        </w:rPr>
      </w:pPr>
      <w:r>
        <w:rPr>
          <w:rFonts w:hint="eastAsia" w:eastAsia="方正小标宋_GBK"/>
          <w:color w:val="auto"/>
          <w:kern w:val="0"/>
          <w:sz w:val="48"/>
          <w:szCs w:val="48"/>
          <w:highlight w:val="none"/>
        </w:rPr>
        <w:t>自治区固体废弃物（危险废物）监督管理专项</w:t>
      </w:r>
      <w:r>
        <w:rPr>
          <w:rFonts w:eastAsia="方正小标宋_GBK"/>
          <w:color w:val="auto"/>
          <w:kern w:val="0"/>
          <w:sz w:val="48"/>
          <w:szCs w:val="48"/>
          <w:highlight w:val="none"/>
        </w:rPr>
        <w:t>资金项目支出绩效评价报告</w:t>
      </w:r>
    </w:p>
    <w:p>
      <w:pPr>
        <w:spacing w:line="540" w:lineRule="exact"/>
        <w:jc w:val="center"/>
        <w:rPr>
          <w:rFonts w:eastAsia="华文中宋"/>
          <w:b/>
          <w:color w:val="auto"/>
          <w:kern w:val="0"/>
          <w:sz w:val="52"/>
          <w:szCs w:val="52"/>
          <w:highlight w:val="none"/>
        </w:rPr>
      </w:pPr>
    </w:p>
    <w:p>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xml:space="preserve">（ </w:t>
      </w:r>
      <w:r>
        <w:rPr>
          <w:rFonts w:hint="eastAsia" w:eastAsia="仿宋_GB2312"/>
          <w:color w:val="auto"/>
          <w:kern w:val="0"/>
          <w:sz w:val="36"/>
          <w:szCs w:val="36"/>
          <w:highlight w:val="none"/>
        </w:rPr>
        <w:t>2023</w:t>
      </w:r>
      <w:r>
        <w:rPr>
          <w:rFonts w:eastAsia="仿宋_GB2312"/>
          <w:color w:val="auto"/>
          <w:kern w:val="0"/>
          <w:sz w:val="36"/>
          <w:szCs w:val="36"/>
          <w:highlight w:val="none"/>
        </w:rPr>
        <w:t>年度）</w:t>
      </w: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spacing w:line="540" w:lineRule="exact"/>
        <w:rPr>
          <w:rFonts w:eastAsia="仿宋_GB2312"/>
          <w:color w:val="auto"/>
          <w:kern w:val="0"/>
          <w:sz w:val="30"/>
          <w:szCs w:val="30"/>
          <w:highlight w:val="none"/>
        </w:rPr>
      </w:pPr>
    </w:p>
    <w:p>
      <w:pPr>
        <w:spacing w:line="700" w:lineRule="exact"/>
        <w:ind w:left="3425" w:leftChars="688" w:hanging="1980" w:hangingChars="550"/>
        <w:jc w:val="left"/>
        <w:rPr>
          <w:rFonts w:eastAsia="仿宋_GB2312"/>
          <w:color w:val="auto"/>
          <w:kern w:val="0"/>
          <w:sz w:val="36"/>
          <w:szCs w:val="36"/>
          <w:highlight w:val="none"/>
        </w:rPr>
      </w:pPr>
      <w:r>
        <w:rPr>
          <w:rFonts w:eastAsia="仿宋_GB2312"/>
          <w:color w:val="auto"/>
          <w:kern w:val="0"/>
          <w:sz w:val="36"/>
          <w:szCs w:val="36"/>
          <w:highlight w:val="none"/>
        </w:rPr>
        <w:t>项目名称：</w:t>
      </w:r>
      <w:r>
        <w:rPr>
          <w:rFonts w:hint="eastAsia" w:eastAsia="仿宋_GB2312"/>
          <w:color w:val="auto"/>
          <w:kern w:val="0"/>
          <w:sz w:val="36"/>
          <w:szCs w:val="36"/>
          <w:highlight w:val="none"/>
        </w:rPr>
        <w:t>自治区固体废弃物（危险废物）监督管理专项</w:t>
      </w:r>
    </w:p>
    <w:p>
      <w:pPr>
        <w:spacing w:line="700" w:lineRule="exact"/>
        <w:ind w:left="3065" w:leftChars="688" w:hanging="1620" w:hangingChars="450"/>
        <w:jc w:val="left"/>
        <w:rPr>
          <w:rFonts w:eastAsia="仿宋_GB2312"/>
          <w:color w:val="auto"/>
          <w:kern w:val="0"/>
          <w:sz w:val="36"/>
          <w:szCs w:val="36"/>
          <w:highlight w:val="none"/>
        </w:rPr>
      </w:pPr>
      <w:r>
        <w:rPr>
          <w:rFonts w:eastAsia="仿宋_GB2312"/>
          <w:color w:val="auto"/>
          <w:kern w:val="0"/>
          <w:sz w:val="36"/>
          <w:szCs w:val="36"/>
          <w:highlight w:val="none"/>
        </w:rPr>
        <w:t>实施单位（公章）：</w:t>
      </w:r>
      <w:r>
        <w:rPr>
          <w:rFonts w:hint="eastAsia" w:eastAsia="仿宋_GB2312"/>
          <w:color w:val="auto"/>
          <w:kern w:val="0"/>
          <w:sz w:val="36"/>
          <w:szCs w:val="36"/>
          <w:highlight w:val="none"/>
        </w:rPr>
        <w:t>新疆维吾尔自治区固体废物管理中心</w:t>
      </w:r>
    </w:p>
    <w:p>
      <w:pPr>
        <w:spacing w:line="700" w:lineRule="exact"/>
        <w:ind w:left="3065" w:leftChars="688" w:hanging="1620" w:hangingChars="450"/>
        <w:jc w:val="left"/>
        <w:rPr>
          <w:rFonts w:eastAsia="仿宋_GB2312"/>
          <w:color w:val="auto"/>
          <w:kern w:val="0"/>
          <w:sz w:val="36"/>
          <w:szCs w:val="36"/>
          <w:highlight w:val="none"/>
        </w:rPr>
      </w:pPr>
      <w:r>
        <w:rPr>
          <w:rFonts w:eastAsia="仿宋_GB2312"/>
          <w:color w:val="auto"/>
          <w:kern w:val="0"/>
          <w:sz w:val="36"/>
          <w:szCs w:val="36"/>
          <w:highlight w:val="none"/>
        </w:rPr>
        <w:t>主管部门（公章）：</w:t>
      </w:r>
      <w:r>
        <w:rPr>
          <w:rFonts w:hint="eastAsia" w:eastAsia="仿宋_GB2312"/>
          <w:color w:val="auto"/>
          <w:kern w:val="0"/>
          <w:sz w:val="36"/>
          <w:szCs w:val="36"/>
          <w:highlight w:val="none"/>
        </w:rPr>
        <w:t>新疆维吾尔自治区生态环境厅</w:t>
      </w:r>
    </w:p>
    <w:p>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rPr>
        <w:t>李刚</w:t>
      </w:r>
    </w:p>
    <w:p>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rPr>
        <w:t>2024</w:t>
      </w:r>
      <w:r>
        <w:rPr>
          <w:rFonts w:eastAsia="仿宋_GB2312"/>
          <w:color w:val="auto"/>
          <w:kern w:val="0"/>
          <w:sz w:val="36"/>
          <w:szCs w:val="36"/>
          <w:highlight w:val="none"/>
        </w:rPr>
        <w:t>年</w:t>
      </w:r>
      <w:r>
        <w:rPr>
          <w:rFonts w:hint="eastAsia" w:eastAsia="仿宋_GB2312"/>
          <w:color w:val="auto"/>
          <w:kern w:val="0"/>
          <w:sz w:val="36"/>
          <w:szCs w:val="36"/>
          <w:highlight w:val="none"/>
        </w:rPr>
        <w:t>2</w:t>
      </w:r>
      <w:r>
        <w:rPr>
          <w:rFonts w:eastAsia="仿宋_GB2312"/>
          <w:color w:val="auto"/>
          <w:kern w:val="0"/>
          <w:sz w:val="36"/>
          <w:szCs w:val="36"/>
          <w:highlight w:val="none"/>
        </w:rPr>
        <w:t>月</w:t>
      </w:r>
      <w:r>
        <w:rPr>
          <w:rFonts w:hint="eastAsia" w:eastAsia="仿宋_GB2312"/>
          <w:color w:val="auto"/>
          <w:kern w:val="0"/>
          <w:sz w:val="36"/>
          <w:szCs w:val="36"/>
          <w:highlight w:val="none"/>
        </w:rPr>
        <w:t>18</w:t>
      </w:r>
      <w:r>
        <w:rPr>
          <w:rFonts w:eastAsia="仿宋_GB2312"/>
          <w:color w:val="auto"/>
          <w:kern w:val="0"/>
          <w:sz w:val="36"/>
          <w:szCs w:val="36"/>
          <w:highlight w:val="none"/>
        </w:rPr>
        <w:t>日</w:t>
      </w:r>
    </w:p>
    <w:p>
      <w:pPr>
        <w:spacing w:line="540" w:lineRule="exact"/>
        <w:jc w:val="center"/>
        <w:rPr>
          <w:rFonts w:eastAsia="仿宋_GB2312"/>
          <w:color w:val="auto"/>
          <w:kern w:val="0"/>
          <w:sz w:val="30"/>
          <w:szCs w:val="30"/>
          <w:highlight w:val="none"/>
        </w:rPr>
      </w:pPr>
    </w:p>
    <w:p>
      <w:pPr>
        <w:spacing w:line="540" w:lineRule="exact"/>
        <w:rPr>
          <w:rStyle w:val="24"/>
          <w:rFonts w:eastAsia="黑体"/>
          <w:b w:val="0"/>
          <w:color w:val="auto"/>
          <w:spacing w:val="-4"/>
          <w:sz w:val="32"/>
          <w:szCs w:val="32"/>
          <w:highlight w:val="none"/>
        </w:rPr>
      </w:pPr>
    </w:p>
    <w:p>
      <w:pPr>
        <w:spacing w:line="600" w:lineRule="exact"/>
        <w:rPr>
          <w:rFonts w:eastAsia="黑体"/>
          <w:bCs/>
          <w:color w:val="auto"/>
          <w:sz w:val="32"/>
          <w:szCs w:val="32"/>
          <w:highlight w:val="none"/>
        </w:rPr>
        <w:sectPr>
          <w:head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rFonts w:eastAsia="黑体"/>
          <w:bCs/>
          <w:color w:val="auto"/>
          <w:sz w:val="32"/>
          <w:szCs w:val="32"/>
          <w:highlight w:val="none"/>
        </w:rPr>
      </w:pPr>
      <w:r>
        <w:rPr>
          <w:rFonts w:eastAsia="黑体"/>
          <w:bCs/>
          <w:color w:val="auto"/>
          <w:sz w:val="32"/>
          <w:szCs w:val="32"/>
          <w:highlight w:val="none"/>
        </w:rPr>
        <w:t>一、基本情况</w:t>
      </w:r>
    </w:p>
    <w:p>
      <w:pPr>
        <w:spacing w:line="600" w:lineRule="exact"/>
        <w:ind w:firstLine="641"/>
        <w:rPr>
          <w:rFonts w:eastAsia="楷体_GB2312"/>
          <w:b/>
          <w:bCs/>
          <w:color w:val="auto"/>
          <w:sz w:val="32"/>
          <w:szCs w:val="32"/>
          <w:highlight w:val="none"/>
        </w:rPr>
      </w:pPr>
      <w:r>
        <w:rPr>
          <w:rFonts w:eastAsia="楷体_GB2312"/>
          <w:b/>
          <w:bCs/>
          <w:color w:val="auto"/>
          <w:sz w:val="32"/>
          <w:szCs w:val="32"/>
          <w:highlight w:val="none"/>
        </w:rPr>
        <w:t>（一）项目概况</w:t>
      </w:r>
    </w:p>
    <w:p>
      <w:pPr>
        <w:spacing w:line="600" w:lineRule="exact"/>
        <w:ind w:firstLine="641"/>
        <w:rPr>
          <w:rFonts w:eastAsia="仿宋_GB2312"/>
          <w:b/>
          <w:bCs/>
          <w:color w:val="auto"/>
          <w:sz w:val="32"/>
          <w:szCs w:val="32"/>
          <w:highlight w:val="none"/>
        </w:rPr>
      </w:pPr>
      <w:r>
        <w:rPr>
          <w:rFonts w:eastAsia="仿宋_GB2312"/>
          <w:b/>
          <w:bCs/>
          <w:color w:val="auto"/>
          <w:sz w:val="32"/>
          <w:szCs w:val="32"/>
          <w:highlight w:val="none"/>
        </w:rPr>
        <w:t>1、项目背景</w:t>
      </w:r>
    </w:p>
    <w:p>
      <w:pPr>
        <w:spacing w:line="54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十三五”期间，自治区经济社会进入快速发展新常态。随着供给侧结构性改革和“环保优先、生态立区”战略的深入实施，产业结构调整速度加快、经济发展方式逐步转变，会减缓新增污染物排放压力，固体废物（危险废物）及化学品环境管理和污染防治作为生态文明建设和环境保护的重要组成部分已受到高度重视，尤其是在“十四五”期间，自治区固体废物环境管理工作将面临良好机遇。2020年4月29日修订通过的《中华人民共和国固体废物污染环境防治法》，对固体废物（危险废物）环境管理提出了新要求。2021年5月，国务院办公厅印发了《强化危险废物监管和利用处置能力改革实施方案》，深入贯彻习近平生态文明思想，坚持精准治污、科学治污、依法治污，深化体制机制改革，着力提升危险废物监管和利用处置能力，对于持续改善生态环境质量、有效防控危险废物环境与安全风险、切实维护人民群众身体健康和生态环境安全具有重大意义。</w:t>
      </w:r>
    </w:p>
    <w:p>
      <w:pPr>
        <w:spacing w:line="54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与此同时，自治区固体废物尤其是危险废物环境管理底子薄、任务重，固体废物及化学品环境管理仍将处于负重前行的关键期。</w:t>
      </w:r>
    </w:p>
    <w:p>
      <w:pPr>
        <w:spacing w:line="54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新疆维吾尔自治区固体废物管理中心是隶属于自治区生态环境厅的一类公益事业单位，经费实行全额预算管理，机构级别为县（处）级。主要职责任务为：按照有关规定，负责管理自治区境内固体废物和危险废物的转移、贮存、利用、处置等活动；对危险废物经营活动实施监督管理；组织建立固体废物档案和管理信息系统等。多年来，自治区固管中心持续开展固体废物（危险废物）管理和服务工作，并为自治区生态环境厅开展全区固体废物（包括危险废物）的环境保护监督管理提供了有力的技术支撑。</w:t>
      </w:r>
    </w:p>
    <w:p>
      <w:pPr>
        <w:pStyle w:val="2"/>
        <w:numPr>
          <w:ilvl w:val="0"/>
          <w:numId w:val="1"/>
        </w:numPr>
        <w:spacing w:before="0" w:after="0" w:line="60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pPr>
        <w:spacing w:line="54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项目主要内容根据中心工作职能，负责全区负责管理自治区境内固体废物和危险废物的转移、贮存、利用、处置等活动；对危险废物经营活动实施监督管理；组织建立固体废物档案和管理信息系统等；主要开展的工作有危险废物规范化考核；全区危险废物现场业务指导；危险废物产生单位危险废物申报登记专项调查；废弃电器电子产品拆解处理情况审核；持久性有机污染物年度调查；危险化学品环境管理；重金属环境管理；自治区汞污染物排放专项调查；尾矿库污染隐患排查治理；突发环境应急事件调查；信访投诉案件调查等相关工作，以及全区危险废物污染防治工作等相关工作。</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（1）资金投入情况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该项目年初预算数188万元，全年预算数188万元，实际总投入188万元，该项目资金已全部落实到位，资金来源为财政拨款和上年结转资金。</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（2）资金使用情况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该项目年初预算数188万元，全年预算数188万元,全年执行数186.74万元，预算执行率为</w:t>
      </w:r>
      <w:r>
        <w:rPr>
          <w:rFonts w:ascii="仿宋_GB2312" w:hAnsi="仿宋_GB2312" w:eastAsia="仿宋_GB2312" w:cs="仿宋_GB2312"/>
          <w:color w:val="auto"/>
          <w:sz w:val="32"/>
          <w:szCs w:val="32"/>
          <w:highlight w:val="none"/>
        </w:rPr>
        <w:t>99.33%</w:t>
      </w:r>
      <w:r>
        <w:rPr>
          <w:rFonts w:hint="eastAsia" w:ascii="仿宋_GB2312" w:hAnsi="仿宋_GB2312" w:eastAsia="仿宋_GB2312" w:cs="仿宋_GB2312"/>
          <w:color w:val="auto"/>
          <w:sz w:val="32"/>
          <w:szCs w:val="32"/>
          <w:highlight w:val="none"/>
        </w:rPr>
        <w:t>，主要用于支付项目实施进程中的各项费用。</w:t>
      </w:r>
    </w:p>
    <w:p>
      <w:pPr>
        <w:spacing w:line="600" w:lineRule="exact"/>
        <w:ind w:firstLine="643" w:firstLineChars="200"/>
        <w:rPr>
          <w:rFonts w:eastAsia="楷体_GB2312"/>
          <w:b/>
          <w:bCs/>
          <w:color w:val="auto"/>
          <w:sz w:val="32"/>
          <w:szCs w:val="32"/>
          <w:highlight w:val="none"/>
        </w:rPr>
      </w:pPr>
      <w:bookmarkStart w:id="0" w:name="page10"/>
      <w:bookmarkEnd w:id="0"/>
      <w:r>
        <w:rPr>
          <w:rFonts w:eastAsia="楷体_GB2312"/>
          <w:b/>
          <w:bCs/>
          <w:color w:val="auto"/>
          <w:sz w:val="32"/>
          <w:szCs w:val="32"/>
          <w:highlight w:val="none"/>
        </w:rPr>
        <w:t>（二）项目绩效目标</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pPr>
        <w:pStyle w:val="2"/>
        <w:spacing w:before="0" w:after="0" w:line="600" w:lineRule="exact"/>
        <w:ind w:firstLine="640" w:firstLineChars="200"/>
        <w:jc w:val="both"/>
        <w:rPr>
          <w:rFonts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通过项目实施，为自治区生态环境厅开展全区危险废物环境保护监督管理提供有力的技术支撑，切实提升涉危险废物企业和单位对危险废物环境管理的能力。危险废物规范化评估抽查企业数量达到120家，地级行政区规范化评估抽查覆盖率达到90%，后续问题整改落实率达到90%；危险废物经营许可证核查数量20家，核查按时完成率达到90%。</w:t>
      </w:r>
    </w:p>
    <w:p>
      <w:pPr>
        <w:spacing w:line="600" w:lineRule="exact"/>
        <w:ind w:firstLine="640" w:firstLineChars="200"/>
        <w:rPr>
          <w:color w:val="auto"/>
          <w:highlight w:val="none"/>
        </w:rPr>
      </w:pPr>
      <w:r>
        <w:rPr>
          <w:rFonts w:eastAsia="仿宋_GB2312"/>
          <w:color w:val="auto"/>
          <w:sz w:val="32"/>
          <w:szCs w:val="32"/>
          <w:highlight w:val="none"/>
        </w:rPr>
        <w:t>2、阶段性目标</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（1）前期准备：通过制定项目实施方案，经项目负责人审核通过后，有序开展后续工作。</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（2）组织实施：资金到位立即根据项目要求实施项目。项目责任人按照项目实施方案要求逐一进行项目部署安排，提高项目质量及效率性。</w:t>
      </w:r>
    </w:p>
    <w:p>
      <w:pPr>
        <w:spacing w:line="60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pPr>
        <w:spacing w:line="576"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自治区固体废弃物（危险废物）监督管理专项所包含的全部项目建设内容。</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自治区固体废弃物（危险废物）监督管理专项进行评价，评价核心为专项资金的支出完成情况和效果。</w:t>
      </w:r>
    </w:p>
    <w:p>
      <w:pPr>
        <w:spacing w:line="60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pPr>
        <w:spacing w:line="60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w:t>
      </w:r>
      <w:r>
        <w:rPr>
          <w:rFonts w:hint="eastAsia" w:eastAsia="仿宋_GB2312"/>
          <w:color w:val="auto"/>
          <w:spacing w:val="17"/>
          <w:sz w:val="32"/>
          <w:szCs w:val="32"/>
          <w:highlight w:val="none"/>
        </w:rPr>
        <w:t>20</w:t>
      </w:r>
      <w:r>
        <w:rPr>
          <w:rFonts w:eastAsia="仿宋_GB2312"/>
          <w:color w:val="auto"/>
          <w:spacing w:val="17"/>
          <w:sz w:val="32"/>
          <w:szCs w:val="32"/>
          <w:highlight w:val="none"/>
        </w:rPr>
        <w:t>分，项目过程权重为</w:t>
      </w:r>
      <w:r>
        <w:rPr>
          <w:rFonts w:hint="eastAsia" w:eastAsia="仿宋_GB2312"/>
          <w:color w:val="auto"/>
          <w:spacing w:val="17"/>
          <w:sz w:val="32"/>
          <w:szCs w:val="32"/>
          <w:highlight w:val="none"/>
        </w:rPr>
        <w:t>20</w:t>
      </w:r>
      <w:r>
        <w:rPr>
          <w:rFonts w:eastAsia="仿宋_GB2312"/>
          <w:color w:val="auto"/>
          <w:spacing w:val="17"/>
          <w:sz w:val="32"/>
          <w:szCs w:val="32"/>
          <w:highlight w:val="none"/>
        </w:rPr>
        <w:t>分，项目产出权重为</w:t>
      </w:r>
      <w:r>
        <w:rPr>
          <w:rFonts w:hint="eastAsia" w:eastAsia="仿宋_GB2312"/>
          <w:color w:val="auto"/>
          <w:spacing w:val="17"/>
          <w:sz w:val="32"/>
          <w:szCs w:val="32"/>
          <w:highlight w:val="none"/>
        </w:rPr>
        <w:t>4</w:t>
      </w:r>
      <w:r>
        <w:rPr>
          <w:rFonts w:eastAsia="仿宋_GB2312"/>
          <w:color w:val="auto"/>
          <w:spacing w:val="17"/>
          <w:sz w:val="32"/>
          <w:szCs w:val="32"/>
          <w:highlight w:val="none"/>
        </w:rPr>
        <w:t>0分，项目效益权重为</w:t>
      </w:r>
      <w:r>
        <w:rPr>
          <w:rFonts w:hint="eastAsia" w:eastAsia="仿宋_GB2312"/>
          <w:color w:val="auto"/>
          <w:spacing w:val="17"/>
          <w:sz w:val="32"/>
          <w:szCs w:val="32"/>
          <w:highlight w:val="none"/>
        </w:rPr>
        <w:t>2</w:t>
      </w:r>
      <w:r>
        <w:rPr>
          <w:rFonts w:eastAsia="仿宋_GB2312"/>
          <w:color w:val="auto"/>
          <w:spacing w:val="17"/>
          <w:sz w:val="32"/>
          <w:szCs w:val="32"/>
          <w:highlight w:val="none"/>
        </w:rPr>
        <w:t>0分。</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绩效评价从项目决策、项目过程、项目产出、项目效益四个维度进行评价。评价对象为项目目标实施情况，评价核心为资金的支出完成情况和项目的产出效益。</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绩效评价标准通常包括计划标准、行业标准、历史标准等，用于对绩效指标完成情况进行比较。本次评价主要采用了计划标准和行业标准。</w:t>
      </w:r>
    </w:p>
    <w:p>
      <w:pPr>
        <w:spacing w:line="600" w:lineRule="exact"/>
        <w:ind w:firstLine="708" w:firstLineChars="200"/>
        <w:rPr>
          <w:rFonts w:eastAsia="仿宋_GB2312"/>
          <w:color w:val="auto"/>
          <w:spacing w:val="17"/>
          <w:sz w:val="32"/>
          <w:szCs w:val="32"/>
          <w:highlight w:val="none"/>
        </w:rPr>
      </w:pPr>
      <w:bookmarkStart w:id="1" w:name="_Toc17882"/>
      <w:bookmarkStart w:id="2" w:name="_Toc31464"/>
      <w:r>
        <w:rPr>
          <w:rFonts w:hint="eastAsia" w:eastAsia="仿宋_GB2312"/>
          <w:color w:val="auto"/>
          <w:spacing w:val="17"/>
          <w:sz w:val="32"/>
          <w:szCs w:val="32"/>
          <w:highlight w:val="none"/>
        </w:rPr>
        <w:t>计划标准：指以预先制定的目标、计划、预算、定额等作为评价标准。</w:t>
      </w:r>
      <w:bookmarkEnd w:id="1"/>
      <w:bookmarkEnd w:id="2"/>
    </w:p>
    <w:p>
      <w:pPr>
        <w:spacing w:line="600" w:lineRule="exact"/>
        <w:ind w:firstLine="708" w:firstLineChars="200"/>
        <w:rPr>
          <w:rFonts w:eastAsia="仿宋_GB2312"/>
          <w:color w:val="auto"/>
          <w:spacing w:val="17"/>
          <w:sz w:val="32"/>
          <w:szCs w:val="32"/>
          <w:highlight w:val="none"/>
        </w:rPr>
      </w:pPr>
      <w:bookmarkStart w:id="3" w:name="_Toc5633"/>
      <w:bookmarkStart w:id="4" w:name="_Toc2318"/>
      <w:r>
        <w:rPr>
          <w:rFonts w:hint="eastAsia" w:eastAsia="仿宋_GB2312"/>
          <w:color w:val="auto"/>
          <w:spacing w:val="17"/>
          <w:sz w:val="32"/>
          <w:szCs w:val="32"/>
          <w:highlight w:val="none"/>
        </w:rPr>
        <w:t>行业标准：指参照国家公布的行业指标数据制定的评价标准。</w:t>
      </w:r>
      <w:bookmarkEnd w:id="3"/>
      <w:bookmarkEnd w:id="4"/>
    </w:p>
    <w:p>
      <w:pPr>
        <w:spacing w:line="600" w:lineRule="exact"/>
        <w:ind w:firstLine="708" w:firstLineChars="200"/>
        <w:rPr>
          <w:rFonts w:eastAsia="仿宋_GB2312"/>
          <w:color w:val="auto"/>
          <w:spacing w:val="17"/>
          <w:sz w:val="32"/>
          <w:szCs w:val="32"/>
          <w:highlight w:val="none"/>
        </w:rPr>
      </w:pPr>
      <w:bookmarkStart w:id="5" w:name="_Toc430"/>
      <w:bookmarkStart w:id="6" w:name="_Toc16028"/>
      <w:r>
        <w:rPr>
          <w:rFonts w:hint="eastAsia" w:eastAsia="仿宋_GB2312"/>
          <w:color w:val="auto"/>
          <w:spacing w:val="17"/>
          <w:sz w:val="32"/>
          <w:szCs w:val="32"/>
          <w:highlight w:val="none"/>
        </w:rPr>
        <w:t>历史标准：指</w:t>
      </w:r>
      <w:r>
        <w:rPr>
          <w:rFonts w:hint="eastAsia" w:eastAsia="仿宋_GB2312" w:cs="Times New Roman"/>
          <w:color w:val="auto"/>
          <w:spacing w:val="17"/>
          <w:sz w:val="32"/>
          <w:szCs w:val="32"/>
          <w:highlight w:val="none"/>
        </w:rPr>
        <w:t>参照历史数据制定的评价标准，为体现绩效改进的原则，在可实现的条件下应当确定相对较高的评价标准。</w:t>
      </w:r>
      <w:bookmarkEnd w:id="5"/>
      <w:bookmarkEnd w:id="6"/>
    </w:p>
    <w:p>
      <w:pPr>
        <w:pStyle w:val="2"/>
        <w:numPr>
          <w:ilvl w:val="0"/>
          <w:numId w:val="3"/>
        </w:numPr>
        <w:spacing w:before="0" w:after="0" w:line="60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pPr>
        <w:numPr>
          <w:ilvl w:val="0"/>
          <w:numId w:val="4"/>
        </w:numPr>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color w:val="auto"/>
          <w:sz w:val="32"/>
          <w:szCs w:val="32"/>
          <w:highlight w:val="none"/>
        </w:rPr>
      </w:pP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pPr>
        <w:pStyle w:val="2"/>
        <w:spacing w:before="0" w:after="0" w:line="560" w:lineRule="exact"/>
        <w:ind w:firstLine="321" w:firstLineChars="100"/>
        <w:jc w:val="both"/>
        <w:rPr>
          <w:rFonts w:ascii="Times New Roman" w:hAnsi="Times New Roman" w:eastAsia="楷体_GB2312"/>
          <w:color w:val="auto"/>
          <w:highlight w:val="none"/>
        </w:rPr>
      </w:pPr>
      <w:r>
        <w:rPr>
          <w:rFonts w:hint="eastAsia" w:ascii="Times New Roman" w:hAnsi="Times New Roman" w:eastAsia="楷体_GB2312"/>
          <w:color w:val="auto"/>
          <w:highlight w:val="none"/>
        </w:rPr>
        <w:t>（一）评价情况</w:t>
      </w:r>
    </w:p>
    <w:p>
      <w:pPr>
        <w:pStyle w:val="2"/>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color w:val="auto"/>
          <w:highlight w:val="none"/>
        </w:rPr>
      </w:pPr>
      <w:r>
        <w:rPr>
          <w:rFonts w:hint="eastAsia" w:ascii="Times New Roman" w:hAnsi="Times New Roman" w:eastAsia="楷体_GB2312"/>
          <w:color w:val="auto"/>
          <w:highlight w:val="none"/>
        </w:rPr>
        <w:t>（二）评价结论</w:t>
      </w:r>
    </w:p>
    <w:p>
      <w:pPr>
        <w:pStyle w:val="2"/>
        <w:widowControl w:val="0"/>
        <w:spacing w:before="0" w:after="0" w:line="600" w:lineRule="exact"/>
        <w:ind w:firstLine="640" w:firstLineChars="200"/>
        <w:jc w:val="both"/>
        <w:outlineLvl w:val="9"/>
        <w:rPr>
          <w:rFonts w:ascii="Times New Roman" w:hAnsi="Times New Roman" w:eastAsia="仿宋_GB2312"/>
          <w:color w:val="auto"/>
          <w:sz w:val="30"/>
          <w:szCs w:val="30"/>
          <w:highlight w:val="none"/>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color w:val="auto"/>
          <w:highlight w:val="none"/>
        </w:rPr>
        <w:t>总得分为</w:t>
      </w:r>
      <w:r>
        <w:rPr>
          <w:rFonts w:hint="eastAsia" w:ascii="Times New Roman" w:hAnsi="Times New Roman" w:eastAsia="仿宋_GB2312"/>
          <w:b w:val="0"/>
          <w:bCs w:val="0"/>
          <w:color w:val="auto"/>
          <w:highlight w:val="none"/>
        </w:rPr>
        <w:t>99.</w:t>
      </w:r>
      <w:r>
        <w:rPr>
          <w:rFonts w:hint="eastAsia" w:ascii="Times New Roman" w:hAnsi="Times New Roman" w:eastAsia="仿宋_GB2312"/>
          <w:b w:val="0"/>
          <w:bCs w:val="0"/>
          <w:color w:val="auto"/>
          <w:highlight w:val="none"/>
          <w:lang w:val="en-US" w:eastAsia="zh-CN"/>
        </w:rPr>
        <w:t>97</w:t>
      </w:r>
      <w:r>
        <w:rPr>
          <w:rFonts w:ascii="Times New Roman" w:hAnsi="Times New Roman" w:eastAsia="仿宋_GB2312"/>
          <w:b w:val="0"/>
          <w:bCs w:val="0"/>
          <w:color w:val="auto"/>
          <w:highlight w:val="none"/>
        </w:rPr>
        <w:t>分，属于“优”。其中，项目决策类指标权重为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rPr>
        <w:t>100</w:t>
      </w:r>
      <w:r>
        <w:rPr>
          <w:rFonts w:ascii="Times New Roman" w:hAnsi="Times New Roman" w:eastAsia="仿宋_GB2312"/>
          <w:b w:val="0"/>
          <w:bCs w:val="0"/>
          <w:color w:val="auto"/>
          <w:highlight w:val="none"/>
        </w:rPr>
        <w:t>%。项目过程类指标权重为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19.97</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99.85</w:t>
      </w:r>
      <w:r>
        <w:rPr>
          <w:rFonts w:ascii="Times New Roman" w:hAnsi="Times New Roman" w:eastAsia="仿宋_GB2312"/>
          <w:b w:val="0"/>
          <w:bCs w:val="0"/>
          <w:color w:val="auto"/>
          <w:highlight w:val="none"/>
        </w:rPr>
        <w:t>%。项目产出类指标权重为</w:t>
      </w:r>
      <w:r>
        <w:rPr>
          <w:rFonts w:hint="eastAsia" w:ascii="Times New Roman" w:hAnsi="Times New Roman" w:eastAsia="仿宋_GB2312"/>
          <w:b w:val="0"/>
          <w:bCs w:val="0"/>
          <w:color w:val="auto"/>
          <w:highlight w:val="none"/>
        </w:rPr>
        <w:t>40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40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%。项目效益类指标权重为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rPr>
        <w:t>100</w:t>
      </w:r>
      <w:r>
        <w:rPr>
          <w:rFonts w:ascii="Times New Roman" w:hAnsi="Times New Roman" w:eastAsia="仿宋_GB2312"/>
          <w:b w:val="0"/>
          <w:bCs w:val="0"/>
          <w:color w:val="auto"/>
          <w:highlight w:val="none"/>
        </w:rPr>
        <w:t>%。</w:t>
      </w:r>
      <w:r>
        <w:rPr>
          <w:rFonts w:hint="eastAsia" w:ascii="Times New Roman" w:hAnsi="Times New Roman" w:eastAsia="仿宋_GB2312"/>
          <w:b w:val="0"/>
          <w:bCs w:val="0"/>
          <w:color w:val="auto"/>
          <w:highlight w:val="none"/>
        </w:rPr>
        <w:t>具体打分情况详见：附件1综合评分表。</w:t>
      </w:r>
    </w:p>
    <w:p>
      <w:pPr>
        <w:pStyle w:val="2"/>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2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80C588" w:themeFill="background1" w:themeFillShade="BF"/>
            <w:vAlign w:val="center"/>
          </w:tcPr>
          <w:p>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80C588" w:themeFill="background1" w:themeFillShade="BF"/>
            <w:vAlign w:val="center"/>
          </w:tcPr>
          <w:p>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80C588" w:themeFill="background1" w:themeFillShade="BF"/>
            <w:vAlign w:val="center"/>
          </w:tcPr>
          <w:p>
            <w:pPr>
              <w:jc w:val="center"/>
              <w:rPr>
                <w:b/>
                <w:bCs/>
                <w:color w:val="auto"/>
                <w:sz w:val="22"/>
                <w:highlight w:val="none"/>
              </w:rPr>
            </w:pPr>
            <w:r>
              <w:rPr>
                <w:rFonts w:hint="eastAsia"/>
                <w:b/>
                <w:bCs/>
                <w:color w:val="auto"/>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19.97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auto"/>
                <w:sz w:val="22"/>
                <w:highlight w:val="none"/>
              </w:rPr>
            </w:pPr>
            <w:r>
              <w:rPr>
                <w:rFonts w:hint="eastAsia"/>
                <w:b/>
                <w:bCs/>
                <w:color w:val="auto"/>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auto"/>
                <w:sz w:val="22"/>
                <w:highlight w:val="none"/>
                <w:lang w:val="en-US" w:eastAsia="zh-CN"/>
              </w:rPr>
            </w:pPr>
            <w:r>
              <w:rPr>
                <w:rFonts w:hint="eastAsia"/>
                <w:b/>
                <w:bCs/>
                <w:color w:val="auto"/>
                <w:sz w:val="22"/>
                <w:highlight w:val="none"/>
                <w:lang w:val="en-US" w:eastAsia="zh-CN"/>
              </w:rPr>
              <w:t>99.97</w:t>
            </w:r>
          </w:p>
        </w:tc>
      </w:tr>
    </w:tbl>
    <w:p>
      <w:pPr>
        <w:rPr>
          <w:color w:val="auto"/>
          <w:highlight w:val="none"/>
        </w:rPr>
      </w:pPr>
    </w:p>
    <w:p>
      <w:pPr>
        <w:rPr>
          <w:color w:val="auto"/>
          <w:highlight w:val="none"/>
        </w:rPr>
      </w:pPr>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auto"/>
                <w:kern w:val="0"/>
                <w:sz w:val="22"/>
                <w:szCs w:val="22"/>
                <w:highlight w:val="none"/>
              </w:rPr>
            </w:pPr>
            <w:r>
              <w:rPr>
                <w:b/>
                <w:bCs/>
                <w:color w:val="auto"/>
                <w:kern w:val="0"/>
                <w:sz w:val="22"/>
                <w:szCs w:val="22"/>
                <w:highlight w:val="none"/>
              </w:rPr>
              <w:t>一级指标</w:t>
            </w:r>
          </w:p>
        </w:tc>
        <w:tc>
          <w:tcPr>
            <w:tcW w:w="990" w:type="dxa"/>
            <w:shd w:val="clear" w:color="auto" w:fill="BFBFB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分值</w:t>
            </w:r>
          </w:p>
        </w:tc>
        <w:tc>
          <w:tcPr>
            <w:tcW w:w="1283" w:type="dxa"/>
            <w:shd w:val="clear" w:color="auto" w:fill="BFBFB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1707" w:type="dxa"/>
            <w:shd w:val="clear" w:color="auto" w:fill="BFBFB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727" w:type="dxa"/>
            <w:shd w:val="clear" w:color="auto" w:fill="BFBFB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b/>
                <w:bCs/>
                <w:color w:val="auto"/>
                <w:kern w:val="0"/>
                <w:sz w:val="22"/>
                <w:szCs w:val="22"/>
                <w:highlight w:val="none"/>
              </w:rPr>
            </w:pPr>
            <w:r>
              <w:rPr>
                <w:b/>
                <w:bCs/>
                <w:color w:val="auto"/>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b/>
                <w:bCs/>
                <w:color w:val="auto"/>
                <w:kern w:val="0"/>
                <w:sz w:val="22"/>
                <w:szCs w:val="22"/>
                <w:highlight w:val="none"/>
              </w:rPr>
            </w:pPr>
            <w:r>
              <w:rPr>
                <w:b/>
                <w:bCs/>
                <w:color w:val="auto"/>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b/>
                <w:bCs/>
                <w:color w:val="auto"/>
                <w:kern w:val="0"/>
                <w:sz w:val="22"/>
                <w:szCs w:val="22"/>
                <w:highlight w:val="none"/>
              </w:rPr>
            </w:pPr>
            <w:r>
              <w:rPr>
                <w:b/>
                <w:bCs/>
                <w:color w:val="auto"/>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b/>
                <w:bCs/>
                <w:color w:val="auto"/>
                <w:kern w:val="0"/>
                <w:sz w:val="22"/>
                <w:szCs w:val="22"/>
                <w:highlight w:val="none"/>
              </w:rPr>
            </w:pPr>
            <w:r>
              <w:rPr>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决策　</w:t>
            </w:r>
          </w:p>
          <w:p>
            <w:pPr>
              <w:widowControl/>
              <w:spacing w:line="0" w:lineRule="atLeast"/>
              <w:jc w:val="center"/>
              <w:rPr>
                <w:color w:val="auto"/>
                <w:kern w:val="0"/>
                <w:sz w:val="22"/>
                <w:szCs w:val="22"/>
                <w:highlight w:val="none"/>
              </w:rPr>
            </w:pPr>
            <w:r>
              <w:rPr>
                <w:color w:val="auto"/>
                <w:kern w:val="0"/>
                <w:sz w:val="22"/>
                <w:szCs w:val="22"/>
                <w:highlight w:val="none"/>
              </w:rPr>
              <w:t>　</w:t>
            </w:r>
          </w:p>
          <w:p>
            <w:pPr>
              <w:spacing w:line="0" w:lineRule="atLeast"/>
              <w:jc w:val="center"/>
              <w:rPr>
                <w:color w:val="auto"/>
                <w:kern w:val="0"/>
                <w:sz w:val="22"/>
                <w:szCs w:val="22"/>
                <w:highlight w:val="none"/>
              </w:rPr>
            </w:pPr>
            <w:r>
              <w:rPr>
                <w:color w:val="auto"/>
                <w:kern w:val="0"/>
                <w:sz w:val="22"/>
                <w:szCs w:val="22"/>
                <w:highlight w:val="none"/>
              </w:rPr>
              <w:t>　</w:t>
            </w:r>
          </w:p>
          <w:p>
            <w:pPr>
              <w:widowControl/>
              <w:spacing w:line="0" w:lineRule="atLeast"/>
              <w:jc w:val="center"/>
              <w:rPr>
                <w:color w:val="auto"/>
                <w:kern w:val="0"/>
                <w:sz w:val="22"/>
                <w:szCs w:val="22"/>
                <w:highlight w:val="none"/>
              </w:rPr>
            </w:pPr>
            <w:r>
              <w:rPr>
                <w:color w:val="auto"/>
                <w:kern w:val="0"/>
                <w:sz w:val="22"/>
                <w:szCs w:val="22"/>
                <w:highlight w:val="none"/>
              </w:rPr>
              <w:t>　</w:t>
            </w:r>
          </w:p>
        </w:tc>
        <w:tc>
          <w:tcPr>
            <w:tcW w:w="990" w:type="dxa"/>
            <w:vMerge w:val="restart"/>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20</w:t>
            </w:r>
            <w:r>
              <w:rPr>
                <w:color w:val="auto"/>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立项依据</w:t>
            </w:r>
          </w:p>
          <w:p>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充分</w:t>
            </w:r>
          </w:p>
        </w:tc>
        <w:tc>
          <w:tcPr>
            <w:tcW w:w="92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充分</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立项程序</w:t>
            </w:r>
          </w:p>
          <w:p>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规范</w:t>
            </w:r>
          </w:p>
        </w:tc>
        <w:tc>
          <w:tcPr>
            <w:tcW w:w="92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规范</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合理</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合理</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绩效指标</w:t>
            </w:r>
          </w:p>
          <w:p>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明确</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明确</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spacing w:line="0" w:lineRule="atLeast"/>
              <w:jc w:val="center"/>
              <w:rPr>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资金投入</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预算编制</w:t>
            </w:r>
          </w:p>
          <w:p>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科学</w:t>
            </w:r>
          </w:p>
        </w:tc>
        <w:tc>
          <w:tcPr>
            <w:tcW w:w="92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科学</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资金分配</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合理</w:t>
            </w:r>
          </w:p>
        </w:tc>
        <w:tc>
          <w:tcPr>
            <w:tcW w:w="92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合理</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auto"/>
                <w:kern w:val="0"/>
                <w:sz w:val="22"/>
                <w:szCs w:val="22"/>
                <w:highlight w:val="none"/>
              </w:rPr>
            </w:pPr>
            <w:r>
              <w:rPr>
                <w:color w:val="auto"/>
                <w:kern w:val="0"/>
                <w:sz w:val="22"/>
                <w:szCs w:val="22"/>
                <w:highlight w:val="none"/>
              </w:rPr>
              <w:t>过程</w:t>
            </w:r>
          </w:p>
          <w:p>
            <w:pPr>
              <w:spacing w:line="0" w:lineRule="atLeast"/>
              <w:jc w:val="center"/>
              <w:rPr>
                <w:color w:val="auto"/>
                <w:kern w:val="0"/>
                <w:sz w:val="22"/>
                <w:szCs w:val="22"/>
                <w:highlight w:val="none"/>
              </w:rPr>
            </w:pPr>
            <w:r>
              <w:rPr>
                <w:color w:val="auto"/>
                <w:kern w:val="0"/>
                <w:sz w:val="22"/>
                <w:szCs w:val="22"/>
                <w:highlight w:val="none"/>
              </w:rPr>
              <w:t>　</w:t>
            </w:r>
          </w:p>
        </w:tc>
        <w:tc>
          <w:tcPr>
            <w:tcW w:w="990" w:type="dxa"/>
            <w:vMerge w:val="restart"/>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20</w:t>
            </w:r>
            <w:r>
              <w:rPr>
                <w:color w:val="auto"/>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1215"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spacing w:line="0" w:lineRule="atLeast"/>
              <w:jc w:val="center"/>
              <w:rPr>
                <w:color w:val="auto"/>
                <w:kern w:val="0"/>
                <w:sz w:val="22"/>
                <w:szCs w:val="22"/>
                <w:highlight w:val="none"/>
              </w:rPr>
            </w:pPr>
          </w:p>
        </w:tc>
        <w:tc>
          <w:tcPr>
            <w:tcW w:w="1283" w:type="dxa"/>
            <w:vMerge w:val="continue"/>
            <w:shd w:val="clear" w:color="auto" w:fill="FFFFFF"/>
            <w:vAlign w:val="center"/>
          </w:tcPr>
          <w:p>
            <w:pPr>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24"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99.</w:t>
            </w:r>
            <w:r>
              <w:rPr>
                <w:rFonts w:hint="eastAsia"/>
                <w:color w:val="auto"/>
                <w:kern w:val="0"/>
                <w:sz w:val="22"/>
                <w:szCs w:val="22"/>
                <w:highlight w:val="none"/>
                <w:lang w:val="en-US" w:eastAsia="zh-CN"/>
              </w:rPr>
              <w:t>33</w:t>
            </w:r>
            <w:r>
              <w:rPr>
                <w:color w:val="auto"/>
                <w:kern w:val="0"/>
                <w:sz w:val="22"/>
                <w:szCs w:val="22"/>
                <w:highlight w:val="none"/>
              </w:rPr>
              <w:t>%</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99.</w:t>
            </w:r>
            <w:r>
              <w:rPr>
                <w:rFonts w:hint="eastAsia"/>
                <w:color w:val="auto"/>
                <w:kern w:val="0"/>
                <w:sz w:val="22"/>
                <w:szCs w:val="22"/>
                <w:highlight w:val="none"/>
                <w:lang w:val="en-US" w:eastAsia="zh-CN"/>
              </w:rPr>
              <w:t>33</w:t>
            </w:r>
            <w:r>
              <w:rPr>
                <w:color w:val="auto"/>
                <w:kern w:val="0"/>
                <w:sz w:val="22"/>
                <w:szCs w:val="22"/>
                <w:highlight w:val="none"/>
              </w:rPr>
              <w:t>%</w:t>
            </w:r>
          </w:p>
        </w:tc>
        <w:tc>
          <w:tcPr>
            <w:tcW w:w="960" w:type="dxa"/>
            <w:shd w:val="clear" w:color="auto" w:fill="FFFFFF"/>
            <w:vAlign w:val="center"/>
          </w:tcPr>
          <w:p>
            <w:pPr>
              <w:widowControl/>
              <w:spacing w:line="0" w:lineRule="atLeast"/>
              <w:jc w:val="center"/>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资金使用</w:t>
            </w:r>
          </w:p>
          <w:p>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合格</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合格</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spacing w:line="0" w:lineRule="atLeast"/>
              <w:jc w:val="center"/>
              <w:rPr>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组织实施</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管理制度</w:t>
            </w:r>
          </w:p>
          <w:p>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健全</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健全</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制度执行</w:t>
            </w:r>
          </w:p>
          <w:p>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有效</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有效</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40</w:t>
            </w:r>
            <w:r>
              <w:rPr>
                <w:color w:val="auto"/>
                <w:kern w:val="0"/>
                <w:sz w:val="22"/>
                <w:szCs w:val="22"/>
                <w:highlight w:val="none"/>
              </w:rPr>
              <w:t>分</w:t>
            </w:r>
          </w:p>
        </w:tc>
        <w:tc>
          <w:tcPr>
            <w:tcW w:w="128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727"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w:t>
            </w:r>
            <w:r>
              <w:rPr>
                <w:rFonts w:hint="eastAsia"/>
                <w:color w:val="auto"/>
                <w:kern w:val="0"/>
                <w:sz w:val="22"/>
                <w:szCs w:val="22"/>
                <w:highlight w:val="none"/>
              </w:rPr>
              <w:t>0</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1215"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727"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24"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r>
              <w:rPr>
                <w:color w:val="auto"/>
                <w:kern w:val="0"/>
                <w:sz w:val="22"/>
                <w:szCs w:val="22"/>
                <w:highlight w:val="none"/>
              </w:rPr>
              <w:t>%</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auto"/>
                <w:kern w:val="0"/>
                <w:sz w:val="22"/>
                <w:szCs w:val="22"/>
                <w:highlight w:val="none"/>
              </w:rPr>
            </w:pPr>
          </w:p>
        </w:tc>
        <w:tc>
          <w:tcPr>
            <w:tcW w:w="990" w:type="dxa"/>
            <w:vMerge w:val="continue"/>
            <w:shd w:val="clear" w:color="auto" w:fill="FFFFFF"/>
            <w:vAlign w:val="center"/>
          </w:tcPr>
          <w:p>
            <w:pPr>
              <w:spacing w:line="0" w:lineRule="atLeast"/>
              <w:jc w:val="center"/>
              <w:rPr>
                <w:color w:val="auto"/>
                <w:kern w:val="0"/>
                <w:sz w:val="22"/>
                <w:szCs w:val="22"/>
                <w:highlight w:val="none"/>
              </w:rPr>
            </w:pPr>
          </w:p>
        </w:tc>
        <w:tc>
          <w:tcPr>
            <w:tcW w:w="1283" w:type="dxa"/>
            <w:shd w:val="clear" w:color="auto" w:fill="FFFFFF"/>
            <w:vAlign w:val="center"/>
          </w:tcPr>
          <w:p>
            <w:pPr>
              <w:spacing w:line="0" w:lineRule="atLeast"/>
              <w:jc w:val="center"/>
              <w:rPr>
                <w:color w:val="auto"/>
                <w:kern w:val="0"/>
                <w:sz w:val="22"/>
                <w:szCs w:val="22"/>
                <w:highlight w:val="none"/>
              </w:rPr>
            </w:pPr>
            <w:r>
              <w:rPr>
                <w:color w:val="auto"/>
                <w:kern w:val="0"/>
                <w:sz w:val="22"/>
                <w:szCs w:val="22"/>
                <w:highlight w:val="none"/>
              </w:rPr>
              <w:t>产出时效</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727"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w:t>
            </w:r>
            <w:r>
              <w:rPr>
                <w:rFonts w:hint="eastAsia"/>
                <w:color w:val="auto"/>
                <w:kern w:val="0"/>
                <w:sz w:val="22"/>
                <w:szCs w:val="22"/>
                <w:highlight w:val="none"/>
              </w:rPr>
              <w:t>0</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及时</w:t>
            </w:r>
          </w:p>
        </w:tc>
        <w:tc>
          <w:tcPr>
            <w:tcW w:w="92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及时</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727"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w:t>
            </w:r>
          </w:p>
        </w:tc>
        <w:tc>
          <w:tcPr>
            <w:tcW w:w="1044" w:type="dxa"/>
            <w:shd w:val="clear" w:color="000000"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100%</w:t>
            </w:r>
          </w:p>
        </w:tc>
        <w:tc>
          <w:tcPr>
            <w:tcW w:w="924"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lang w:val="en-US" w:eastAsia="zh-CN"/>
              </w:rPr>
              <w:t>100</w:t>
            </w:r>
            <w:r>
              <w:rPr>
                <w:color w:val="auto"/>
                <w:kern w:val="0"/>
                <w:sz w:val="22"/>
                <w:szCs w:val="22"/>
                <w:highlight w:val="none"/>
              </w:rPr>
              <w:t>%</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lang w:val="en-US" w:eastAsia="zh-CN"/>
              </w:rPr>
              <w:t>100</w:t>
            </w:r>
            <w:r>
              <w:rPr>
                <w:rFonts w:hint="eastAsia"/>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20</w:t>
            </w:r>
            <w:r>
              <w:rPr>
                <w:color w:val="auto"/>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实施效益</w:t>
            </w:r>
          </w:p>
          <w:p>
            <w:pPr>
              <w:widowControl/>
              <w:spacing w:line="0" w:lineRule="atLeast"/>
              <w:jc w:val="center"/>
              <w:rPr>
                <w:color w:val="auto"/>
                <w:kern w:val="0"/>
                <w:sz w:val="22"/>
                <w:szCs w:val="22"/>
                <w:highlight w:val="none"/>
              </w:rPr>
            </w:pPr>
            <w:r>
              <w:rPr>
                <w:color w:val="auto"/>
                <w:kern w:val="0"/>
                <w:sz w:val="22"/>
                <w:szCs w:val="22"/>
                <w:highlight w:val="none"/>
              </w:rPr>
              <w:t>（社会效益、经济效益、</w:t>
            </w:r>
            <w:r>
              <w:rPr>
                <w:rFonts w:hint="eastAsia"/>
                <w:color w:val="auto"/>
                <w:kern w:val="0"/>
                <w:sz w:val="22"/>
                <w:szCs w:val="22"/>
                <w:highlight w:val="none"/>
                <w:lang w:val="en-US" w:eastAsia="zh-CN"/>
              </w:rPr>
              <w:t>生态</w:t>
            </w:r>
            <w:r>
              <w:rPr>
                <w:color w:val="auto"/>
                <w:kern w:val="0"/>
                <w:sz w:val="22"/>
                <w:szCs w:val="22"/>
                <w:highlight w:val="none"/>
              </w:rPr>
              <w:t>效益）</w:t>
            </w:r>
          </w:p>
        </w:tc>
        <w:tc>
          <w:tcPr>
            <w:tcW w:w="727"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15</w:t>
            </w:r>
          </w:p>
        </w:tc>
        <w:tc>
          <w:tcPr>
            <w:tcW w:w="104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有效</w:t>
            </w:r>
          </w:p>
        </w:tc>
        <w:tc>
          <w:tcPr>
            <w:tcW w:w="92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有效</w:t>
            </w:r>
          </w:p>
        </w:tc>
        <w:tc>
          <w:tcPr>
            <w:tcW w:w="1215"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auto"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5" w:hRule="atLeast"/>
        </w:trPr>
        <w:tc>
          <w:tcPr>
            <w:tcW w:w="1104" w:type="dxa"/>
            <w:vMerge w:val="continue"/>
            <w:shd w:val="clear" w:color="auto" w:fill="FFFFFF"/>
            <w:vAlign w:val="center"/>
          </w:tcPr>
          <w:p>
            <w:pPr>
              <w:widowControl/>
              <w:spacing w:line="0" w:lineRule="atLeast"/>
              <w:jc w:val="center"/>
              <w:rPr>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color w:val="auto"/>
                <w:kern w:val="0"/>
                <w:sz w:val="22"/>
                <w:szCs w:val="22"/>
                <w:highlight w:val="none"/>
              </w:rPr>
            </w:pPr>
          </w:p>
        </w:tc>
        <w:tc>
          <w:tcPr>
            <w:tcW w:w="1707"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满意度</w:t>
            </w:r>
            <w:r>
              <w:rPr>
                <w:rFonts w:hint="eastAsia"/>
                <w:color w:val="auto"/>
                <w:kern w:val="0"/>
                <w:sz w:val="22"/>
                <w:szCs w:val="22"/>
                <w:highlight w:val="none"/>
              </w:rPr>
              <w:t>(检查人员被投诉次数)</w:t>
            </w:r>
          </w:p>
        </w:tc>
        <w:tc>
          <w:tcPr>
            <w:tcW w:w="727"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5</w:t>
            </w:r>
          </w:p>
        </w:tc>
        <w:tc>
          <w:tcPr>
            <w:tcW w:w="1044"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≤4次</w:t>
            </w:r>
          </w:p>
        </w:tc>
        <w:tc>
          <w:tcPr>
            <w:tcW w:w="924"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0次</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100%</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auto"/>
                <w:kern w:val="0"/>
                <w:sz w:val="22"/>
                <w:szCs w:val="22"/>
                <w:highlight w:val="none"/>
              </w:rPr>
              <w:t>5</w:t>
            </w:r>
          </w:p>
        </w:tc>
      </w:tr>
    </w:tbl>
    <w:p>
      <w:pPr>
        <w:spacing w:line="600" w:lineRule="exact"/>
        <w:ind w:firstLine="320" w:firstLineChars="100"/>
        <w:rPr>
          <w:rFonts w:eastAsia="黑体"/>
          <w:color w:val="auto"/>
          <w:sz w:val="32"/>
          <w:szCs w:val="32"/>
          <w:highlight w:val="none"/>
        </w:rPr>
      </w:pPr>
      <w:r>
        <w:rPr>
          <w:rFonts w:eastAsia="黑体"/>
          <w:color w:val="auto"/>
          <w:sz w:val="32"/>
          <w:szCs w:val="32"/>
          <w:highlight w:val="none"/>
        </w:rPr>
        <w:t>四、绩效评价指标分析</w:t>
      </w:r>
    </w:p>
    <w:p>
      <w:pPr>
        <w:pStyle w:val="2"/>
        <w:ind w:firstLine="321" w:firstLineChars="1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pPr>
        <w:spacing w:line="600" w:lineRule="exact"/>
        <w:ind w:firstLine="600" w:firstLineChars="200"/>
        <w:outlineLvl w:val="0"/>
        <w:rPr>
          <w:rFonts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项目决策类指标包括项目立项、绩效目标和资金投入三方面的内容，由6个三级指标构成，权重分值为20分，实际得分20分，得分率为100%。</w:t>
      </w:r>
    </w:p>
    <w:p>
      <w:pPr>
        <w:pStyle w:val="57"/>
        <w:spacing w:line="560" w:lineRule="exact"/>
        <w:ind w:firstLine="64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1.项目立项</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（1）立项依据充分性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（2）立项程序规范性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57"/>
        <w:spacing w:line="560" w:lineRule="exact"/>
        <w:ind w:firstLine="64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2.绩效目标</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（1）绩效目标合理性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（2）绩效指标明确性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项目设置了明确的预期产出效益和效果，将绩效目标细化分解为具体的绩效指标，绩效目标与项目目标任务数相对应，绩效目标设定的绩效指标清晰、细化、可衡量。</w:t>
      </w:r>
    </w:p>
    <w:p>
      <w:pPr>
        <w:pStyle w:val="57"/>
        <w:spacing w:line="560" w:lineRule="exact"/>
        <w:ind w:firstLine="64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3.资金投入</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（1）预算编制科学性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（2）资金分配合理性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资金分配额度与项目单位实际工作内容相适应，资金分配额度合理，资金分配依据充分。</w:t>
      </w:r>
    </w:p>
    <w:p>
      <w:pPr>
        <w:pStyle w:val="2"/>
        <w:ind w:firstLine="321" w:firstLineChars="100"/>
        <w:jc w:val="both"/>
        <w:rPr>
          <w:rFonts w:ascii="Times New Roman" w:hAnsi="Times New Roman" w:eastAsia="楷体_GB2312"/>
          <w:color w:val="auto"/>
          <w:highlight w:val="none"/>
        </w:rPr>
      </w:pPr>
      <w:r>
        <w:rPr>
          <w:rFonts w:hint="eastAsia" w:ascii="Times New Roman" w:hAnsi="Times New Roman" w:eastAsia="楷体_GB2312"/>
          <w:color w:val="auto"/>
          <w:highlight w:val="none"/>
        </w:rPr>
        <w:t>（二）</w:t>
      </w:r>
      <w:r>
        <w:rPr>
          <w:rFonts w:ascii="Times New Roman" w:hAnsi="Times New Roman" w:eastAsia="楷体_GB2312"/>
          <w:color w:val="auto"/>
          <w:highlight w:val="none"/>
        </w:rPr>
        <w:t>项目过程情况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项目过程类指标包括资金管理和组织实施两方面的内容，由5个三级指标构成，权重分值为20分，实际得分</w:t>
      </w:r>
      <w:r>
        <w:rPr>
          <w:rFonts w:hint="eastAsia" w:ascii="仿宋_GB2312" w:hAnsi="仿宋_GB2312" w:eastAsia="仿宋_GB2312" w:cs="仿宋_GB2312"/>
          <w:color w:val="auto"/>
          <w:sz w:val="32"/>
          <w:szCs w:val="32"/>
          <w:highlight w:val="none"/>
          <w:lang w:val="en-US" w:eastAsia="zh-CN"/>
        </w:rPr>
        <w:t>19.97</w:t>
      </w:r>
      <w:r>
        <w:rPr>
          <w:rFonts w:hint="eastAsia" w:ascii="仿宋_GB2312" w:hAnsi="仿宋_GB2312" w:eastAsia="仿宋_GB2312" w:cs="仿宋_GB2312"/>
          <w:color w:val="auto"/>
          <w:sz w:val="32"/>
          <w:szCs w:val="32"/>
          <w:highlight w:val="none"/>
        </w:rPr>
        <w:t>分，得分率为100%。</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57"/>
        <w:spacing w:line="560" w:lineRule="exact"/>
        <w:ind w:firstLine="64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1.资金管理</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（1）资金到位率</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本项目总投资188万元，财政资金及时足额到位，到位率100%，预算资金按计划进度执行。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（2）预算执行率</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预算编制较为详细，项目资金支出总体能够按照预算执行，预算资金支出186.74万元，预算执行率为99.33%。</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（3）资金使用合规性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7"/>
        <w:spacing w:line="560" w:lineRule="exact"/>
        <w:ind w:firstLine="64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2.组织实施</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（1）管理制度健全性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（2）制度执行有效性</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对资金使用的合法合规性进行监督，年末对资金使用效果进行评价。项目管理、实施人员落实到位，有效按照计划执行。项目执行情况等资料齐全，项目相关手续完备，及时进行归档。</w:t>
      </w:r>
    </w:p>
    <w:p>
      <w:pPr>
        <w:pStyle w:val="2"/>
        <w:ind w:firstLine="321" w:firstLineChars="100"/>
        <w:jc w:val="both"/>
        <w:rPr>
          <w:rFonts w:ascii="Times New Roman" w:hAnsi="Times New Roman" w:eastAsia="楷体_GB2312"/>
          <w:color w:val="auto"/>
          <w:highlight w:val="none"/>
        </w:rPr>
      </w:pPr>
      <w:r>
        <w:rPr>
          <w:rFonts w:hint="eastAsia" w:ascii="Times New Roman" w:hAnsi="Times New Roman" w:eastAsia="楷体_GB2312"/>
          <w:color w:val="auto"/>
          <w:highlight w:val="none"/>
        </w:rPr>
        <w:t>（三）</w:t>
      </w:r>
      <w:r>
        <w:rPr>
          <w:rFonts w:ascii="Times New Roman" w:hAnsi="Times New Roman" w:eastAsia="楷体_GB2312"/>
          <w:color w:val="auto"/>
          <w:highlight w:val="none"/>
        </w:rPr>
        <w:t>项目产出</w:t>
      </w:r>
      <w:r>
        <w:rPr>
          <w:rFonts w:hint="eastAsia" w:eastAsia="楷体_GB2312"/>
          <w:color w:val="auto"/>
          <w:highlight w:val="none"/>
        </w:rPr>
        <w:t>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项目产出类指标包括产出数量、产出质量、产出时效、产出成本四方面的内容，由</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个三级指标构成，权重分为40分，实际得分</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rPr>
        <w:t>分，得分率为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%。具体产出指标完成情况如下：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ascii="仿宋_GB2312" w:hAnsi="仿宋_GB2312" w:eastAsia="仿宋_GB2312" w:cs="仿宋_GB2312"/>
          <w:color w:val="auto"/>
          <w:sz w:val="32"/>
          <w:szCs w:val="32"/>
          <w:highlight w:val="none"/>
        </w:rPr>
        <w:t>数量指标：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指标1：危险废物规范化评估抽查企业数量指标，指标值为120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，实际完成121</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，完成率100.83%，偏差率0.83%，偏差原因是由于现场评估企业临时增加一家投诉举报企业纳入核查，今后将严格执行预算指标值。</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指标2: 尾矿库污染隐患排查治理监督检查企业数量指标，指标值为30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，实际完成30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，完成率100%。</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指标3：危险废物鉴别报告核查数量指标，指标值为10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，实际完成10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，完成率100%。</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指标4：危险废物经营许可证核查数量指标，指标值为20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，实际完成20</w:t>
      </w:r>
      <w:r>
        <w:rPr>
          <w:rFonts w:hint="eastAsia" w:ascii="仿宋_GB2312" w:hAnsi="仿宋_GB2312" w:eastAsia="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rPr>
        <w:t>，完成率100%。</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指标1：地级行政区规范化评估抽查覆盖率指标，指标值为90%，实际完成100%，完成率111.1%，偏差率11.1%。按文件要求对14各地州全覆盖，今后将适当调整预算指标值，减小偏差。</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指标1：危险废物经营许可证核查按时完成率指标，指标值为90%，实际完成100%，完成率111.11%，偏差率11.11%。按照危险废物经营许可证核查工作程序按时完成核查工作，今后将适当调整预算指标值，减小偏差。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指标1：监督管理成本，指标值为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82.4万元，实际完成81.35万元，完成率98.73%，偏差率1.27%，偏差原因其中政府采购指标设备购置为节约成本以实际协议采购价格为准。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指标2：技术核查成本，指标值为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85.6万元，实际完成85.6万元，完成率100%。</w:t>
      </w:r>
    </w:p>
    <w:p>
      <w:pPr>
        <w:pStyle w:val="2"/>
        <w:ind w:firstLine="321" w:firstLineChars="100"/>
        <w:jc w:val="both"/>
        <w:rPr>
          <w:rFonts w:ascii="Times New Roman" w:hAnsi="Times New Roman" w:eastAsia="楷体_GB2312"/>
          <w:color w:val="auto"/>
          <w:highlight w:val="none"/>
        </w:rPr>
      </w:pPr>
      <w:r>
        <w:rPr>
          <w:rFonts w:hint="eastAsia" w:ascii="Times New Roman" w:hAnsi="Times New Roman" w:eastAsia="楷体_GB2312"/>
          <w:color w:val="auto"/>
          <w:highlight w:val="none"/>
        </w:rPr>
        <w:t>（四）项目</w:t>
      </w:r>
      <w:r>
        <w:rPr>
          <w:rFonts w:ascii="Times New Roman" w:hAnsi="Times New Roman" w:eastAsia="楷体_GB2312"/>
          <w:color w:val="auto"/>
          <w:highlight w:val="none"/>
        </w:rPr>
        <w:t>效益情况</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1.实施效益</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w:t>
      </w:r>
      <w:r>
        <w:rPr>
          <w:rFonts w:ascii="仿宋_GB2312" w:hAnsi="仿宋_GB2312" w:eastAsia="仿宋_GB2312" w:cs="仿宋_GB2312"/>
          <w:color w:val="auto"/>
          <w:sz w:val="32"/>
          <w:szCs w:val="32"/>
          <w:highlight w:val="none"/>
        </w:rPr>
        <w:t>社会效益指标：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规范化评估问题整改落实率指标，指标值为90%，实际完成94.9%，完成率105.44%，偏差率5.44%。偏差原因:按月定时调度地州规范化评估问题整改落实情况，各地积极落实整改，总体整改落实进度加快，今后将适当调整预算指标值，减小偏差。</w:t>
      </w:r>
    </w:p>
    <w:p>
      <w:pPr>
        <w:spacing w:line="60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2.满意度</w:t>
      </w:r>
    </w:p>
    <w:p>
      <w:pPr>
        <w:spacing w:line="60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满意度指标：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指标1：检查人员被投诉次数指标，指标值为4</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，实际完成0</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，完成率100%。</w:t>
      </w:r>
    </w:p>
    <w:p>
      <w:pPr>
        <w:spacing w:line="600" w:lineRule="exact"/>
        <w:ind w:firstLine="960" w:firstLineChars="300"/>
        <w:rPr>
          <w:rFonts w:eastAsia="黑体"/>
          <w:color w:val="auto"/>
          <w:sz w:val="32"/>
          <w:szCs w:val="32"/>
          <w:highlight w:val="none"/>
        </w:rPr>
      </w:pPr>
      <w:r>
        <w:rPr>
          <w:rFonts w:eastAsia="黑体"/>
          <w:color w:val="auto"/>
          <w:sz w:val="32"/>
          <w:szCs w:val="32"/>
          <w:highlight w:val="none"/>
        </w:rPr>
        <w:t>五、</w:t>
      </w:r>
      <w:r>
        <w:rPr>
          <w:rFonts w:hint="eastAsia" w:eastAsia="黑体"/>
          <w:color w:val="auto"/>
          <w:sz w:val="32"/>
          <w:szCs w:val="32"/>
          <w:highlight w:val="none"/>
        </w:rPr>
        <w:t>预算执行进度与绩效指标总体完成率偏差</w:t>
      </w:r>
    </w:p>
    <w:p>
      <w:pPr>
        <w:pStyle w:val="57"/>
        <w:spacing w:line="360" w:lineRule="auto"/>
        <w:ind w:firstLine="640"/>
        <w:rPr>
          <w:rFonts w:eastAsia="方正仿宋_GBK" w:cs="方正仿宋_GBK"/>
          <w:color w:val="auto"/>
          <w:sz w:val="32"/>
          <w:szCs w:val="32"/>
          <w:highlight w:val="none"/>
        </w:rPr>
      </w:pPr>
      <w:r>
        <w:rPr>
          <w:rFonts w:hint="eastAsia" w:eastAsia="仿宋_GB2312"/>
          <w:color w:val="auto"/>
          <w:kern w:val="2"/>
          <w:sz w:val="32"/>
          <w:szCs w:val="32"/>
          <w:highlight w:val="none"/>
        </w:rPr>
        <w:t>自治区固体废弃物（危险废物）监督管理专项年初预算188万元，全年预算188万元，实际支出</w:t>
      </w:r>
      <w:r>
        <w:rPr>
          <w:rFonts w:eastAsia="仿宋_GB2312"/>
          <w:color w:val="auto"/>
          <w:kern w:val="2"/>
          <w:sz w:val="32"/>
          <w:szCs w:val="32"/>
          <w:highlight w:val="none"/>
        </w:rPr>
        <w:t>186.74</w:t>
      </w:r>
      <w:r>
        <w:rPr>
          <w:rFonts w:hint="eastAsia" w:eastAsia="仿宋_GB2312"/>
          <w:color w:val="auto"/>
          <w:kern w:val="2"/>
          <w:sz w:val="32"/>
          <w:szCs w:val="32"/>
          <w:highlight w:val="none"/>
        </w:rPr>
        <w:t>万元，预算执行率为</w:t>
      </w:r>
      <w:r>
        <w:rPr>
          <w:rFonts w:eastAsia="仿宋_GB2312"/>
          <w:color w:val="auto"/>
          <w:kern w:val="2"/>
          <w:sz w:val="32"/>
          <w:szCs w:val="32"/>
          <w:highlight w:val="none"/>
        </w:rPr>
        <w:t>99.</w:t>
      </w:r>
      <w:r>
        <w:rPr>
          <w:rFonts w:hint="eastAsia" w:eastAsia="仿宋_GB2312"/>
          <w:color w:val="auto"/>
          <w:kern w:val="2"/>
          <w:sz w:val="32"/>
          <w:szCs w:val="32"/>
          <w:highlight w:val="none"/>
        </w:rPr>
        <w:t>33%，项目绩效指标总体完成率为102.72%，总体偏差率为</w:t>
      </w:r>
      <w:r>
        <w:rPr>
          <w:rFonts w:hint="eastAsia" w:eastAsia="仿宋_GB2312"/>
          <w:color w:val="auto"/>
          <w:kern w:val="2"/>
          <w:sz w:val="32"/>
          <w:szCs w:val="32"/>
          <w:highlight w:val="none"/>
          <w:lang w:val="en-US" w:eastAsia="zh-CN"/>
        </w:rPr>
        <w:t>3.39</w:t>
      </w:r>
      <w:r>
        <w:rPr>
          <w:rFonts w:hint="eastAsia" w:eastAsia="仿宋_GB2312"/>
          <w:color w:val="auto"/>
          <w:kern w:val="2"/>
          <w:sz w:val="32"/>
          <w:szCs w:val="32"/>
          <w:highlight w:val="none"/>
        </w:rPr>
        <w:t>%,偏差原因:除成本指标因节约成本实际采购价格低于预算价格外其他均为正向偏差，实际</w:t>
      </w:r>
      <w:r>
        <w:rPr>
          <w:rFonts w:hint="eastAsia" w:eastAsia="仿宋_GB2312"/>
          <w:color w:val="auto"/>
          <w:kern w:val="2"/>
          <w:sz w:val="32"/>
          <w:szCs w:val="32"/>
          <w:highlight w:val="none"/>
          <w:lang w:val="en-US" w:eastAsia="zh-CN"/>
        </w:rPr>
        <w:t>超额</w:t>
      </w:r>
      <w:r>
        <w:rPr>
          <w:rFonts w:hint="eastAsia" w:eastAsia="仿宋_GB2312"/>
          <w:color w:val="auto"/>
          <w:kern w:val="2"/>
          <w:sz w:val="32"/>
          <w:szCs w:val="32"/>
          <w:highlight w:val="none"/>
        </w:rPr>
        <w:t>完成了预期指标，改进措施今后将适当调整预算指标值，做到精准预算，减小偏差。</w:t>
      </w:r>
    </w:p>
    <w:p>
      <w:pPr>
        <w:spacing w:line="600" w:lineRule="exact"/>
        <w:ind w:firstLine="640" w:firstLineChars="200"/>
        <w:rPr>
          <w:rStyle w:val="54"/>
          <w:rFonts w:ascii="Times New Roman" w:hAnsi="Times New Roman" w:cs="Times New Roman"/>
          <w:color w:val="auto"/>
          <w:highlight w:val="none"/>
        </w:rPr>
      </w:pPr>
      <w:r>
        <w:rPr>
          <w:rFonts w:hint="eastAsia" w:eastAsia="黑体"/>
          <w:color w:val="auto"/>
          <w:sz w:val="32"/>
          <w:szCs w:val="32"/>
          <w:highlight w:val="none"/>
        </w:rPr>
        <w:t>六</w:t>
      </w:r>
      <w:r>
        <w:rPr>
          <w:rFonts w:eastAsia="黑体"/>
          <w:color w:val="auto"/>
          <w:sz w:val="32"/>
          <w:szCs w:val="32"/>
          <w:highlight w:val="none"/>
        </w:rPr>
        <w:t>、主要经验及做法、存在的问题及原因分析</w:t>
      </w:r>
    </w:p>
    <w:p>
      <w:pPr>
        <w:spacing w:line="60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pPr>
        <w:spacing w:line="600" w:lineRule="exact"/>
        <w:ind w:firstLine="640" w:firstLineChars="200"/>
        <w:rPr>
          <w:rFonts w:ascii="Times New Roman" w:hAnsi="Times New Roman" w:eastAsia="仿宋_GB2312"/>
          <w:b w:val="0"/>
          <w:bCs w:val="0"/>
          <w:color w:val="auto"/>
          <w:kern w:val="2"/>
          <w:highlight w:val="none"/>
        </w:rPr>
      </w:pPr>
      <w:r>
        <w:rPr>
          <w:rFonts w:hint="eastAsia" w:eastAsia="仿宋_GB2312"/>
          <w:color w:val="auto"/>
          <w:sz w:val="32"/>
          <w:szCs w:val="32"/>
          <w:highlight w:val="none"/>
          <w:lang w:val="en-US" w:eastAsia="zh-CN"/>
        </w:rPr>
        <w:t>一是</w:t>
      </w:r>
      <w:r>
        <w:rPr>
          <w:rFonts w:hint="eastAsia" w:eastAsia="仿宋_GB2312"/>
          <w:color w:val="auto"/>
          <w:sz w:val="32"/>
          <w:szCs w:val="32"/>
          <w:highlight w:val="none"/>
        </w:rPr>
        <w:t>加强思想教育，提高认识。通过加强学习，教育引导干部职工深刻理解和认识加强绩效考核工作的重要性和紧迫性，统一思想，提高认识，形成了人人关心、积极参与绩效考核的浓厚氛围。</w:t>
      </w:r>
      <w:r>
        <w:rPr>
          <w:rFonts w:hint="eastAsia" w:eastAsia="仿宋_GB2312"/>
          <w:color w:val="auto"/>
          <w:sz w:val="32"/>
          <w:szCs w:val="32"/>
          <w:highlight w:val="none"/>
          <w:lang w:val="en-US" w:eastAsia="zh-CN"/>
        </w:rPr>
        <w:t>二</w:t>
      </w:r>
      <w:r>
        <w:rPr>
          <w:rFonts w:hint="eastAsia" w:eastAsia="仿宋_GB2312"/>
          <w:color w:val="auto"/>
          <w:sz w:val="32"/>
          <w:szCs w:val="32"/>
          <w:highlight w:val="none"/>
        </w:rPr>
        <w:t>是紧密联系</w:t>
      </w:r>
      <w:r>
        <w:rPr>
          <w:rFonts w:hint="eastAsia" w:eastAsia="仿宋_GB2312"/>
          <w:color w:val="auto"/>
          <w:sz w:val="32"/>
          <w:szCs w:val="32"/>
          <w:highlight w:val="none"/>
          <w:lang w:val="en-US" w:eastAsia="zh-CN"/>
        </w:rPr>
        <w:t>业务</w:t>
      </w:r>
      <w:r>
        <w:rPr>
          <w:rFonts w:hint="eastAsia" w:eastAsia="仿宋_GB2312"/>
          <w:color w:val="auto"/>
          <w:sz w:val="32"/>
          <w:szCs w:val="32"/>
          <w:highlight w:val="none"/>
        </w:rPr>
        <w:t>工作实际，把加强绩效考核与党风廉政建设和反腐败工作结合起来。坚持把提升</w:t>
      </w:r>
      <w:r>
        <w:rPr>
          <w:rFonts w:hint="eastAsia" w:eastAsia="仿宋_GB2312"/>
          <w:color w:val="auto"/>
          <w:sz w:val="32"/>
          <w:szCs w:val="32"/>
          <w:highlight w:val="none"/>
          <w:lang w:val="en-US" w:eastAsia="zh-CN"/>
        </w:rPr>
        <w:t>技术支撑能力</w:t>
      </w:r>
      <w:r>
        <w:rPr>
          <w:rFonts w:hint="eastAsia" w:eastAsia="仿宋_GB2312"/>
          <w:color w:val="auto"/>
          <w:sz w:val="32"/>
          <w:szCs w:val="32"/>
          <w:highlight w:val="none"/>
        </w:rPr>
        <w:t>，加强绩效考核与业务工作一起部署、一起检查、一起考核、一起落实。</w:t>
      </w:r>
      <w:r>
        <w:rPr>
          <w:rFonts w:hint="eastAsia" w:eastAsia="仿宋_GB2312"/>
          <w:color w:val="auto"/>
          <w:sz w:val="32"/>
          <w:szCs w:val="32"/>
          <w:highlight w:val="none"/>
          <w:lang w:val="en-US" w:eastAsia="zh-CN"/>
        </w:rPr>
        <w:t>三</w:t>
      </w:r>
      <w:r>
        <w:rPr>
          <w:rFonts w:hint="eastAsia" w:eastAsia="仿宋_GB2312"/>
          <w:color w:val="auto"/>
          <w:sz w:val="32"/>
          <w:szCs w:val="32"/>
          <w:highlight w:val="none"/>
        </w:rPr>
        <w:t>是</w:t>
      </w:r>
      <w:r>
        <w:rPr>
          <w:rFonts w:hint="eastAsia" w:eastAsia="仿宋_GB2312"/>
          <w:color w:val="auto"/>
          <w:sz w:val="32"/>
          <w:szCs w:val="32"/>
          <w:highlight w:val="none"/>
          <w:lang w:val="en-US" w:eastAsia="zh-CN"/>
        </w:rPr>
        <w:t>中心支委多次召开专题会议，研究中心开展绩效考核工作活动事项。四是在项目资金使用过程中，严格落实把关，按照项目资金使用范围做好审核工作，让项目资金落于实处。严格坚持先做事、后验收、再拨付的原则，基本杜绝了资金被挤占和挪用现象的发生，跟踪检查到位。</w:t>
      </w:r>
    </w:p>
    <w:p>
      <w:pPr>
        <w:keepNext/>
        <w:keepLines/>
        <w:numPr>
          <w:ilvl w:val="0"/>
          <w:numId w:val="6"/>
        </w:num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pPr>
        <w:pStyle w:val="2"/>
        <w:spacing w:before="0" w:after="0" w:line="600" w:lineRule="exact"/>
        <w:ind w:firstLine="640" w:firstLineChars="200"/>
        <w:jc w:val="both"/>
        <w:rPr>
          <w:rFonts w:hint="eastAsia"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1.绩效管理的整体性上还有差距，管理体系需进一步健全。</w:t>
      </w:r>
    </w:p>
    <w:p>
      <w:pPr>
        <w:pStyle w:val="2"/>
        <w:spacing w:before="0" w:after="0" w:line="600" w:lineRule="exact"/>
        <w:ind w:firstLine="640" w:firstLineChars="200"/>
        <w:jc w:val="both"/>
        <w:rPr>
          <w:rFonts w:hint="eastAsia"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2.设置质量指标、时效指标、社会效益指标过于保守，在今后的预算设定时将适当提高指标值。</w:t>
      </w:r>
    </w:p>
    <w:p>
      <w:pPr>
        <w:pStyle w:val="2"/>
        <w:spacing w:before="0" w:after="0" w:line="600" w:lineRule="exact"/>
        <w:ind w:firstLine="640" w:firstLineChars="200"/>
        <w:jc w:val="both"/>
        <w:rPr>
          <w:rFonts w:hint="eastAsia"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3.因工作开展情况，导致个别项目在一定程度上存在支出进度慢的现象。</w:t>
      </w:r>
    </w:p>
    <w:p>
      <w:pPr>
        <w:pStyle w:val="2"/>
        <w:spacing w:before="0" w:after="0" w:line="600" w:lineRule="exact"/>
        <w:ind w:firstLine="643" w:firstLineChars="200"/>
        <w:jc w:val="both"/>
        <w:rPr>
          <w:rFonts w:eastAsia="黑体"/>
          <w:color w:val="auto"/>
          <w:sz w:val="32"/>
          <w:szCs w:val="32"/>
          <w:highlight w:val="none"/>
        </w:rPr>
      </w:pPr>
      <w:r>
        <w:rPr>
          <w:rFonts w:hint="eastAsia" w:eastAsia="黑体"/>
          <w:color w:val="auto"/>
          <w:sz w:val="32"/>
          <w:szCs w:val="32"/>
          <w:highlight w:val="none"/>
        </w:rPr>
        <w:t>七、</w:t>
      </w:r>
      <w:r>
        <w:rPr>
          <w:rFonts w:eastAsia="黑体"/>
          <w:color w:val="auto"/>
          <w:sz w:val="32"/>
          <w:szCs w:val="32"/>
          <w:highlight w:val="none"/>
        </w:rPr>
        <w:t>有关建议</w:t>
      </w:r>
    </w:p>
    <w:p>
      <w:pPr>
        <w:spacing w:line="600" w:lineRule="exact"/>
        <w:ind w:firstLine="640" w:firstLineChars="200"/>
        <w:rPr>
          <w:color w:val="auto"/>
          <w:highlight w:val="none"/>
        </w:rPr>
      </w:pPr>
      <w:r>
        <w:rPr>
          <w:rFonts w:hint="eastAsia" w:ascii="仿宋_GB2312" w:hAnsi="仿宋_GB2312" w:eastAsia="仿宋_GB2312" w:cs="仿宋_GB2312"/>
          <w:color w:val="auto"/>
          <w:sz w:val="32"/>
          <w:szCs w:val="28"/>
          <w:highlight w:val="none"/>
        </w:rPr>
        <w:t>1.建立绩效工作考核制度，加大全局对全面实施预算绩效管理和绩效管理工作的学习力度，让“花钱必问效，无效必问责”的理念深入工作每个环节。</w:t>
      </w:r>
    </w:p>
    <w:p>
      <w:pPr>
        <w:spacing w:line="600" w:lineRule="exact"/>
        <w:ind w:firstLine="640" w:firstLineChars="200"/>
        <w:rPr>
          <w:rFonts w:hint="eastAsia" w:ascii="仿宋_GB2312" w:hAnsi="仿宋_GB2312" w:eastAsia="仿宋_GB2312" w:cs="仿宋_GB2312"/>
          <w:color w:val="auto"/>
          <w:sz w:val="32"/>
          <w:szCs w:val="28"/>
          <w:highlight w:val="none"/>
        </w:rPr>
      </w:pPr>
      <w:r>
        <w:rPr>
          <w:rFonts w:hint="eastAsia" w:ascii="仿宋_GB2312" w:hAnsi="仿宋_GB2312" w:eastAsia="仿宋_GB2312" w:cs="仿宋_GB2312"/>
          <w:color w:val="auto"/>
          <w:sz w:val="32"/>
          <w:szCs w:val="28"/>
          <w:highlight w:val="none"/>
          <w:lang w:val="en-US" w:eastAsia="zh-CN"/>
        </w:rPr>
        <w:t>2.</w:t>
      </w:r>
      <w:r>
        <w:rPr>
          <w:rFonts w:hint="eastAsia" w:ascii="仿宋_GB2312" w:hAnsi="仿宋_GB2312" w:eastAsia="仿宋_GB2312" w:cs="仿宋_GB2312"/>
          <w:color w:val="auto"/>
          <w:sz w:val="32"/>
          <w:szCs w:val="28"/>
          <w:highlight w:val="none"/>
        </w:rPr>
        <w:t>细化预算编制工作，认真做好预算编制。进一步加强内部预算管理意识，严格按照预算编制的相关制度和要求进行预算编制</w:t>
      </w:r>
      <w:r>
        <w:rPr>
          <w:rFonts w:hint="eastAsia" w:ascii="仿宋_GB2312" w:hAnsi="仿宋_GB2312" w:eastAsia="仿宋_GB2312" w:cs="仿宋_GB2312"/>
          <w:color w:val="auto"/>
          <w:sz w:val="32"/>
          <w:szCs w:val="28"/>
          <w:highlight w:val="none"/>
          <w:lang w:eastAsia="zh-CN"/>
        </w:rPr>
        <w:t>；</w:t>
      </w:r>
      <w:r>
        <w:rPr>
          <w:rFonts w:hint="eastAsia" w:ascii="仿宋_GB2312" w:hAnsi="仿宋_GB2312" w:eastAsia="仿宋_GB2312" w:cs="仿宋_GB2312"/>
          <w:color w:val="auto"/>
          <w:sz w:val="32"/>
          <w:szCs w:val="28"/>
          <w:highlight w:val="none"/>
        </w:rPr>
        <w:t>全面编制预算项目，优先保障固定性的、相对刚性的费用支出项目，进</w:t>
      </w:r>
      <w:r>
        <w:rPr>
          <w:rFonts w:hint="eastAsia" w:ascii="仿宋_GB2312" w:hAnsi="仿宋_GB2312" w:eastAsia="仿宋_GB2312" w:cs="仿宋_GB2312"/>
          <w:color w:val="auto"/>
          <w:sz w:val="32"/>
          <w:szCs w:val="28"/>
          <w:highlight w:val="none"/>
          <w:lang w:val="en-US" w:eastAsia="zh-CN"/>
        </w:rPr>
        <w:t>一</w:t>
      </w:r>
      <w:r>
        <w:rPr>
          <w:rFonts w:hint="eastAsia" w:ascii="仿宋_GB2312" w:hAnsi="仿宋_GB2312" w:eastAsia="仿宋_GB2312" w:cs="仿宋_GB2312"/>
          <w:color w:val="auto"/>
          <w:sz w:val="32"/>
          <w:szCs w:val="28"/>
          <w:highlight w:val="none"/>
        </w:rPr>
        <w:t>步提高预算编制的科学性、严谨性和可控性。</w:t>
      </w:r>
    </w:p>
    <w:p>
      <w:pPr>
        <w:spacing w:line="600" w:lineRule="exact"/>
        <w:ind w:firstLine="640" w:firstLineChars="200"/>
        <w:rPr>
          <w:rFonts w:hint="eastAsia" w:ascii="仿宋_GB2312" w:hAnsi="仿宋_GB2312" w:eastAsia="仿宋_GB2312" w:cs="仿宋_GB2312"/>
          <w:color w:val="auto"/>
          <w:sz w:val="32"/>
          <w:szCs w:val="28"/>
          <w:highlight w:val="none"/>
        </w:rPr>
      </w:pPr>
      <w:r>
        <w:rPr>
          <w:rFonts w:hint="eastAsia" w:ascii="仿宋_GB2312" w:hAnsi="仿宋_GB2312" w:eastAsia="仿宋_GB2312" w:cs="仿宋_GB2312"/>
          <w:color w:val="auto"/>
          <w:sz w:val="32"/>
          <w:szCs w:val="28"/>
          <w:highlight w:val="none"/>
        </w:rPr>
        <w:t>3.加强项目开展进度的跟踪，开展项目绩效评价，确保项目绩效目标的完成。</w:t>
      </w:r>
    </w:p>
    <w:p>
      <w:pPr>
        <w:spacing w:line="600" w:lineRule="exact"/>
        <w:ind w:firstLine="640" w:firstLineChars="200"/>
        <w:rPr>
          <w:rFonts w:eastAsia="黑体"/>
          <w:color w:val="auto"/>
          <w:sz w:val="32"/>
          <w:szCs w:val="32"/>
          <w:highlight w:val="none"/>
        </w:rPr>
      </w:pPr>
      <w:r>
        <w:rPr>
          <w:rFonts w:hint="eastAsia" w:eastAsia="黑体"/>
          <w:color w:val="auto"/>
          <w:sz w:val="32"/>
          <w:szCs w:val="32"/>
          <w:highlight w:val="none"/>
        </w:rPr>
        <w:t>八、</w:t>
      </w:r>
      <w:r>
        <w:rPr>
          <w:rFonts w:eastAsia="黑体"/>
          <w:color w:val="auto"/>
          <w:sz w:val="32"/>
          <w:szCs w:val="32"/>
          <w:highlight w:val="none"/>
        </w:rPr>
        <w:t>其他需要说</w:t>
      </w:r>
      <w:bookmarkStart w:id="7" w:name="page8"/>
      <w:bookmarkEnd w:id="7"/>
      <w:r>
        <w:rPr>
          <w:rFonts w:eastAsia="黑体"/>
          <w:color w:val="auto"/>
          <w:sz w:val="32"/>
          <w:szCs w:val="32"/>
          <w:highlight w:val="none"/>
        </w:rPr>
        <w:t>明的问题</w:t>
      </w:r>
    </w:p>
    <w:p>
      <w:pPr>
        <w:pStyle w:val="21"/>
        <w:spacing w:after="0" w:line="560" w:lineRule="exact"/>
        <w:ind w:left="0" w:leftChars="0" w:firstLine="640"/>
        <w:rPr>
          <w:rFonts w:hint="eastAsia" w:ascii="仿宋_GB2312" w:hAnsi="仿宋_GB2312" w:eastAsia="仿宋_GB2312" w:cs="仿宋_GB2312"/>
          <w:color w:val="auto"/>
          <w:sz w:val="32"/>
          <w:szCs w:val="28"/>
          <w:highlight w:val="none"/>
        </w:rPr>
        <w:sectPr>
          <w:footerReference r:id="rId4" w:type="default"/>
          <w:pgSz w:w="11906" w:h="16838"/>
          <w:pgMar w:top="1440" w:right="1558"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_GB2312" w:hAnsi="仿宋_GB2312" w:eastAsia="仿宋_GB2312" w:cs="仿宋_GB2312"/>
          <w:color w:val="auto"/>
          <w:sz w:val="32"/>
          <w:szCs w:val="28"/>
          <w:highlight w:val="none"/>
        </w:rPr>
        <w:t>本项目无其他需说明的问题。</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9"/>
        <w:gridCol w:w="761"/>
        <w:gridCol w:w="828"/>
        <w:gridCol w:w="1695"/>
        <w:gridCol w:w="841"/>
        <w:gridCol w:w="1092"/>
        <w:gridCol w:w="992"/>
        <w:gridCol w:w="926"/>
        <w:gridCol w:w="788"/>
        <w:gridCol w:w="671"/>
        <w:gridCol w:w="710"/>
        <w:gridCol w:w="709"/>
        <w:gridCol w:w="553"/>
        <w:gridCol w:w="4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32"/>
                <w:szCs w:val="32"/>
                <w:highlight w:val="none"/>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自治区固体废弃物（危险废物）监督管理专项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新疆维吾尔自治区生态环境厅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新疆维吾尔自治区固体废物管理中心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项目资金</w:t>
            </w:r>
            <w:r>
              <w:rPr>
                <w:rFonts w:hint="eastAsia" w:ascii="宋体" w:hAnsi="宋体" w:eastAsia="宋体" w:cs="宋体"/>
                <w:b/>
                <w:bCs/>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186.74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99.3%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10</w:t>
            </w:r>
            <w:r>
              <w:rPr>
                <w:rFonts w:hint="eastAsia" w:ascii="宋体" w:hAnsi="宋体" w:cs="宋体"/>
                <w:i w:val="0"/>
                <w:iCs w:val="0"/>
                <w:color w:val="auto"/>
                <w:kern w:val="0"/>
                <w:sz w:val="18"/>
                <w:szCs w:val="18"/>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其中：当年财政拨款</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166.95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166.95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过项目实施，为自治区生态环境厅开展全区危险废物环境保护监督管理提供有力的技术支撑，切实提升涉危险废物企业和单位对危险废物环境管理的能力。危险废物规范化评估抽查企业数量达到120家，地级行政区规范化评估抽查覆盖率达到90%，后续问题整改落实率达到90%；危险废物经营许可证核查数量20家，核查按时完成率达到90%。</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过项目实施，为自治区生态环境厅开展全区危险废物环境保护监督管理提供了有力的技术支撑，切实提升涉危险废物企业和单位对危险废物环境管理的能力。危险废物规范化评估抽查企业数量达到121家，地级行政区规范化评估抽查覆盖率达到100%，后续问题整改落实率达到94.9%；尾矿库污染隐患排查治理监督检查企业数量达到28家；危险废物鉴别报告核查数量达到10家；危险废物经营许可证核查数量20家，核查按时完成率达到100%；检查人员未出现投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业绩值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指标值设定依据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上年完成情况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危险废物规范化评估抽查企业数量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&gt;=120</w:t>
            </w:r>
            <w:r>
              <w:rPr>
                <w:rFonts w:ascii="仿宋_GB2312" w:hAnsi="Times New Roman"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121</w:t>
            </w:r>
            <w:r>
              <w:rPr>
                <w:rFonts w:ascii="仿宋_GB2312" w:hAnsi="宋体"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临时增加一家投诉举报企业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尾矿库污染隐患排查治理监督检查企业数量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&gt;=30</w:t>
            </w:r>
            <w:r>
              <w:rPr>
                <w:rFonts w:ascii="仿宋_GB2312" w:hAnsi="Times New Roman"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w:t>
            </w:r>
            <w:r>
              <w:rPr>
                <w:rFonts w:ascii="仿宋_GB2312" w:hAnsi="宋体"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危险废物鉴别报告核查数量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&gt;=10</w:t>
            </w:r>
            <w:r>
              <w:rPr>
                <w:rFonts w:ascii="仿宋_GB2312" w:hAnsi="Times New Roman"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r>
              <w:rPr>
                <w:rFonts w:ascii="仿宋_GB2312" w:hAnsi="宋体"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危险废物经营许可证核查数量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&gt;=20</w:t>
            </w:r>
            <w:r>
              <w:rPr>
                <w:rFonts w:ascii="仿宋_GB2312" w:hAnsi="Times New Roman"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r>
              <w:rPr>
                <w:rFonts w:ascii="仿宋_GB2312" w:hAnsi="宋体" w:eastAsia="仿宋_GB2312" w:cs="仿宋_GB2312"/>
                <w:i w:val="0"/>
                <w:iCs w:val="0"/>
                <w:color w:val="auto"/>
                <w:kern w:val="0"/>
                <w:sz w:val="18"/>
                <w:szCs w:val="18"/>
                <w:highlight w:val="none"/>
                <w:u w:val="none"/>
                <w:lang w:val="en-US" w:eastAsia="zh-CN" w:bidi="ar"/>
              </w:rPr>
              <w:t>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地级行政区规范化评估抽查覆盖率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按文件要求对14各地州全覆盖，今后将适当调整预算指标值，减小偏差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危险废物经营许可证核查按时完成率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按照危险废物经营许可证核查工作程序按时完成核查工作，今后将适当调整预算指标值，减小偏差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监督管理成本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&lt;=82.4万元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81.35万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98.73%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103万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其中政府采购指标设备购置为节约成本以实际协议采购价格为准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技术核查成本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&lt;=85.6万元</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85.6万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65万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规范化评估问题整改落实率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94.90%</w:t>
            </w:r>
          </w:p>
        </w:tc>
        <w:tc>
          <w:tcPr>
            <w:tcW w:w="0" w:type="auto"/>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105.44%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按月定时调度地州规范化评估问题整改落实情况，各地积极落实整改，总体整改落实进度加快，今后将适当调整预算指标值，减小偏差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检查人员被投诉次数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&lt;=4次</w:t>
            </w:r>
          </w:p>
        </w:tc>
        <w:tc>
          <w:tcPr>
            <w:tcW w:w="0" w:type="auto"/>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96.33</w:t>
            </w:r>
            <w:r>
              <w:rPr>
                <w:rFonts w:hint="eastAsia" w:ascii="宋体" w:hAnsi="宋体" w:cs="宋体"/>
                <w:i w:val="0"/>
                <w:iCs w:val="0"/>
                <w:color w:val="auto"/>
                <w:kern w:val="0"/>
                <w:sz w:val="18"/>
                <w:szCs w:val="18"/>
                <w:highlight w:val="none"/>
                <w:u w:val="none"/>
                <w:lang w:val="en-US" w:eastAsia="zh-CN" w:bidi="ar"/>
              </w:rPr>
              <w:t>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8"/>
                <w:szCs w:val="18"/>
                <w:highlight w:val="none"/>
                <w:u w:val="none"/>
              </w:rPr>
            </w:pPr>
          </w:p>
        </w:tc>
      </w:tr>
    </w:tbl>
    <w:p>
      <w:pPr>
        <w:pStyle w:val="21"/>
        <w:spacing w:after="0" w:line="560" w:lineRule="exact"/>
        <w:ind w:left="0" w:leftChars="0" w:firstLine="640"/>
        <w:rPr>
          <w:rFonts w:hint="eastAsia" w:ascii="仿宋_GB2312" w:hAnsi="仿宋_GB2312" w:eastAsia="仿宋_GB2312" w:cs="仿宋_GB2312"/>
          <w:color w:val="auto"/>
          <w:sz w:val="32"/>
          <w:szCs w:val="28"/>
          <w:highlight w:val="none"/>
        </w:rPr>
        <w:sectPr>
          <w:footerReference r:id="rId5" w:type="default"/>
          <w:pgSz w:w="16838" w:h="11906" w:orient="landscape"/>
          <w:pgMar w:top="113" w:right="720" w:bottom="113" w:left="72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10" w:name="_GoBack"/>
      <w:bookmarkEnd w:id="10"/>
    </w:p>
    <w:p>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pPr>
        <w:pStyle w:val="57"/>
        <w:ind w:firstLine="562"/>
        <w:jc w:val="center"/>
        <w:rPr>
          <w:color w:val="auto"/>
          <w:sz w:val="28"/>
          <w:szCs w:val="40"/>
          <w:highlight w:val="none"/>
        </w:rPr>
      </w:pPr>
      <w:bookmarkStart w:id="8" w:name="_Toc30064_WPSOffice_Level1"/>
      <w:bookmarkStart w:id="9" w:name="_Toc26499_WPSOffice_Level2"/>
      <w:r>
        <w:rPr>
          <w:rFonts w:hint="eastAsia"/>
          <w:b/>
          <w:bCs/>
          <w:color w:val="auto"/>
          <w:sz w:val="28"/>
          <w:szCs w:val="40"/>
          <w:highlight w:val="none"/>
        </w:rPr>
        <w:t>自治区固体废弃物（危险废物）监督管理专项项目绩效评价指标体系及综合评分表</w:t>
      </w:r>
      <w:bookmarkEnd w:id="8"/>
      <w:bookmarkEnd w:id="9"/>
    </w:p>
    <w:p>
      <w:pPr>
        <w:pStyle w:val="21"/>
        <w:ind w:left="0" w:leftChars="0" w:firstLine="0" w:firstLineChars="0"/>
        <w:rPr>
          <w:rFonts w:ascii="Times New Roman" w:hAnsi="Times New Roman" w:eastAsia="方正小标宋简体"/>
          <w:b/>
          <w:color w:val="auto"/>
          <w:kern w:val="0"/>
          <w:sz w:val="32"/>
          <w:szCs w:val="32"/>
          <w:highlight w:val="none"/>
        </w:rPr>
      </w:pP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1"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8"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立项依据</w:t>
            </w:r>
          </w:p>
          <w:p>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立项程序</w:t>
            </w:r>
          </w:p>
          <w:p>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绩效指标</w:t>
            </w:r>
          </w:p>
          <w:p>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资金投入</w:t>
            </w:r>
          </w:p>
          <w:p>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预算编制</w:t>
            </w:r>
          </w:p>
          <w:p>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资金分配</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r>
              <w:rPr>
                <w:color w:val="auto"/>
                <w:kern w:val="0"/>
                <w:sz w:val="22"/>
                <w:szCs w:val="22"/>
                <w:highlight w:val="none"/>
              </w:rPr>
              <w:t>过程</w:t>
            </w:r>
          </w:p>
          <w:p>
            <w:pPr>
              <w:widowControl/>
              <w:spacing w:line="0" w:lineRule="atLeast"/>
              <w:jc w:val="center"/>
              <w:rPr>
                <w:color w:val="auto"/>
                <w:kern w:val="0"/>
                <w:sz w:val="22"/>
                <w:szCs w:val="22"/>
                <w:highlight w:val="none"/>
              </w:rPr>
            </w:pPr>
            <w:r>
              <w:rPr>
                <w:color w:val="auto"/>
                <w:kern w:val="0"/>
                <w:sz w:val="22"/>
                <w:szCs w:val="22"/>
                <w:highlight w:val="none"/>
              </w:rPr>
              <w:t>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continue"/>
            <w:shd w:val="clear" w:color="auto" w:fill="FFFFFF"/>
            <w:vAlign w:val="center"/>
          </w:tcPr>
          <w:p>
            <w:pPr>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资金使用</w:t>
            </w:r>
          </w:p>
          <w:p>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组织实施</w:t>
            </w:r>
          </w:p>
          <w:p>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管理制度</w:t>
            </w:r>
          </w:p>
          <w:p>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制度执行</w:t>
            </w:r>
          </w:p>
          <w:p>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shd w:val="clear" w:color="auto" w:fill="FFFFFF"/>
            <w:vAlign w:val="center"/>
          </w:tcPr>
          <w:p>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8" w:type="pct"/>
            <w:shd w:val="clear" w:color="auto" w:fill="FFFFFF"/>
            <w:vAlign w:val="center"/>
          </w:tcPr>
          <w:p>
            <w:pPr>
              <w:widowControl/>
              <w:spacing w:line="0" w:lineRule="atLeast"/>
              <w:rPr>
                <w:rFonts w:hint="default" w:eastAsia="宋体"/>
                <w:color w:val="auto"/>
                <w:kern w:val="0"/>
                <w:sz w:val="22"/>
                <w:szCs w:val="22"/>
                <w:highlight w:val="none"/>
                <w:lang w:val="en-US" w:eastAsia="zh-CN"/>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15</w:t>
            </w:r>
          </w:p>
        </w:tc>
        <w:tc>
          <w:tcPr>
            <w:tcW w:w="537" w:type="pct"/>
            <w:shd w:val="clear" w:color="auto"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rFonts w:hint="eastAsia" w:eastAsia="宋体"/>
                <w:color w:val="auto"/>
                <w:kern w:val="0"/>
                <w:sz w:val="22"/>
                <w:szCs w:val="22"/>
                <w:highlight w:val="none"/>
                <w:lang w:val="en-US" w:eastAsia="zh-CN"/>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5</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5</w:t>
            </w:r>
          </w:p>
        </w:tc>
      </w:tr>
    </w:tbl>
    <w:p>
      <w:pPr>
        <w:rPr>
          <w:rStyle w:val="24"/>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6"/>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7BG13eAgAAJAYAAA4AAAAAAAAAAQAgAAAAHwEAAGRycy9lMm9Eb2MueG1sUEsF&#10;BgAAAAAGAAYAWQEAAG8GAAAAAA==&#10;">
              <v:fill on="f" focussize="0,0"/>
              <v:stroke on="f" weight="0.5pt"/>
              <v:imagedata o:title=""/>
              <o:lock v:ext="edit" aspectratio="f"/>
              <v:textbox inset="0mm,0mm,0mm,0mm" style="mso-fit-shape-to-text:t;">
                <w:txbxContent>
                  <w:p>
                    <w:pPr>
                      <w:pStyle w:val="16"/>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mZmOTI4ZDU0NGVmOTY2MDgyMDNlZDcxZTFiMzMifQ=="/>
  </w:docVars>
  <w:rsids>
    <w:rsidRoot w:val="00CA6457"/>
    <w:rsid w:val="00045B18"/>
    <w:rsid w:val="00056465"/>
    <w:rsid w:val="00060040"/>
    <w:rsid w:val="00073F44"/>
    <w:rsid w:val="000E50F0"/>
    <w:rsid w:val="000E586C"/>
    <w:rsid w:val="000F4517"/>
    <w:rsid w:val="00121AE4"/>
    <w:rsid w:val="00146AAD"/>
    <w:rsid w:val="001B3A40"/>
    <w:rsid w:val="001F67E9"/>
    <w:rsid w:val="00200850"/>
    <w:rsid w:val="002323C4"/>
    <w:rsid w:val="002340CD"/>
    <w:rsid w:val="002865A5"/>
    <w:rsid w:val="002B45EC"/>
    <w:rsid w:val="002C4D47"/>
    <w:rsid w:val="002F5B7E"/>
    <w:rsid w:val="00302EDE"/>
    <w:rsid w:val="00306FAD"/>
    <w:rsid w:val="00372BEC"/>
    <w:rsid w:val="003748BB"/>
    <w:rsid w:val="003C18BC"/>
    <w:rsid w:val="003C4D98"/>
    <w:rsid w:val="003C709F"/>
    <w:rsid w:val="003D45BA"/>
    <w:rsid w:val="00430B95"/>
    <w:rsid w:val="004366A8"/>
    <w:rsid w:val="004537B1"/>
    <w:rsid w:val="00464900"/>
    <w:rsid w:val="00476006"/>
    <w:rsid w:val="004859A5"/>
    <w:rsid w:val="0050203C"/>
    <w:rsid w:val="00502BA7"/>
    <w:rsid w:val="005162F1"/>
    <w:rsid w:val="00535153"/>
    <w:rsid w:val="00554F82"/>
    <w:rsid w:val="0056390D"/>
    <w:rsid w:val="005719B0"/>
    <w:rsid w:val="005838DD"/>
    <w:rsid w:val="00595BD1"/>
    <w:rsid w:val="005A12B7"/>
    <w:rsid w:val="005D10D6"/>
    <w:rsid w:val="005F15F2"/>
    <w:rsid w:val="00615446"/>
    <w:rsid w:val="00617B04"/>
    <w:rsid w:val="00631397"/>
    <w:rsid w:val="00641B1D"/>
    <w:rsid w:val="00677A61"/>
    <w:rsid w:val="00680DDF"/>
    <w:rsid w:val="00683C58"/>
    <w:rsid w:val="006A07BB"/>
    <w:rsid w:val="006C1241"/>
    <w:rsid w:val="006D1F95"/>
    <w:rsid w:val="006E6524"/>
    <w:rsid w:val="00774A94"/>
    <w:rsid w:val="007806A5"/>
    <w:rsid w:val="007D6865"/>
    <w:rsid w:val="00840498"/>
    <w:rsid w:val="00855E3A"/>
    <w:rsid w:val="00871A75"/>
    <w:rsid w:val="00871D6C"/>
    <w:rsid w:val="008951F5"/>
    <w:rsid w:val="0089646E"/>
    <w:rsid w:val="008A68BF"/>
    <w:rsid w:val="008B0CFB"/>
    <w:rsid w:val="008C7971"/>
    <w:rsid w:val="009136FB"/>
    <w:rsid w:val="00922CB9"/>
    <w:rsid w:val="00953232"/>
    <w:rsid w:val="00966D8C"/>
    <w:rsid w:val="009A5A39"/>
    <w:rsid w:val="009D3BC0"/>
    <w:rsid w:val="009E5CD9"/>
    <w:rsid w:val="00A26421"/>
    <w:rsid w:val="00A4293B"/>
    <w:rsid w:val="00A548A9"/>
    <w:rsid w:val="00A67D50"/>
    <w:rsid w:val="00A8691A"/>
    <w:rsid w:val="00AA19FD"/>
    <w:rsid w:val="00AB0DEE"/>
    <w:rsid w:val="00AC1946"/>
    <w:rsid w:val="00AC3A4A"/>
    <w:rsid w:val="00AD3E48"/>
    <w:rsid w:val="00AD7F71"/>
    <w:rsid w:val="00B13B14"/>
    <w:rsid w:val="00B40063"/>
    <w:rsid w:val="00B41F61"/>
    <w:rsid w:val="00B457E7"/>
    <w:rsid w:val="00B7302C"/>
    <w:rsid w:val="00B847BE"/>
    <w:rsid w:val="00B86D0B"/>
    <w:rsid w:val="00B90E85"/>
    <w:rsid w:val="00BA46E6"/>
    <w:rsid w:val="00C0019E"/>
    <w:rsid w:val="00C20F12"/>
    <w:rsid w:val="00C22DD9"/>
    <w:rsid w:val="00C56C72"/>
    <w:rsid w:val="00C67F9B"/>
    <w:rsid w:val="00C85851"/>
    <w:rsid w:val="00CA6457"/>
    <w:rsid w:val="00D12F10"/>
    <w:rsid w:val="00D17920"/>
    <w:rsid w:val="00D17F2E"/>
    <w:rsid w:val="00D271FE"/>
    <w:rsid w:val="00D30354"/>
    <w:rsid w:val="00D47898"/>
    <w:rsid w:val="00D53067"/>
    <w:rsid w:val="00D8301C"/>
    <w:rsid w:val="00DF2B8E"/>
    <w:rsid w:val="00DF42A0"/>
    <w:rsid w:val="00DF51EC"/>
    <w:rsid w:val="00DF5E45"/>
    <w:rsid w:val="00DF7C45"/>
    <w:rsid w:val="00E16E87"/>
    <w:rsid w:val="00E31565"/>
    <w:rsid w:val="00E34B65"/>
    <w:rsid w:val="00E46C51"/>
    <w:rsid w:val="00E659F7"/>
    <w:rsid w:val="00E769FE"/>
    <w:rsid w:val="00E958A7"/>
    <w:rsid w:val="00EA2CBE"/>
    <w:rsid w:val="00EC62EB"/>
    <w:rsid w:val="00ED1C5E"/>
    <w:rsid w:val="00EF64D6"/>
    <w:rsid w:val="00EF7009"/>
    <w:rsid w:val="00F20494"/>
    <w:rsid w:val="00F32FEE"/>
    <w:rsid w:val="00F42328"/>
    <w:rsid w:val="00F5186C"/>
    <w:rsid w:val="00F71278"/>
    <w:rsid w:val="00F9770D"/>
    <w:rsid w:val="00FA15E9"/>
    <w:rsid w:val="00FB10BB"/>
    <w:rsid w:val="02184C85"/>
    <w:rsid w:val="03B629A7"/>
    <w:rsid w:val="051A56F5"/>
    <w:rsid w:val="066D6EAA"/>
    <w:rsid w:val="06DC1681"/>
    <w:rsid w:val="079A2388"/>
    <w:rsid w:val="08C662D4"/>
    <w:rsid w:val="09433473"/>
    <w:rsid w:val="09BD4D95"/>
    <w:rsid w:val="0A590531"/>
    <w:rsid w:val="0B0F58D6"/>
    <w:rsid w:val="0DC108C7"/>
    <w:rsid w:val="0F8D41CB"/>
    <w:rsid w:val="0FEE2F21"/>
    <w:rsid w:val="112F5B47"/>
    <w:rsid w:val="11C75270"/>
    <w:rsid w:val="121A35FD"/>
    <w:rsid w:val="12637CC3"/>
    <w:rsid w:val="12A14823"/>
    <w:rsid w:val="12E657C5"/>
    <w:rsid w:val="133C6E2A"/>
    <w:rsid w:val="156B788C"/>
    <w:rsid w:val="167C7687"/>
    <w:rsid w:val="168B3546"/>
    <w:rsid w:val="199F68E3"/>
    <w:rsid w:val="1A2374E0"/>
    <w:rsid w:val="1C317CE2"/>
    <w:rsid w:val="1DD45808"/>
    <w:rsid w:val="1DED42AC"/>
    <w:rsid w:val="20005763"/>
    <w:rsid w:val="20FB313D"/>
    <w:rsid w:val="220B4804"/>
    <w:rsid w:val="278B653F"/>
    <w:rsid w:val="282475E3"/>
    <w:rsid w:val="28C311A3"/>
    <w:rsid w:val="29E421D9"/>
    <w:rsid w:val="2C6100C1"/>
    <w:rsid w:val="3235157C"/>
    <w:rsid w:val="32391BEC"/>
    <w:rsid w:val="3264220D"/>
    <w:rsid w:val="32A83563"/>
    <w:rsid w:val="38872456"/>
    <w:rsid w:val="38EC5F48"/>
    <w:rsid w:val="393618B9"/>
    <w:rsid w:val="3963178C"/>
    <w:rsid w:val="3BA5236D"/>
    <w:rsid w:val="3CED0699"/>
    <w:rsid w:val="3CEF440A"/>
    <w:rsid w:val="3E497999"/>
    <w:rsid w:val="3EB02FD6"/>
    <w:rsid w:val="3F8844F1"/>
    <w:rsid w:val="41CC2676"/>
    <w:rsid w:val="46A75A75"/>
    <w:rsid w:val="46B21672"/>
    <w:rsid w:val="46C329DE"/>
    <w:rsid w:val="49E476B2"/>
    <w:rsid w:val="4F552460"/>
    <w:rsid w:val="4FCC6863"/>
    <w:rsid w:val="500A214A"/>
    <w:rsid w:val="522D604D"/>
    <w:rsid w:val="5297585E"/>
    <w:rsid w:val="52AD7D6F"/>
    <w:rsid w:val="52F61A46"/>
    <w:rsid w:val="5549519D"/>
    <w:rsid w:val="5557596B"/>
    <w:rsid w:val="5B596DFC"/>
    <w:rsid w:val="5DAE6D00"/>
    <w:rsid w:val="5DF03945"/>
    <w:rsid w:val="5F03526B"/>
    <w:rsid w:val="61B25875"/>
    <w:rsid w:val="62E515AF"/>
    <w:rsid w:val="637C2815"/>
    <w:rsid w:val="666B4FDC"/>
    <w:rsid w:val="67FF13C8"/>
    <w:rsid w:val="682144B7"/>
    <w:rsid w:val="6B503F77"/>
    <w:rsid w:val="6BD228AA"/>
    <w:rsid w:val="6E311968"/>
    <w:rsid w:val="71A462ED"/>
    <w:rsid w:val="75D10AB8"/>
    <w:rsid w:val="76506BDF"/>
    <w:rsid w:val="7A353D0B"/>
    <w:rsid w:val="7CB927D8"/>
    <w:rsid w:val="7D3A5E2F"/>
    <w:rsid w:val="7EFA3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36"/>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link w:val="55"/>
    <w:autoRedefine/>
    <w:unhideWhenUsed/>
    <w:qFormat/>
    <w:uiPriority w:val="0"/>
    <w:pPr>
      <w:jc w:val="left"/>
    </w:pPr>
  </w:style>
  <w:style w:type="paragraph" w:styleId="13">
    <w:name w:val="Body Text"/>
    <w:basedOn w:val="1"/>
    <w:autoRedefine/>
    <w:qFormat/>
    <w:uiPriority w:val="0"/>
    <w:pPr>
      <w:spacing w:after="120"/>
    </w:pPr>
  </w:style>
  <w:style w:type="paragraph" w:styleId="14">
    <w:name w:val="Body Text Indent"/>
    <w:basedOn w:val="1"/>
    <w:autoRedefine/>
    <w:qFormat/>
    <w:uiPriority w:val="0"/>
    <w:pPr>
      <w:spacing w:after="120"/>
      <w:ind w:left="420" w:leftChars="200"/>
    </w:pPr>
    <w:rPr>
      <w:rFonts w:ascii="Calibri" w:hAnsi="Calibri"/>
    </w:rPr>
  </w:style>
  <w:style w:type="paragraph" w:styleId="15">
    <w:name w:val="Balloon Text"/>
    <w:basedOn w:val="1"/>
    <w:link w:val="52"/>
    <w:autoRedefine/>
    <w:semiHidden/>
    <w:unhideWhenUsed/>
    <w:qFormat/>
    <w:uiPriority w:val="99"/>
    <w:rPr>
      <w:sz w:val="18"/>
      <w:szCs w:val="18"/>
    </w:rPr>
  </w:style>
  <w:style w:type="paragraph" w:styleId="16">
    <w:name w:val="footer"/>
    <w:basedOn w:val="1"/>
    <w:link w:val="51"/>
    <w:autoRedefine/>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0"/>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7"/>
    <w:autoRedefine/>
    <w:qFormat/>
    <w:uiPriority w:val="11"/>
    <w:pPr>
      <w:widowControl/>
      <w:spacing w:after="60"/>
      <w:jc w:val="center"/>
      <w:outlineLvl w:val="1"/>
    </w:pPr>
    <w:rPr>
      <w:rFonts w:asciiTheme="majorHAnsi" w:hAnsiTheme="majorHAnsi" w:eastAsiaTheme="majorEastAsia"/>
      <w:kern w:val="0"/>
      <w:sz w:val="24"/>
    </w:rPr>
  </w:style>
  <w:style w:type="paragraph" w:styleId="19">
    <w:name w:val="annotation subject"/>
    <w:basedOn w:val="12"/>
    <w:next w:val="12"/>
    <w:link w:val="56"/>
    <w:autoRedefine/>
    <w:qFormat/>
    <w:uiPriority w:val="0"/>
    <w:rPr>
      <w:b/>
      <w:bCs/>
    </w:rPr>
  </w:style>
  <w:style w:type="paragraph" w:styleId="20">
    <w:name w:val="Body Text First Indent"/>
    <w:basedOn w:val="13"/>
    <w:autoRedefine/>
    <w:qFormat/>
    <w:uiPriority w:val="0"/>
    <w:pPr>
      <w:spacing w:after="0"/>
      <w:ind w:firstLine="200" w:firstLineChars="200"/>
    </w:pPr>
  </w:style>
  <w:style w:type="paragraph" w:styleId="21">
    <w:name w:val="Body Text First Indent 2"/>
    <w:basedOn w:val="14"/>
    <w:autoRedefine/>
    <w:qFormat/>
    <w:uiPriority w:val="0"/>
    <w:pPr>
      <w:ind w:firstLine="420" w:firstLineChars="200"/>
    </w:pPr>
  </w:style>
  <w:style w:type="character" w:styleId="24">
    <w:name w:val="Strong"/>
    <w:basedOn w:val="23"/>
    <w:autoRedefine/>
    <w:qFormat/>
    <w:uiPriority w:val="0"/>
    <w:rPr>
      <w:b/>
      <w:bCs/>
    </w:rPr>
  </w:style>
  <w:style w:type="character" w:styleId="25">
    <w:name w:val="Emphasis"/>
    <w:basedOn w:val="23"/>
    <w:autoRedefine/>
    <w:qFormat/>
    <w:uiPriority w:val="20"/>
    <w:rPr>
      <w:rFonts w:asciiTheme="minorHAnsi" w:hAnsiTheme="minorHAnsi"/>
      <w:b/>
      <w:i/>
      <w:iCs/>
    </w:rPr>
  </w:style>
  <w:style w:type="character" w:styleId="26">
    <w:name w:val="annotation reference"/>
    <w:basedOn w:val="23"/>
    <w:autoRedefine/>
    <w:semiHidden/>
    <w:unhideWhenUsed/>
    <w:qFormat/>
    <w:uiPriority w:val="99"/>
    <w:rPr>
      <w:sz w:val="21"/>
      <w:szCs w:val="21"/>
    </w:rPr>
  </w:style>
  <w:style w:type="character" w:customStyle="1" w:styleId="27">
    <w:name w:val="标题 1 Char"/>
    <w:basedOn w:val="23"/>
    <w:link w:val="3"/>
    <w:autoRedefine/>
    <w:qFormat/>
    <w:uiPriority w:val="9"/>
    <w:rPr>
      <w:rFonts w:asciiTheme="majorHAnsi" w:hAnsiTheme="majorHAnsi" w:eastAsiaTheme="majorEastAsia"/>
      <w:b/>
      <w:bCs/>
      <w:kern w:val="32"/>
      <w:sz w:val="32"/>
      <w:szCs w:val="32"/>
    </w:rPr>
  </w:style>
  <w:style w:type="character" w:customStyle="1" w:styleId="28">
    <w:name w:val="标题 2 Char"/>
    <w:basedOn w:val="23"/>
    <w:link w:val="4"/>
    <w:autoRedefine/>
    <w:semiHidden/>
    <w:qFormat/>
    <w:uiPriority w:val="9"/>
    <w:rPr>
      <w:rFonts w:asciiTheme="majorHAnsi" w:hAnsiTheme="majorHAnsi" w:eastAsiaTheme="majorEastAsia"/>
      <w:b/>
      <w:bCs/>
      <w:i/>
      <w:iCs/>
      <w:sz w:val="28"/>
      <w:szCs w:val="28"/>
    </w:rPr>
  </w:style>
  <w:style w:type="character" w:customStyle="1" w:styleId="29">
    <w:name w:val="标题 3 Char"/>
    <w:basedOn w:val="23"/>
    <w:link w:val="5"/>
    <w:autoRedefine/>
    <w:semiHidden/>
    <w:qFormat/>
    <w:uiPriority w:val="9"/>
    <w:rPr>
      <w:rFonts w:asciiTheme="majorHAnsi" w:hAnsiTheme="majorHAnsi" w:eastAsiaTheme="majorEastAsia"/>
      <w:b/>
      <w:bCs/>
      <w:sz w:val="26"/>
      <w:szCs w:val="26"/>
    </w:rPr>
  </w:style>
  <w:style w:type="character" w:customStyle="1" w:styleId="30">
    <w:name w:val="标题 4 Char"/>
    <w:basedOn w:val="23"/>
    <w:link w:val="6"/>
    <w:autoRedefine/>
    <w:semiHidden/>
    <w:qFormat/>
    <w:uiPriority w:val="9"/>
    <w:rPr>
      <w:b/>
      <w:bCs/>
      <w:sz w:val="28"/>
      <w:szCs w:val="28"/>
    </w:rPr>
  </w:style>
  <w:style w:type="character" w:customStyle="1" w:styleId="31">
    <w:name w:val="标题 5 Char"/>
    <w:basedOn w:val="23"/>
    <w:link w:val="7"/>
    <w:autoRedefine/>
    <w:semiHidden/>
    <w:qFormat/>
    <w:uiPriority w:val="9"/>
    <w:rPr>
      <w:b/>
      <w:bCs/>
      <w:i/>
      <w:iCs/>
      <w:sz w:val="26"/>
      <w:szCs w:val="26"/>
    </w:rPr>
  </w:style>
  <w:style w:type="character" w:customStyle="1" w:styleId="32">
    <w:name w:val="标题 6 Char"/>
    <w:basedOn w:val="23"/>
    <w:link w:val="8"/>
    <w:autoRedefine/>
    <w:semiHidden/>
    <w:qFormat/>
    <w:uiPriority w:val="9"/>
    <w:rPr>
      <w:b/>
      <w:bCs/>
    </w:rPr>
  </w:style>
  <w:style w:type="character" w:customStyle="1" w:styleId="33">
    <w:name w:val="标题 7 Char"/>
    <w:basedOn w:val="23"/>
    <w:link w:val="9"/>
    <w:autoRedefine/>
    <w:semiHidden/>
    <w:qFormat/>
    <w:uiPriority w:val="9"/>
    <w:rPr>
      <w:sz w:val="24"/>
      <w:szCs w:val="24"/>
    </w:rPr>
  </w:style>
  <w:style w:type="character" w:customStyle="1" w:styleId="34">
    <w:name w:val="标题 8 Char"/>
    <w:basedOn w:val="23"/>
    <w:link w:val="10"/>
    <w:autoRedefine/>
    <w:semiHidden/>
    <w:qFormat/>
    <w:uiPriority w:val="9"/>
    <w:rPr>
      <w:i/>
      <w:iCs/>
      <w:sz w:val="24"/>
      <w:szCs w:val="24"/>
    </w:rPr>
  </w:style>
  <w:style w:type="character" w:customStyle="1" w:styleId="35">
    <w:name w:val="标题 9 Char"/>
    <w:basedOn w:val="23"/>
    <w:link w:val="11"/>
    <w:autoRedefine/>
    <w:semiHidden/>
    <w:qFormat/>
    <w:uiPriority w:val="9"/>
    <w:rPr>
      <w:rFonts w:asciiTheme="majorHAnsi" w:hAnsiTheme="majorHAnsi" w:eastAsiaTheme="majorEastAsia"/>
    </w:rPr>
  </w:style>
  <w:style w:type="character" w:customStyle="1" w:styleId="36">
    <w:name w:val="标题 Char"/>
    <w:basedOn w:val="23"/>
    <w:link w:val="2"/>
    <w:autoRedefine/>
    <w:qFormat/>
    <w:uiPriority w:val="10"/>
    <w:rPr>
      <w:rFonts w:asciiTheme="majorHAnsi" w:hAnsiTheme="majorHAnsi" w:eastAsiaTheme="majorEastAsia"/>
      <w:b/>
      <w:bCs/>
      <w:kern w:val="28"/>
      <w:sz w:val="32"/>
      <w:szCs w:val="32"/>
    </w:rPr>
  </w:style>
  <w:style w:type="character" w:customStyle="1" w:styleId="37">
    <w:name w:val="副标题 Char"/>
    <w:basedOn w:val="23"/>
    <w:link w:val="18"/>
    <w:autoRedefine/>
    <w:qFormat/>
    <w:uiPriority w:val="11"/>
    <w:rPr>
      <w:rFonts w:asciiTheme="majorHAnsi" w:hAnsiTheme="majorHAnsi" w:eastAsiaTheme="majorEastAsia"/>
      <w:sz w:val="24"/>
      <w:szCs w:val="24"/>
    </w:rPr>
  </w:style>
  <w:style w:type="paragraph" w:styleId="38">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autoRedefine/>
    <w:qFormat/>
    <w:uiPriority w:val="29"/>
    <w:pPr>
      <w:widowControl/>
      <w:jc w:val="left"/>
    </w:pPr>
    <w:rPr>
      <w:rFonts w:asciiTheme="minorHAnsi" w:hAnsiTheme="minorHAnsi" w:eastAsiaTheme="minorEastAsia"/>
      <w:i/>
      <w:kern w:val="0"/>
      <w:sz w:val="24"/>
    </w:rPr>
  </w:style>
  <w:style w:type="character" w:customStyle="1" w:styleId="41">
    <w:name w:val="引用 Char"/>
    <w:basedOn w:val="23"/>
    <w:link w:val="40"/>
    <w:autoRedefine/>
    <w:qFormat/>
    <w:uiPriority w:val="29"/>
    <w:rPr>
      <w:i/>
      <w:sz w:val="24"/>
      <w:szCs w:val="24"/>
    </w:rPr>
  </w:style>
  <w:style w:type="paragraph" w:styleId="42">
    <w:name w:val="Intense Quote"/>
    <w:basedOn w:val="1"/>
    <w:next w:val="1"/>
    <w:link w:val="43"/>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Char"/>
    <w:basedOn w:val="23"/>
    <w:link w:val="42"/>
    <w:autoRedefine/>
    <w:qFormat/>
    <w:uiPriority w:val="30"/>
    <w:rPr>
      <w:b/>
      <w:i/>
      <w:sz w:val="24"/>
    </w:rPr>
  </w:style>
  <w:style w:type="character" w:customStyle="1" w:styleId="44">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3"/>
    <w:autoRedefine/>
    <w:qFormat/>
    <w:uiPriority w:val="21"/>
    <w:rPr>
      <w:b/>
      <w:i/>
      <w:sz w:val="24"/>
      <w:szCs w:val="24"/>
      <w:u w:val="single"/>
    </w:rPr>
  </w:style>
  <w:style w:type="character" w:customStyle="1" w:styleId="46">
    <w:name w:val="不明显参考1"/>
    <w:basedOn w:val="23"/>
    <w:autoRedefine/>
    <w:qFormat/>
    <w:uiPriority w:val="31"/>
    <w:rPr>
      <w:sz w:val="24"/>
      <w:szCs w:val="24"/>
      <w:u w:val="single"/>
    </w:rPr>
  </w:style>
  <w:style w:type="character" w:customStyle="1" w:styleId="47">
    <w:name w:val="明显参考1"/>
    <w:basedOn w:val="23"/>
    <w:autoRedefine/>
    <w:qFormat/>
    <w:uiPriority w:val="32"/>
    <w:rPr>
      <w:b/>
      <w:sz w:val="24"/>
      <w:u w:val="single"/>
    </w:rPr>
  </w:style>
  <w:style w:type="character" w:customStyle="1" w:styleId="48">
    <w:name w:val="书籍标题1"/>
    <w:basedOn w:val="23"/>
    <w:autoRedefine/>
    <w:qFormat/>
    <w:uiPriority w:val="33"/>
    <w:rPr>
      <w:rFonts w:asciiTheme="majorHAnsi" w:hAnsiTheme="majorHAnsi" w:eastAsiaTheme="majorEastAsia"/>
      <w:b/>
      <w:i/>
      <w:sz w:val="24"/>
      <w:szCs w:val="24"/>
    </w:rPr>
  </w:style>
  <w:style w:type="paragraph" w:customStyle="1" w:styleId="49">
    <w:name w:val="TOC 标题1"/>
    <w:basedOn w:val="3"/>
    <w:next w:val="1"/>
    <w:autoRedefine/>
    <w:semiHidden/>
    <w:unhideWhenUsed/>
    <w:qFormat/>
    <w:uiPriority w:val="39"/>
    <w:pPr>
      <w:outlineLvl w:val="9"/>
    </w:pPr>
    <w:rPr>
      <w:lang w:eastAsia="en-US" w:bidi="en-US"/>
    </w:rPr>
  </w:style>
  <w:style w:type="character" w:customStyle="1" w:styleId="50">
    <w:name w:val="页眉 Char"/>
    <w:basedOn w:val="23"/>
    <w:link w:val="17"/>
    <w:autoRedefine/>
    <w:qFormat/>
    <w:uiPriority w:val="99"/>
    <w:rPr>
      <w:rFonts w:ascii="Calibri" w:hAnsi="Calibri" w:eastAsia="宋体"/>
      <w:kern w:val="2"/>
      <w:sz w:val="18"/>
      <w:szCs w:val="18"/>
    </w:rPr>
  </w:style>
  <w:style w:type="character" w:customStyle="1" w:styleId="51">
    <w:name w:val="页脚 Char"/>
    <w:basedOn w:val="23"/>
    <w:link w:val="16"/>
    <w:autoRedefine/>
    <w:qFormat/>
    <w:uiPriority w:val="99"/>
    <w:rPr>
      <w:rFonts w:ascii="Calibri" w:hAnsi="Calibri" w:eastAsia="宋体"/>
      <w:kern w:val="2"/>
      <w:sz w:val="18"/>
      <w:szCs w:val="18"/>
    </w:rPr>
  </w:style>
  <w:style w:type="character" w:customStyle="1" w:styleId="52">
    <w:name w:val="批注框文本 Char"/>
    <w:basedOn w:val="23"/>
    <w:link w:val="15"/>
    <w:autoRedefine/>
    <w:semiHidden/>
    <w:qFormat/>
    <w:uiPriority w:val="99"/>
    <w:rPr>
      <w:rFonts w:ascii="Times New Roman" w:hAnsi="Times New Roman" w:eastAsia="宋体"/>
      <w:kern w:val="2"/>
      <w:sz w:val="18"/>
      <w:szCs w:val="18"/>
    </w:rPr>
  </w:style>
  <w:style w:type="paragraph" w:customStyle="1" w:styleId="53">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autoRedefine/>
    <w:qFormat/>
    <w:uiPriority w:val="0"/>
    <w:rPr>
      <w:rFonts w:ascii="仿宋_GB2312" w:hAnsi="仿宋_GB2312" w:eastAsia="仿宋_GB2312" w:cs="仿宋_GB2312"/>
      <w:color w:val="000000"/>
      <w:sz w:val="32"/>
      <w:szCs w:val="32"/>
    </w:rPr>
  </w:style>
  <w:style w:type="character" w:customStyle="1" w:styleId="55">
    <w:name w:val="批注文字 Char"/>
    <w:basedOn w:val="23"/>
    <w:link w:val="12"/>
    <w:autoRedefine/>
    <w:qFormat/>
    <w:uiPriority w:val="0"/>
    <w:rPr>
      <w:kern w:val="2"/>
      <w:sz w:val="21"/>
      <w:szCs w:val="24"/>
    </w:rPr>
  </w:style>
  <w:style w:type="character" w:customStyle="1" w:styleId="56">
    <w:name w:val="批注主题 Char"/>
    <w:basedOn w:val="55"/>
    <w:link w:val="19"/>
    <w:autoRedefine/>
    <w:qFormat/>
    <w:uiPriority w:val="0"/>
    <w:rPr>
      <w:b/>
      <w:bCs/>
    </w:rPr>
  </w:style>
  <w:style w:type="paragraph" w:customStyle="1" w:styleId="57">
    <w:name w:val="闻政-正文段落文字"/>
    <w:basedOn w:val="1"/>
    <w:autoRedefine/>
    <w:qFormat/>
    <w:uiPriority w:val="3"/>
    <w:pPr>
      <w:spacing w:line="500" w:lineRule="exact"/>
      <w:ind w:firstLine="200"/>
    </w:pPr>
    <w:rPr>
      <w:kern w:val="0"/>
      <w:szCs w:val="28"/>
    </w:rPr>
  </w:style>
  <w:style w:type="character" w:customStyle="1" w:styleId="58">
    <w:name w:val="font101"/>
    <w:basedOn w:val="23"/>
    <w:autoRedefine/>
    <w:qFormat/>
    <w:uiPriority w:val="0"/>
    <w:rPr>
      <w:rFonts w:hint="eastAsia" w:ascii="宋体" w:hAnsi="宋体" w:eastAsia="宋体" w:cs="宋体"/>
      <w:b/>
      <w:bCs/>
      <w:color w:val="000000"/>
      <w:sz w:val="32"/>
      <w:szCs w:val="32"/>
      <w:u w:val="none"/>
    </w:rPr>
  </w:style>
  <w:style w:type="character" w:customStyle="1" w:styleId="59">
    <w:name w:val="font91"/>
    <w:basedOn w:val="23"/>
    <w:autoRedefine/>
    <w:qFormat/>
    <w:uiPriority w:val="0"/>
    <w:rPr>
      <w:rFonts w:hint="eastAsia" w:ascii="宋体" w:hAnsi="宋体" w:eastAsia="宋体" w:cs="宋体"/>
      <w:color w:val="000000"/>
      <w:sz w:val="22"/>
      <w:szCs w:val="22"/>
      <w:u w:val="none"/>
    </w:rPr>
  </w:style>
  <w:style w:type="character" w:customStyle="1" w:styleId="60">
    <w:name w:val="font51"/>
    <w:basedOn w:val="23"/>
    <w:autoRedefine/>
    <w:qFormat/>
    <w:uiPriority w:val="0"/>
    <w:rPr>
      <w:rFonts w:hint="eastAsia" w:ascii="宋体" w:hAnsi="宋体" w:eastAsia="宋体" w:cs="宋体"/>
      <w:color w:val="000000"/>
      <w:sz w:val="18"/>
      <w:szCs w:val="18"/>
      <w:u w:val="none"/>
    </w:rPr>
  </w:style>
  <w:style w:type="character" w:customStyle="1" w:styleId="61">
    <w:name w:val="font61"/>
    <w:basedOn w:val="23"/>
    <w:autoRedefine/>
    <w:qFormat/>
    <w:uiPriority w:val="0"/>
    <w:rPr>
      <w:rFonts w:hint="eastAsia" w:ascii="宋体" w:hAnsi="宋体" w:eastAsia="宋体" w:cs="宋体"/>
      <w:color w:val="000000"/>
      <w:sz w:val="18"/>
      <w:szCs w:val="18"/>
      <w:u w:val="none"/>
    </w:rPr>
  </w:style>
  <w:style w:type="character" w:customStyle="1" w:styleId="62">
    <w:name w:val="font81"/>
    <w:basedOn w:val="23"/>
    <w:autoRedefine/>
    <w:qFormat/>
    <w:uiPriority w:val="0"/>
    <w:rPr>
      <w:rFonts w:hint="default" w:ascii="Times New Roman" w:hAnsi="Times New Roman" w:cs="Times New Roman"/>
      <w:color w:val="000000"/>
      <w:sz w:val="18"/>
      <w:szCs w:val="18"/>
      <w:u w:val="none"/>
    </w:rPr>
  </w:style>
  <w:style w:type="character" w:customStyle="1" w:styleId="63">
    <w:name w:val="font122"/>
    <w:basedOn w:val="23"/>
    <w:autoRedefine/>
    <w:qFormat/>
    <w:uiPriority w:val="0"/>
    <w:rPr>
      <w:rFonts w:ascii="仿宋_GB2312" w:eastAsia="仿宋_GB2312" w:cs="仿宋_GB2312"/>
      <w:color w:val="000000"/>
      <w:sz w:val="18"/>
      <w:szCs w:val="18"/>
      <w:u w:val="none"/>
    </w:rPr>
  </w:style>
  <w:style w:type="character" w:customStyle="1" w:styleId="64">
    <w:name w:val="font71"/>
    <w:basedOn w:val="23"/>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7401</Words>
  <Characters>848</Characters>
  <Lines>7</Lines>
  <Paragraphs>16</Paragraphs>
  <TotalTime>2</TotalTime>
  <ScaleCrop>false</ScaleCrop>
  <LinksUpToDate>false</LinksUpToDate>
  <CharactersWithSpaces>8233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仇慧</cp:lastModifiedBy>
  <cp:lastPrinted>2024-04-09T04:48:02Z</cp:lastPrinted>
  <dcterms:modified xsi:type="dcterms:W3CDTF">2024-04-09T04:48:07Z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2F7259DE38B945D2BDAE73A668074D06_13</vt:lpwstr>
  </property>
  <property fmtid="{D5CDD505-2E9C-101B-9397-08002B2CF9AE}" pid="4" name="KSOSaveFontToCloudKey">
    <vt:lpwstr>0_btnclosed</vt:lpwstr>
  </property>
</Properties>
</file>