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52"/>
        <w:gridCol w:w="599"/>
        <w:gridCol w:w="708"/>
      </w:tblGrid>
      <w:tr w14:paraId="6B0AA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4AA8"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 w14:paraId="20365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04BE6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5A4D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F15C4C6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年度）</w:t>
            </w:r>
          </w:p>
        </w:tc>
      </w:tr>
      <w:tr w14:paraId="7214E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F078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DABD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2023年克拉玛依生态环境质量监测专项</w:t>
            </w:r>
          </w:p>
        </w:tc>
      </w:tr>
      <w:tr w14:paraId="75CE6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D116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7F80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自治区生态环境厅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FF7A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0F2F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新疆维吾尔自治区克拉玛依生态环境监测站</w:t>
            </w:r>
          </w:p>
        </w:tc>
      </w:tr>
      <w:tr w14:paraId="2ABF1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92E8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CBF6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912D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6816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2254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7A1D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2AE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39FA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</w:tr>
      <w:tr w14:paraId="33D31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0A7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D5CE5">
            <w:pPr>
              <w:widowControl/>
              <w:spacing w:line="240" w:lineRule="exac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C2C0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sz w:val="18"/>
                <w:szCs w:val="18"/>
                <w:lang w:val="en-US" w:eastAsia="zh-CN"/>
              </w:rPr>
              <w:t>52.50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2B09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sz w:val="18"/>
                <w:szCs w:val="18"/>
                <w:lang w:val="en-US" w:eastAsia="zh-CN"/>
              </w:rPr>
              <w:t>52.50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76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50.73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F1DF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EEE7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98.8%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10B9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.88</w:t>
            </w:r>
          </w:p>
        </w:tc>
      </w:tr>
      <w:tr w14:paraId="228D9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E7D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939F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A642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D36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866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1A60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FFA4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1544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44175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E15B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0D8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2ED60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4F53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568B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B38F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D500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77B9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68640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BC05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0FE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F7A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2.5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A28C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2.5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557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0.73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51BC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AE56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AFE3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4ED6F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6531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785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5AFF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实际完成情况</w:t>
            </w:r>
          </w:p>
        </w:tc>
      </w:tr>
      <w:tr w14:paraId="08357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A3BF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9C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按照《自治区关于深入打好污染防治攻坚战的实施方案》《自治区“十四五”生态环境监测规划》《自治区生态环境监测工作要点》&lt;自治区生态环境监测方案》相关要求，结合单位职责，组织开展克拉玛依生态环境质量监测工作，完成克拉玛依水源地、地表水环境质量、城市声环境质量、生态环境质量的例行监测任务。通过监测客观、准确反映克拉玛依环境质量状况及变化趋势，为克拉玛依市环境质量管理及决策提供数据支撑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A5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完成克拉玛依水源地、地表水环境质量、城市声环境质量、生态环境质量的例行监测任务。通过监测客观、准确反映克拉玛依环境质量状况及变化趋势，为克拉玛依市环境质量管理及决策提供数据支撑。</w:t>
            </w:r>
          </w:p>
        </w:tc>
      </w:tr>
      <w:tr w14:paraId="5E655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8203F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386E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1521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F54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28BE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</w:t>
            </w:r>
          </w:p>
          <w:p w14:paraId="53ABC0F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DB80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</w:t>
            </w:r>
          </w:p>
          <w:p w14:paraId="210D5EC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E11E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C9D0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79DE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3C69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636F6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5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bidi="ar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F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75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水环境监测点位数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CD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&gt;=10个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7E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12个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9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5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CC73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18A5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AA29B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E0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00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00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城市声环境质量例行监测点位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07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173个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2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4F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7DD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FD0B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63A9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0B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92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8B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农村环境质量例行监测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81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&gt;=4次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335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0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C7D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1376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19E9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C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B9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C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购置实验室专用设备配件耗材批次数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CB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&gt;=3次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99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3次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BA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C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718D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134AE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9D94E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25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C3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40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重点排污单位执法监测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E4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B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E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8F90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lang w:eastAsia="zh-CN"/>
              </w:rPr>
              <w:t>对监测工作方案认识不到位。改进措施：将此项工作责任落实到人，严格督促，完善考核制度。</w:t>
            </w:r>
          </w:p>
        </w:tc>
      </w:tr>
      <w:tr w14:paraId="2A264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7584C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3E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9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86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监测数据准确率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F3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19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8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89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06D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2E232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99D32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6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4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C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实验室专用设备配件耗材验收合格率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3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63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A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A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B61C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669FF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E597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89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C2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7D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实验室专用设备配件耗材采购及时率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2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80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6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F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2145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08E8E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E159F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68D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39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1E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监测任务按时完成率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19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DF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8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C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4A26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3E442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09D17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08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bidi="ar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2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E2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污染防治工作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9B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CA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D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D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74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D5AE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5DAE8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3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96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FF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生态环境质量监测工作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3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F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D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D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D39A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C676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E813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7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 w:bidi="ar"/>
              </w:rPr>
              <w:t>满意度指标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2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91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上级主管部门对监测工作满意度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7D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90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B6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8E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B66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1BC96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DDFE7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4FD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8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77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仪器使用人员满意度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E0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BC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6F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8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2FB2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1960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224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ED5B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7CEC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95.88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6D3B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</w:tbl>
    <w:p w14:paraId="4E13FB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5NzM4MDAwODlkYzk3NzBmNWU3NzAwZDJkOGUxNzMifQ=="/>
  </w:docVars>
  <w:rsids>
    <w:rsidRoot w:val="005144AE"/>
    <w:rsid w:val="001209D6"/>
    <w:rsid w:val="005144AE"/>
    <w:rsid w:val="00D4635E"/>
    <w:rsid w:val="0AD46DD3"/>
    <w:rsid w:val="14124D87"/>
    <w:rsid w:val="19C560D5"/>
    <w:rsid w:val="1DCD6637"/>
    <w:rsid w:val="2514361A"/>
    <w:rsid w:val="25C47AEC"/>
    <w:rsid w:val="286C4866"/>
    <w:rsid w:val="30E665EB"/>
    <w:rsid w:val="36F121ED"/>
    <w:rsid w:val="379F03F6"/>
    <w:rsid w:val="3C4733A9"/>
    <w:rsid w:val="49364D01"/>
    <w:rsid w:val="55415E92"/>
    <w:rsid w:val="617F7A8A"/>
    <w:rsid w:val="62C24BF8"/>
    <w:rsid w:val="679375D9"/>
    <w:rsid w:val="6B1431C6"/>
    <w:rsid w:val="6C35779D"/>
    <w:rsid w:val="73E7116D"/>
    <w:rsid w:val="74214CBD"/>
    <w:rsid w:val="76C125BF"/>
    <w:rsid w:val="781F1B11"/>
    <w:rsid w:val="7A0271A0"/>
    <w:rsid w:val="7C56552F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qFormat="1"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789</Words>
  <Characters>904</Characters>
  <Lines>4</Lines>
  <Paragraphs>1</Paragraphs>
  <TotalTime>9</TotalTime>
  <ScaleCrop>false</ScaleCrop>
  <LinksUpToDate>false</LinksUpToDate>
  <CharactersWithSpaces>912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默</cp:lastModifiedBy>
  <cp:lastPrinted>2024-03-01T08:23:00Z</cp:lastPrinted>
  <dcterms:modified xsi:type="dcterms:W3CDTF">2024-10-13T18:23:55Z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F2D50DD01E3B47DDAA622E1EFBE1FBAC</vt:lpwstr>
  </property>
</Properties>
</file>