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阿勒泰水文勘测局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阿勒泰水文勘测局担负着阿勒泰地区水文勘测；地表水、地下水的水量、水质和水能的勘测；防洪抗旱水文情报预报、服务河（湖）长制、水资源调查评价、防病改水、工程水文水资源设计分析计算及水资源开发利用管理与规划前期工作；水文信息系统的建设和运行管理；编制水文发展规划；水质的监测、分析、评价；水域排污总量的检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阿勒泰水文勘测局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 下设 7 个处室，分别是：办公室、党建科、水环境监测分中心、测验整编科、水情科、技术科、信息科。</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2,701.61万元，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2,468.90万元，使用非财政拨款结余0.00万元，年初结转和结余232.71万元。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2,701.61万元，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2,550.06万元，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66.96万元，年末结转和结余84.59万元。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增加531.04万元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增长24.47%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2023年新招录2人；</w:t>
      </w:r>
      <w:r>
        <w:rPr>
          <w:rFonts w:hint="eastAsia" w:ascii="仿宋_GB2312" w:eastAsia="仿宋_GB2312"/>
          <w:color w:val="auto"/>
          <w:spacing w:val="0"/>
          <w:sz w:val="32"/>
          <w:szCs w:val="32"/>
          <w:highlight w:val="none"/>
          <w:lang w:eastAsia="zh-CN"/>
        </w:rPr>
        <w:t>在职人员工资、社保、公积金基数调增，人员经费增加。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2,468.90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2,282.38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92.45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179.08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7.25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7.44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0.30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本年支出2,550.06万元，其中：基本支出1,497.44万元，占58.72%；项目支出940.50万元，占36.88%；上缴上级支出0.00万元，占0.00%；经营支出112.12万元，占4.40%；对附属单位补助支出0.00万元，占0.00%。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2,506.97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224.59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2,282.38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2,506.97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84.59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2,422.38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增加630.65万元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增长33.61%，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2023年新招录2人；</w:t>
      </w:r>
      <w:r>
        <w:rPr>
          <w:rFonts w:hint="eastAsia" w:ascii="仿宋_GB2312" w:eastAsia="仿宋_GB2312"/>
          <w:color w:val="auto"/>
          <w:spacing w:val="0"/>
          <w:sz w:val="32"/>
          <w:szCs w:val="32"/>
          <w:highlight w:val="none"/>
          <w:lang w:eastAsia="zh-CN"/>
        </w:rPr>
        <w:t>在职人员工资、社保、公积金基数调增，人员经费增加。与年初预算相比，年初预算数</w:t>
      </w:r>
      <w:r>
        <w:rPr>
          <w:rFonts w:hint="eastAsia" w:ascii="仿宋_GB2312" w:eastAsia="仿宋_GB2312"/>
          <w:color w:val="auto"/>
          <w:spacing w:val="0"/>
          <w:sz w:val="32"/>
          <w:szCs w:val="32"/>
          <w:highlight w:val="none"/>
          <w:lang w:val="zh-CN" w:eastAsia="zh-CN"/>
        </w:rPr>
        <w:t>1,503.39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2,506.97</w:t>
      </w:r>
      <w:r>
        <w:rPr>
          <w:rFonts w:hint="eastAsia" w:ascii="仿宋_GB2312" w:eastAsia="仿宋_GB2312"/>
          <w:color w:val="auto"/>
          <w:spacing w:val="0"/>
          <w:sz w:val="32"/>
          <w:szCs w:val="32"/>
          <w:highlight w:val="none"/>
          <w:lang w:eastAsia="zh-CN"/>
        </w:rPr>
        <w:t>万元，预决算差异率66.75%，主要原因是：2023年增加项目及基建项目资金。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2023年度一般公共预算财政拨款支出2,422.38万元，占本年支出合计的</w:t>
      </w:r>
      <w:r>
        <w:rPr>
          <w:rFonts w:hint="eastAsia" w:ascii="仿宋_GB2312" w:eastAsia="仿宋_GB2312"/>
          <w:color w:val="auto"/>
          <w:spacing w:val="0"/>
          <w:sz w:val="32"/>
          <w:szCs w:val="32"/>
          <w:highlight w:val="none"/>
          <w:lang w:val="zh-CN" w:eastAsia="zh-CN"/>
        </w:rPr>
        <w:t>94.99%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增加770.65万元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2023年新招录2人；</w:t>
      </w:r>
      <w:r>
        <w:rPr>
          <w:rFonts w:hint="eastAsia" w:ascii="仿宋_GB2312" w:eastAsia="仿宋_GB2312"/>
          <w:color w:val="auto"/>
          <w:spacing w:val="0"/>
          <w:sz w:val="32"/>
          <w:szCs w:val="32"/>
          <w:highlight w:val="none"/>
          <w:lang w:eastAsia="zh-CN"/>
        </w:rPr>
        <w:t>在职人员工资、社保、公积金基数调增，人员经费增加。与年初预算相比，年初预算数</w:t>
      </w:r>
      <w:r>
        <w:rPr>
          <w:rFonts w:hint="eastAsia" w:ascii="仿宋_GB2312" w:eastAsia="仿宋_GB2312"/>
          <w:color w:val="auto"/>
          <w:spacing w:val="0"/>
          <w:sz w:val="32"/>
          <w:szCs w:val="32"/>
          <w:highlight w:val="none"/>
          <w:lang w:val="zh-CN" w:eastAsia="zh-CN"/>
        </w:rPr>
        <w:t>1,503.39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2,422.38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61.13%</w:t>
      </w:r>
      <w:r>
        <w:rPr>
          <w:rFonts w:hint="eastAsia" w:ascii="仿宋_GB2312" w:eastAsia="仿宋_GB2312"/>
          <w:color w:val="auto"/>
          <w:spacing w:val="0"/>
          <w:sz w:val="32"/>
          <w:szCs w:val="32"/>
          <w:highlight w:val="none"/>
          <w:lang w:eastAsia="zh-CN"/>
        </w:rPr>
        <w:t>，主要原因是：2023年增加项目及基建项目资金。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241.48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9.97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67.43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2.78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2,021.24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83.44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92.22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3.81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1.卫生健康支出（类）行政事业单位医疗（款）事业单位医疗（项）:支出决算数为52.71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15.16%，主要原因是：</w:t>
      </w:r>
      <w:r>
        <w:rPr>
          <w:rFonts w:hint="eastAsia" w:eastAsia="仿宋_GB2312" w:cs="Times New Roman"/>
          <w:color w:val="auto"/>
          <w:kern w:val="2"/>
          <w:sz w:val="32"/>
          <w:szCs w:val="32"/>
          <w:highlight w:val="none"/>
          <w:lang w:val="en-US" w:eastAsia="zh-CN" w:bidi="ar-SA"/>
        </w:rPr>
        <w:t>2023年辞职人员1人，退休人员4人，调出人员1人，故导致事业单位医疗支出减少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2.农林水支出（类）水利（款）水文测报（项）:支出决算数为1,543.59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322.76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26.44%，主要原因是：</w:t>
      </w:r>
      <w:r>
        <w:rPr>
          <w:rFonts w:hint="eastAsia" w:eastAsia="仿宋_GB2312" w:cs="Times New Roman"/>
          <w:color w:val="auto"/>
          <w:kern w:val="2"/>
          <w:sz w:val="32"/>
          <w:szCs w:val="32"/>
          <w:highlight w:val="none"/>
          <w:lang w:val="en-US" w:eastAsia="zh-CN" w:bidi="ar-SA"/>
        </w:rPr>
        <w:t>2023年新招录人员2人，2023年在职职工工资调标</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3.卫生健康支出（类）行政事业单位医疗（款）公务员医疗补助（项）:支出决算数为14.73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48.43%，主要原因是：</w:t>
      </w:r>
      <w:r>
        <w:rPr>
          <w:rFonts w:hint="eastAsia" w:eastAsia="仿宋_GB2312" w:cs="Times New Roman"/>
          <w:color w:val="auto"/>
          <w:kern w:val="2"/>
          <w:sz w:val="32"/>
          <w:szCs w:val="32"/>
          <w:highlight w:val="none"/>
          <w:lang w:val="en-US" w:eastAsia="zh-CN" w:bidi="ar-SA"/>
        </w:rPr>
        <w:t>2023年辞职人员1人，退休人员4人，调出人员1人，故导致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4.农林水支出（类）水利（款）水利工程建设（项）:支出决算数为317.65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317.65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Times New Roman" w:hAnsi="Times New Roman" w:eastAsia="仿宋_GB2312" w:cs="Times New Roman"/>
          <w:color w:val="auto"/>
          <w:kern w:val="2"/>
          <w:sz w:val="32"/>
          <w:szCs w:val="32"/>
          <w:highlight w:val="none"/>
          <w:lang w:val="zh-CN" w:eastAsia="zh-CN" w:bidi="ar-SA"/>
        </w:rPr>
        <w:t>2023年增加项目及基建项目资金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5.住房保障支出（类）住房改革支出（款）住房公积金（项）:支出决算数为92.22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6.97%，主要原因是：</w:t>
      </w:r>
      <w:r>
        <w:rPr>
          <w:rFonts w:hint="eastAsia" w:eastAsia="仿宋_GB2312" w:cs="Times New Roman"/>
          <w:color w:val="auto"/>
          <w:kern w:val="2"/>
          <w:sz w:val="32"/>
          <w:szCs w:val="32"/>
          <w:highlight w:val="none"/>
          <w:lang w:val="en-US" w:eastAsia="zh-CN" w:bidi="ar-SA"/>
        </w:rPr>
        <w:t>2023年新招录人员2人，</w:t>
      </w:r>
      <w:r>
        <w:rPr>
          <w:rFonts w:hint="eastAsia" w:ascii="Times New Roman" w:hAnsi="Times New Roman" w:eastAsia="仿宋_GB2312" w:cs="Times New Roman"/>
          <w:color w:val="auto"/>
          <w:kern w:val="2"/>
          <w:sz w:val="32"/>
          <w:szCs w:val="32"/>
          <w:highlight w:val="none"/>
          <w:lang w:val="en-US" w:eastAsia="zh-CN" w:bidi="ar-SA"/>
        </w:rPr>
        <w:t>202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年增加职工工资调标，住房公积金缴费基数提高</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6.社会保障和就业支出（类）行政事业单位养老支出（款）事业单位离退休（项）:支出决算数为102.86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0.21%，主要原因是：</w:t>
      </w:r>
      <w:r>
        <w:rPr>
          <w:rFonts w:hint="eastAsia" w:eastAsia="仿宋_GB2312" w:cs="Times New Roman"/>
          <w:color w:val="auto"/>
          <w:kern w:val="2"/>
          <w:sz w:val="32"/>
          <w:szCs w:val="32"/>
          <w:highlight w:val="none"/>
          <w:lang w:val="en-US" w:eastAsia="zh-CN" w:bidi="ar-SA"/>
        </w:rPr>
        <w:t>2023年退休人员增加4人，故导致</w:t>
      </w:r>
      <w:r>
        <w:rPr>
          <w:rFonts w:hint="eastAsia" w:ascii="Times New Roman" w:hAnsi="Times New Roman" w:eastAsia="仿宋_GB2312" w:cs="Times New Roman"/>
          <w:color w:val="auto"/>
          <w:kern w:val="2"/>
          <w:sz w:val="32"/>
          <w:szCs w:val="32"/>
          <w:highlight w:val="none"/>
          <w:lang w:val="en-US" w:eastAsia="zh-CN" w:bidi="ar-SA"/>
        </w:rPr>
        <w:t>事业单位离退休</w:t>
      </w:r>
      <w:r>
        <w:rPr>
          <w:rFonts w:hint="eastAsia" w:eastAsia="仿宋_GB2312" w:cs="Times New Roman"/>
          <w:color w:val="auto"/>
          <w:kern w:val="2"/>
          <w:sz w:val="32"/>
          <w:szCs w:val="32"/>
          <w:highlight w:val="none"/>
          <w:lang w:val="en-US" w:eastAsia="zh-CN" w:bidi="ar-SA"/>
        </w:rPr>
        <w:t>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7.农林水支出（类）水利（款）水资源节约管理与保护（项）:支出决算数为160.00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100%，主要原因是：水资源节约管理与保护</w:t>
      </w:r>
      <w:r>
        <w:rPr>
          <w:rFonts w:hint="eastAsia" w:eastAsia="仿宋_GB2312" w:cs="Times New Roman"/>
          <w:color w:val="auto"/>
          <w:kern w:val="2"/>
          <w:sz w:val="32"/>
          <w:szCs w:val="32"/>
          <w:highlight w:val="none"/>
          <w:lang w:val="en-US" w:eastAsia="zh-CN" w:bidi="ar-SA"/>
        </w:rPr>
        <w:t>为2023年新增项目</w:t>
      </w:r>
      <w:r>
        <w:rPr>
          <w:rFonts w:hint="eastAsia" w:eastAsia="仿宋_GB2312" w:cs="Times New Roman"/>
          <w:color w:val="auto"/>
          <w:kern w:val="2"/>
          <w:sz w:val="32"/>
          <w:szCs w:val="32"/>
          <w:highlight w:val="none"/>
          <w:lang w:val="zh-CN" w:eastAsia="zh-CN" w:bidi="ar-SA"/>
        </w:rPr>
        <w:t>。</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8.社会保障和就业支出（类）行政事业单位养老支出（款）机关事业单位职业年金缴费支出（项）:支出决算数为17.53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51.87%，主要原因是：</w:t>
      </w:r>
      <w:r>
        <w:rPr>
          <w:rFonts w:hint="eastAsia" w:eastAsia="仿宋_GB2312" w:cs="Times New Roman"/>
          <w:color w:val="auto"/>
          <w:kern w:val="2"/>
          <w:sz w:val="32"/>
          <w:szCs w:val="32"/>
          <w:highlight w:val="none"/>
          <w:lang w:val="en-US" w:eastAsia="zh-CN" w:bidi="ar-SA"/>
        </w:rPr>
        <w:t>2023年辞职人员1人，退休人员4人，调出人员1人，比2023年退休人数少，故导致</w:t>
      </w:r>
      <w:r>
        <w:rPr>
          <w:rFonts w:hint="eastAsia" w:ascii="Times New Roman" w:hAnsi="Times New Roman" w:eastAsia="仿宋_GB2312" w:cs="Times New Roman"/>
          <w:color w:val="auto"/>
          <w:kern w:val="2"/>
          <w:sz w:val="32"/>
          <w:szCs w:val="32"/>
          <w:highlight w:val="none"/>
          <w:lang w:val="en-US" w:eastAsia="zh-CN" w:bidi="ar-SA"/>
        </w:rPr>
        <w:t>事业单位职业年金缴费支出</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9.社会保障和就业支出（类）行政事业单位养老支出（款）机关事业单位基本养老保险缴费支出（项）:支出决算数为121.10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5.35%，主要原因是：</w:t>
      </w:r>
      <w:r>
        <w:rPr>
          <w:rFonts w:hint="eastAsia" w:eastAsia="仿宋_GB2312" w:cs="Times New Roman"/>
          <w:color w:val="auto"/>
          <w:kern w:val="2"/>
          <w:sz w:val="32"/>
          <w:szCs w:val="32"/>
          <w:highlight w:val="none"/>
          <w:lang w:val="en-US" w:eastAsia="zh-CN" w:bidi="ar-SA"/>
        </w:rPr>
        <w:t>2023年新招录人员2人，2023年在职职工工资调标，故导致</w:t>
      </w:r>
      <w:r>
        <w:rPr>
          <w:rFonts w:hint="eastAsia" w:ascii="Times New Roman" w:hAnsi="Times New Roman" w:eastAsia="仿宋_GB2312" w:cs="Times New Roman"/>
          <w:color w:val="auto"/>
          <w:kern w:val="2"/>
          <w:sz w:val="32"/>
          <w:szCs w:val="32"/>
          <w:highlight w:val="none"/>
          <w:lang w:val="en-US" w:eastAsia="zh-CN" w:bidi="ar-SA"/>
        </w:rPr>
        <w:t>事业单位基本养老保险缴费支出</w:t>
      </w:r>
      <w:r>
        <w:rPr>
          <w:rFonts w:hint="eastAsia" w:eastAsia="仿宋_GB2312" w:cs="Times New Roman"/>
          <w:color w:val="auto"/>
          <w:kern w:val="2"/>
          <w:sz w:val="32"/>
          <w:szCs w:val="32"/>
          <w:highlight w:val="none"/>
          <w:lang w:val="en-US" w:eastAsia="zh-CN" w:bidi="ar-SA"/>
        </w:rPr>
        <w:t>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1,496.06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1,408.07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87.99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办公费、手续费、水费、电费、邮电费、取暖费、物业管理费、差旅费、公务接待费、工会经费、福利费、公务用车运行维护费、其他交通费用、其他商品和服务支出。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“三公”经费支出16.82万元，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_GB2312" w:eastAsia="仿宋_GB2312"/>
          <w:color w:val="auto"/>
          <w:sz w:val="32"/>
          <w:szCs w:val="32"/>
          <w:highlight w:val="none"/>
          <w:lang w:val="en-US" w:eastAsia="zh-CN"/>
        </w:rPr>
        <w:t>与上年一致，无差异。</w:t>
      </w:r>
      <w:r>
        <w:rPr>
          <w:rFonts w:hint="eastAsia" w:ascii="仿宋_GB2312" w:eastAsia="仿宋_GB2312"/>
          <w:color w:val="auto"/>
          <w:sz w:val="32"/>
          <w:szCs w:val="32"/>
          <w:highlight w:val="none"/>
          <w:lang w:val="zh-CN" w:eastAsia="zh-CN"/>
        </w:rPr>
        <w:t>其中：因公出国（境）费支出0.00万元，占0.00%，比上年增加0.00万元，增长0.00%，主要原因是：我单位无因公出国（境）费；公务用车购置及运行维护费支出16.72万元，占99.41%，比上年增加0.00万元，增长0.00%，主要原因是：与上年一致，无差异；公务接待费支出0.10万元，占0.59%，比上年增加0.00万元，增长0.00%，主要原因是：与上年一致，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16.72万元，其中：公务用车购置费0.00万元，公务用车运行维护费16.72万元。公务用车运行维护费开支内容包括车辆燃油费、车辆修理费、车辆保险费、及过桥过路费。公务用车购置数0辆，公务用车保有量14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公务接待费0.10万元，开支内容包括：接待上级单位及业务往来单位就餐费。单位全年安排的国内公务接待</w:t>
      </w:r>
      <w:r>
        <w:rPr>
          <w:rFonts w:hint="eastAsia" w:ascii="仿宋_GB2312" w:eastAsia="仿宋_GB2312"/>
          <w:color w:val="auto"/>
          <w:sz w:val="32"/>
          <w:szCs w:val="32"/>
          <w:highlight w:val="none"/>
          <w:lang w:val="en-US" w:eastAsia="zh-CN"/>
        </w:rPr>
        <w:t>共</w:t>
      </w:r>
      <w:r>
        <w:rPr>
          <w:rFonts w:hint="eastAsia" w:ascii="仿宋_GB2312" w:eastAsia="仿宋_GB2312"/>
          <w:color w:val="auto"/>
          <w:sz w:val="32"/>
          <w:szCs w:val="32"/>
          <w:highlight w:val="none"/>
          <w:lang w:val="zh-CN" w:eastAsia="zh-CN"/>
        </w:rPr>
        <w:t>3批次，15人次。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预算数16.82万元，决算数16.82万元，预决算差异率0.00%，主要原因是：预算与决算数一致，无差异。其中：因公出国（境）费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预算数16.72万元，决算数16.72万元，预决算差异率0.00%，主要原因是：预算与决算数一致，无差异；公务接待费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预算数0.10万元，决算数0.10万元，预决算差异率0.00%，主要原因是：预算与决算数一致，无差异。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阿勒泰水文勘测局</w:t>
      </w:r>
      <w:r>
        <w:rPr>
          <w:rFonts w:hint="eastAsia" w:ascii="Times New Roman" w:hAnsi="Times New Roman" w:eastAsia="仿宋_GB2312" w:cs="Times New Roman"/>
          <w:color w:val="auto"/>
          <w:sz w:val="32"/>
          <w:szCs w:val="32"/>
          <w:highlight w:val="none"/>
          <w:lang w:val="zh-CN" w:eastAsia="zh-CN"/>
        </w:rPr>
        <w:t>（事业单位）公用经费支出87.99万元，比上年减少9.48万元，下降9.73%，主要原因是：</w:t>
      </w:r>
      <w:r>
        <w:rPr>
          <w:rFonts w:hint="eastAsia" w:eastAsia="仿宋_GB2312" w:cs="Times New Roman"/>
          <w:color w:val="auto"/>
          <w:sz w:val="32"/>
          <w:szCs w:val="32"/>
          <w:highlight w:val="none"/>
          <w:lang w:val="en-US" w:eastAsia="zh-CN"/>
        </w:rPr>
        <w:t>2023年使用结余资金从而降低公用经费</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141.40万元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其中：政府采购货物支出118.28万元、政府采购工程支出0.00万元、政府采购服务支出23.12万元。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授予中小企业合同金额131.69万元，占政府采购支出总额的93.13</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，其中：授予小微企业合同金额96.99万元，占政府采购支出总额的68.59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4,013.85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屋8626.8平方米，价值610.92万元。车辆14辆，价值250.62万元，其中：副部（省）级及以上领导用车0辆、主要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用车0辆、其他用车14辆，其他用车主要是：一般公务用车；单价100万元（含）以上设备（不含车辆）0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w:t>
      </w:r>
      <w:r>
        <w:rPr>
          <w:rFonts w:hint="eastAsia" w:ascii="仿宋_GB2312" w:hAnsi="仿宋_GB2312" w:eastAsia="仿宋_GB2312" w:cs="仿宋_GB2312"/>
          <w:color w:val="auto"/>
          <w:kern w:val="0"/>
          <w:sz w:val="32"/>
          <w:szCs w:val="32"/>
          <w:highlight w:val="none"/>
          <w:lang w:eastAsia="zh-CN"/>
        </w:rPr>
        <w:t>年度整体支出绩效自评表</w:t>
      </w:r>
      <w:r>
        <w:rPr>
          <w:rFonts w:hint="eastAsia" w:ascii="仿宋_GB2312" w:hAnsi="仿宋_GB2312" w:eastAsia="仿宋_GB2312" w:cs="仿宋_GB2312"/>
          <w:color w:val="auto"/>
          <w:kern w:val="0"/>
          <w:sz w:val="32"/>
          <w:szCs w:val="32"/>
          <w:highlight w:val="none"/>
          <w:lang w:val="en-US" w:eastAsia="zh-CN"/>
        </w:rPr>
        <w:t>0个，全年预算总额0.00</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实际执行总额0.00</w:t>
      </w:r>
      <w:r>
        <w:rPr>
          <w:rFonts w:hint="eastAsia" w:ascii="仿宋_GB2312" w:hAnsi="仿宋_GB2312" w:eastAsia="仿宋_GB2312" w:cs="仿宋_GB2312"/>
          <w:color w:val="auto"/>
          <w:kern w:val="0"/>
          <w:sz w:val="32"/>
          <w:szCs w:val="32"/>
          <w:highlight w:val="none"/>
          <w:lang w:eastAsia="zh-CN"/>
        </w:rPr>
        <w:t>万元；</w:t>
      </w:r>
      <w:bookmarkStart w:id="48" w:name="_GoBack"/>
      <w:bookmarkEnd w:id="48"/>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2个，全年</w:t>
      </w:r>
      <w:r>
        <w:rPr>
          <w:rFonts w:hint="eastAsia" w:ascii="仿宋_GB2312" w:eastAsia="仿宋_GB2312"/>
          <w:color w:val="auto"/>
          <w:sz w:val="32"/>
          <w:szCs w:val="32"/>
          <w:highlight w:val="none"/>
          <w:lang w:val="en-US" w:eastAsia="zh-CN"/>
        </w:rPr>
        <w:t>预算总额367.51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实际执行总额366.07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全年预算数367.51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全年执行数366.07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lang w:eastAsia="zh-CN"/>
        </w:rPr>
        <w:t>预算绩效管理取得的成效：</w:t>
      </w:r>
      <w:r>
        <w:rPr>
          <w:rFonts w:hint="eastAsia" w:ascii="仿宋_GB2312" w:hAnsi="仿宋_GB2312" w:eastAsia="仿宋_GB2312" w:cs="仿宋_GB2312"/>
          <w:color w:val="auto"/>
          <w:kern w:val="0"/>
          <w:sz w:val="32"/>
          <w:szCs w:val="32"/>
          <w:highlight w:val="none"/>
          <w:lang w:val="en-US" w:eastAsia="zh-CN"/>
        </w:rPr>
        <w:t>一是</w:t>
      </w:r>
      <w:r>
        <w:rPr>
          <w:rFonts w:hint="eastAsia" w:ascii="仿宋_GB2312" w:hAnsi="仿宋_GB2312" w:eastAsia="仿宋_GB2312" w:cs="仿宋_GB2312"/>
          <w:color w:val="auto"/>
          <w:kern w:val="0"/>
          <w:sz w:val="32"/>
          <w:szCs w:val="32"/>
          <w:highlight w:val="none"/>
        </w:rPr>
        <w:t>由于项目资金投入及时到位，基本保证了水文</w:t>
      </w:r>
      <w:r>
        <w:rPr>
          <w:rFonts w:hint="eastAsia" w:ascii="仿宋_GB2312" w:hAnsi="仿宋_GB2312" w:eastAsia="仿宋_GB2312" w:cs="仿宋_GB2312"/>
          <w:color w:val="auto"/>
          <w:kern w:val="0"/>
          <w:sz w:val="32"/>
          <w:szCs w:val="32"/>
          <w:highlight w:val="none"/>
          <w:lang w:val="en-US" w:eastAsia="zh-CN"/>
        </w:rPr>
        <w:t>测</w:t>
      </w:r>
      <w:r>
        <w:rPr>
          <w:rFonts w:hint="eastAsia" w:ascii="仿宋_GB2312" w:hAnsi="仿宋_GB2312" w:eastAsia="仿宋_GB2312" w:cs="仿宋_GB2312"/>
          <w:color w:val="auto"/>
          <w:kern w:val="0"/>
          <w:sz w:val="32"/>
          <w:szCs w:val="32"/>
          <w:highlight w:val="none"/>
        </w:rPr>
        <w:t>站的测、报、整、算的日常测验工作</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二是</w:t>
      </w:r>
      <w:r>
        <w:rPr>
          <w:rFonts w:hint="eastAsia" w:ascii="仿宋_GB2312" w:hAnsi="仿宋_GB2312" w:eastAsia="仿宋_GB2312" w:cs="仿宋_GB2312"/>
          <w:color w:val="auto"/>
          <w:kern w:val="0"/>
          <w:sz w:val="32"/>
          <w:szCs w:val="32"/>
          <w:highlight w:val="none"/>
        </w:rPr>
        <w:t>各项目的实施为全面掌握河流</w:t>
      </w:r>
      <w:r>
        <w:rPr>
          <w:rFonts w:hint="eastAsia" w:ascii="仿宋_GB2312" w:hAnsi="仿宋_GB2312" w:eastAsia="仿宋_GB2312" w:cs="仿宋_GB2312"/>
          <w:color w:val="auto"/>
          <w:kern w:val="0"/>
          <w:sz w:val="32"/>
          <w:szCs w:val="32"/>
          <w:highlight w:val="none"/>
          <w:lang w:val="en-US" w:eastAsia="zh-CN"/>
        </w:rPr>
        <w:t>动</w:t>
      </w:r>
      <w:r>
        <w:rPr>
          <w:rFonts w:hint="eastAsia" w:ascii="仿宋_GB2312" w:hAnsi="仿宋_GB2312" w:eastAsia="仿宋_GB2312" w:cs="仿宋_GB2312"/>
          <w:color w:val="auto"/>
          <w:kern w:val="0"/>
          <w:sz w:val="32"/>
          <w:szCs w:val="32"/>
          <w:highlight w:val="none"/>
        </w:rPr>
        <w:t>态变化，水质达标情况，水文测算提供全面的数据</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为水资源管理、严格控制水资源的开发利用提供了依据，为新疆经济社会发展提供保障。发现的问题及原因：一是随着国家经济和水文事业的发展，目前的水文测站仪器设备得不到及时的更新与维护，比如：水文测站的测验设施设备年久失修得不到维修与更新，特别是自动化仪器在测站不能广泛普及应用，影响了水文信息化建设的</w:t>
      </w:r>
      <w:r>
        <w:rPr>
          <w:rFonts w:hint="eastAsia" w:ascii="仿宋_GB2312" w:hAnsi="仿宋_GB2312" w:eastAsia="仿宋_GB2312" w:cs="仿宋_GB2312"/>
          <w:color w:val="auto"/>
          <w:kern w:val="0"/>
          <w:sz w:val="32"/>
          <w:szCs w:val="32"/>
          <w:highlight w:val="none"/>
          <w:lang w:val="en-US" w:eastAsia="zh-CN"/>
        </w:rPr>
        <w:t>发</w:t>
      </w:r>
      <w:r>
        <w:rPr>
          <w:rFonts w:hint="eastAsia" w:ascii="仿宋_GB2312" w:hAnsi="仿宋_GB2312" w:eastAsia="仿宋_GB2312" w:cs="仿宋_GB2312"/>
          <w:color w:val="auto"/>
          <w:kern w:val="0"/>
          <w:sz w:val="32"/>
          <w:szCs w:val="32"/>
          <w:highlight w:val="none"/>
        </w:rPr>
        <w:t>展，对保证水文测站按测站任务书的要求，完成水文测站的各项测验任务有较大的影响；另外，测站办公设施老旧不全也有待改善。二是由于水文测站运行及管理费资金不足，面向水文基层职工举办的培训班、专业技术人员参加新技术培训、专业技术人员继续教育培训、工人等级培训等无法进行。</w:t>
      </w:r>
      <w:r>
        <w:rPr>
          <w:rFonts w:hint="eastAsia" w:ascii="仿宋_GB2312" w:hAnsi="仿宋_GB2312" w:eastAsia="仿宋_GB2312" w:cs="仿宋_GB2312"/>
          <w:color w:val="auto"/>
          <w:kern w:val="0"/>
          <w:sz w:val="32"/>
          <w:szCs w:val="32"/>
          <w:highlight w:val="none"/>
          <w:lang w:val="en-US" w:eastAsia="zh-CN"/>
        </w:rPr>
        <w:t>三</w:t>
      </w:r>
      <w:r>
        <w:rPr>
          <w:rFonts w:hint="eastAsia" w:ascii="仿宋_GB2312" w:hAnsi="仿宋_GB2312" w:eastAsia="仿宋_GB2312" w:cs="仿宋_GB2312"/>
          <w:color w:val="auto"/>
          <w:kern w:val="0"/>
          <w:sz w:val="32"/>
          <w:szCs w:val="32"/>
          <w:highlight w:val="none"/>
        </w:rPr>
        <w:t>是希望财政上能加大对水文的投入，保证水文测站运行管理及驻站监测费有足额的拨款经费保障，才能保证各水文测站基本工作的正常运行和开展。下一步改进措施：一是细化预算编制工作，认真做好预算的编制。进一步加强单位内部机构各科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报账支付时，按照预算规定的费用项目和用途进行资金使用审核、列报支付、财务核算，杜绝超支现象的发生。三是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四是对相关人员加强培训，特别是针对《预算法》《新政府会计制度》等</w:t>
      </w:r>
      <w:r>
        <w:rPr>
          <w:rFonts w:hint="eastAsia" w:ascii="仿宋_GB2312" w:hAnsi="仿宋_GB2312" w:eastAsia="仿宋_GB2312" w:cs="仿宋_GB2312"/>
          <w:color w:val="auto"/>
          <w:kern w:val="0"/>
          <w:sz w:val="32"/>
          <w:szCs w:val="32"/>
          <w:highlight w:val="none"/>
          <w:lang w:val="en-US" w:eastAsia="zh-CN"/>
        </w:rPr>
        <w:t>进行</w:t>
      </w:r>
      <w:r>
        <w:rPr>
          <w:rFonts w:hint="eastAsia" w:ascii="仿宋_GB2312" w:hAnsi="仿宋_GB2312" w:eastAsia="仿宋_GB2312" w:cs="仿宋_GB2312"/>
          <w:color w:val="auto"/>
          <w:kern w:val="0"/>
          <w:sz w:val="32"/>
          <w:szCs w:val="32"/>
          <w:highlight w:val="none"/>
        </w:rPr>
        <w:t>学习培训，规范部门预算收支核算，切实提高部门预算收支管理水平。</w:t>
      </w:r>
      <w:r>
        <w:rPr>
          <w:rFonts w:hint="eastAsia" w:ascii="仿宋_GB2312" w:hAnsi="仿宋_GB2312" w:eastAsia="仿宋_GB2312" w:cs="仿宋_GB2312"/>
          <w:color w:val="auto"/>
          <w:kern w:val="0"/>
          <w:sz w:val="32"/>
          <w:szCs w:val="32"/>
          <w:highlight w:val="none"/>
          <w:lang w:eastAsia="zh-CN"/>
        </w:rPr>
        <w:t>具体</w:t>
      </w:r>
      <w:r>
        <w:rPr>
          <w:rFonts w:hint="eastAsia" w:ascii="仿宋_GB2312" w:hAnsi="仿宋_GB2312" w:eastAsia="仿宋_GB2312" w:cs="仿宋_GB2312"/>
          <w:color w:val="auto"/>
          <w:kern w:val="0"/>
          <w:sz w:val="32"/>
          <w:szCs w:val="32"/>
          <w:highlight w:val="none"/>
        </w:rPr>
        <w:t>项目自评情况附绩效自评表</w:t>
      </w:r>
      <w:r>
        <w:rPr>
          <w:rFonts w:hint="eastAsia" w:ascii="仿宋_GB2312" w:hAnsi="仿宋_GB2312" w:eastAsia="仿宋_GB2312" w:cs="仿宋_GB2312"/>
          <w:color w:val="auto"/>
          <w:kern w:val="0"/>
          <w:sz w:val="32"/>
          <w:szCs w:val="32"/>
          <w:highlight w:val="none"/>
          <w:lang w:val="en-US" w:eastAsia="zh-CN"/>
        </w:rPr>
        <w:t>及自评报告</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5C1828"/>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79F573C"/>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666037"/>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8EA085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5A2A03"/>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344F4"/>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B54E17"/>
    <w:rsid w:val="2AF5378F"/>
    <w:rsid w:val="2BB94DBF"/>
    <w:rsid w:val="2C6F314E"/>
    <w:rsid w:val="2CC206BE"/>
    <w:rsid w:val="2D1136DF"/>
    <w:rsid w:val="2D20606D"/>
    <w:rsid w:val="2DA126D7"/>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0E60A0"/>
    <w:rsid w:val="3A7A7496"/>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211A88"/>
    <w:rsid w:val="3FB77A1D"/>
    <w:rsid w:val="3FDC3674"/>
    <w:rsid w:val="3FED7F8A"/>
    <w:rsid w:val="40094AEF"/>
    <w:rsid w:val="405470BD"/>
    <w:rsid w:val="40794A29"/>
    <w:rsid w:val="40834692"/>
    <w:rsid w:val="40EC20D0"/>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8030A"/>
    <w:rsid w:val="474B4782"/>
    <w:rsid w:val="47D90D14"/>
    <w:rsid w:val="48387FB0"/>
    <w:rsid w:val="483A6114"/>
    <w:rsid w:val="488727DB"/>
    <w:rsid w:val="48B82268"/>
    <w:rsid w:val="48C354B3"/>
    <w:rsid w:val="490920F4"/>
    <w:rsid w:val="493D58B5"/>
    <w:rsid w:val="494A7A04"/>
    <w:rsid w:val="4A0A26D2"/>
    <w:rsid w:val="4A2019A5"/>
    <w:rsid w:val="4A241A0B"/>
    <w:rsid w:val="4A7B2875"/>
    <w:rsid w:val="4A934476"/>
    <w:rsid w:val="4AAA220A"/>
    <w:rsid w:val="4AAE79A2"/>
    <w:rsid w:val="4AE12E67"/>
    <w:rsid w:val="4B4C0111"/>
    <w:rsid w:val="4B8553A9"/>
    <w:rsid w:val="4BDB3730"/>
    <w:rsid w:val="4C200F7A"/>
    <w:rsid w:val="4CEE3180"/>
    <w:rsid w:val="4D0F4AF6"/>
    <w:rsid w:val="4DF94F37"/>
    <w:rsid w:val="4E0A1DD5"/>
    <w:rsid w:val="4E3160E5"/>
    <w:rsid w:val="4E4D37AF"/>
    <w:rsid w:val="4E8C6496"/>
    <w:rsid w:val="4EE174B9"/>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22D1F"/>
    <w:rsid w:val="54C811C0"/>
    <w:rsid w:val="556A442D"/>
    <w:rsid w:val="55DA564E"/>
    <w:rsid w:val="5604127D"/>
    <w:rsid w:val="56166703"/>
    <w:rsid w:val="56510474"/>
    <w:rsid w:val="56861525"/>
    <w:rsid w:val="56A93273"/>
    <w:rsid w:val="56BD550C"/>
    <w:rsid w:val="56E07045"/>
    <w:rsid w:val="56FF28AF"/>
    <w:rsid w:val="57540E7D"/>
    <w:rsid w:val="577B4878"/>
    <w:rsid w:val="57912B63"/>
    <w:rsid w:val="57926973"/>
    <w:rsid w:val="58175352"/>
    <w:rsid w:val="581F2200"/>
    <w:rsid w:val="5825216F"/>
    <w:rsid w:val="583059FA"/>
    <w:rsid w:val="584A0929"/>
    <w:rsid w:val="58CD2491"/>
    <w:rsid w:val="58F86BB8"/>
    <w:rsid w:val="591B41B2"/>
    <w:rsid w:val="59254A26"/>
    <w:rsid w:val="59326325"/>
    <w:rsid w:val="595C505B"/>
    <w:rsid w:val="595E55C3"/>
    <w:rsid w:val="596E7E20"/>
    <w:rsid w:val="5A60780B"/>
    <w:rsid w:val="5AB34579"/>
    <w:rsid w:val="5AFC6609"/>
    <w:rsid w:val="5B113480"/>
    <w:rsid w:val="5BD456CE"/>
    <w:rsid w:val="5C0D1F49"/>
    <w:rsid w:val="5C3B1D70"/>
    <w:rsid w:val="5C4B0C3A"/>
    <w:rsid w:val="5C67786A"/>
    <w:rsid w:val="5CBB0CE2"/>
    <w:rsid w:val="5CC17177"/>
    <w:rsid w:val="5CF306BC"/>
    <w:rsid w:val="5D3F3D64"/>
    <w:rsid w:val="5D833043"/>
    <w:rsid w:val="5DD92690"/>
    <w:rsid w:val="5DDB1CFD"/>
    <w:rsid w:val="5E7E6D93"/>
    <w:rsid w:val="5ED44800"/>
    <w:rsid w:val="5F350BDE"/>
    <w:rsid w:val="5F61632C"/>
    <w:rsid w:val="5FA17648"/>
    <w:rsid w:val="5FDA3F1B"/>
    <w:rsid w:val="5FE705CB"/>
    <w:rsid w:val="603D5080"/>
    <w:rsid w:val="60D0261B"/>
    <w:rsid w:val="618E3791"/>
    <w:rsid w:val="61947DCA"/>
    <w:rsid w:val="61A46A97"/>
    <w:rsid w:val="61D1382F"/>
    <w:rsid w:val="61F114A2"/>
    <w:rsid w:val="62512BB4"/>
    <w:rsid w:val="625D7D1A"/>
    <w:rsid w:val="62DD7D21"/>
    <w:rsid w:val="634B5C4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ED78C4"/>
    <w:rsid w:val="68FB170C"/>
    <w:rsid w:val="691B3D98"/>
    <w:rsid w:val="693748F0"/>
    <w:rsid w:val="69846A0E"/>
    <w:rsid w:val="69AD798C"/>
    <w:rsid w:val="69D005C0"/>
    <w:rsid w:val="69D80B96"/>
    <w:rsid w:val="6B68175F"/>
    <w:rsid w:val="6BFD799F"/>
    <w:rsid w:val="6C4A2E5A"/>
    <w:rsid w:val="6C8138D0"/>
    <w:rsid w:val="6CA34054"/>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05150"/>
    <w:rsid w:val="78574801"/>
    <w:rsid w:val="7873527F"/>
    <w:rsid w:val="78B02C09"/>
    <w:rsid w:val="790A6425"/>
    <w:rsid w:val="790E2D96"/>
    <w:rsid w:val="791B54B2"/>
    <w:rsid w:val="795A0A34"/>
    <w:rsid w:val="797339C3"/>
    <w:rsid w:val="79D57D57"/>
    <w:rsid w:val="79F00650"/>
    <w:rsid w:val="7A6242BF"/>
    <w:rsid w:val="7A794513"/>
    <w:rsid w:val="7A88145D"/>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1</TotalTime>
  <ScaleCrop>false</ScaleCrop>
  <LinksUpToDate>false</LinksUpToDate>
  <CharactersWithSpaces>20940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本人不在线1402812788</cp:lastModifiedBy>
  <dcterms:modified xsi:type="dcterms:W3CDTF">2024-09-03T08:00:49Z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D624B15633CD43C8BF9435464A96BF70</vt:lpwstr>
  </property>
</Properties>
</file>