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C8B4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p>
    <w:p w14:paraId="5EBE0EE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4D64E0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阿克苏水文勘测局</w:t>
      </w:r>
    </w:p>
    <w:p w14:paraId="6BA479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953E74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95CD67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3862D9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F052BD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24F34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DFB92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EBF00B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8540F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88081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AD62C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BFCA8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FC933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AF421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DCA6B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7A7F4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4EADB1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0AAC6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CF6153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A5F2AE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494807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F4FB2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342E9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ED9F65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CDC8B8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49C56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DC903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4BBE5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D5AD5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E9C13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4DD7A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42B64A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6CF43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94495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F68DAD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488BC15">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7080D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55245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6150086">
      <w:pPr>
        <w:ind w:firstLine="640" w:firstLineChars="200"/>
        <w:rPr>
          <w:rFonts w:hint="eastAsia" w:ascii="仿宋_GB2312" w:eastAsia="仿宋_GB2312"/>
          <w:color w:val="auto"/>
          <w:sz w:val="32"/>
          <w:szCs w:val="32"/>
          <w:highlight w:val="none"/>
        </w:rPr>
      </w:pPr>
      <w:bookmarkStart w:id="4" w:name="_Toc31238"/>
      <w:bookmarkStart w:id="5" w:name="_Toc2151"/>
      <w:r>
        <w:rPr>
          <w:rFonts w:ascii="仿宋_GB2312" w:eastAsia="仿宋_GB2312"/>
          <w:color w:val="auto"/>
          <w:sz w:val="32"/>
          <w:szCs w:val="32"/>
          <w:highlight w:val="none"/>
        </w:rPr>
        <w:t>承担水资源调查评价、水资源论证、各种工程水文分析计算、水环境规划、水质监测、地下水监测、防汛报汛、防洪减灾等工作，负责本行政辖区内的水文水资源管理工作, 担负着全地区的水文水资源勘测评价、水环境监测评价，为防洪减灾、水资源合理开发、利用、管理和水环境保护、水利水电工程建设与运营管理及其它国民经济建设提供科学依据的重任</w:t>
      </w:r>
      <w:r>
        <w:rPr>
          <w:rFonts w:hint="eastAsia" w:ascii="仿宋_GB2312" w:eastAsia="仿宋_GB2312"/>
          <w:color w:val="auto"/>
          <w:sz w:val="32"/>
          <w:szCs w:val="32"/>
          <w:highlight w:val="none"/>
        </w:rPr>
        <w:t>。</w:t>
      </w:r>
    </w:p>
    <w:p w14:paraId="0BAA64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BED6D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阿克苏水文勘测局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59</w:t>
      </w:r>
      <w:r>
        <w:rPr>
          <w:rFonts w:hint="eastAsia" w:ascii="仿宋_GB2312" w:eastAsia="仿宋_GB2312"/>
          <w:color w:val="auto"/>
          <w:sz w:val="32"/>
          <w:szCs w:val="32"/>
          <w:highlight w:val="none"/>
        </w:rPr>
        <w:t>人。</w:t>
      </w:r>
    </w:p>
    <w:p w14:paraId="64531191">
      <w:pPr>
        <w:ind w:firstLine="640" w:firstLineChars="200"/>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个处室，分别是：办公室、党建科、测验整编科、水情科、技术科、信息科、水环境监测分中心</w:t>
      </w:r>
      <w:r>
        <w:rPr>
          <w:rFonts w:hint="eastAsia" w:ascii="仿宋_GB2312" w:hAnsi="宋体" w:eastAsia="仿宋_GB2312" w:cs="宋体"/>
          <w:color w:val="auto"/>
          <w:kern w:val="0"/>
          <w:sz w:val="32"/>
          <w:szCs w:val="32"/>
          <w:highlight w:val="none"/>
        </w:rPr>
        <w:t>。</w:t>
      </w:r>
    </w:p>
    <w:p w14:paraId="077461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B6B1F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9A292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3,242.88万元，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3,181.66万元，使用非财政拨款结余43.33万元，年初结转和结余17.88万元。</w:t>
      </w:r>
    </w:p>
    <w:p w14:paraId="39B61F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3,242.88万元，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3,071.89万元，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162.39万元，年末结转和结余8.60万元。</w:t>
      </w:r>
    </w:p>
    <w:p w14:paraId="3B1495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增加502.45万元</w:t>
      </w:r>
      <w:r>
        <w:rPr>
          <w:rFonts w:hint="eastAsia" w:ascii="仿宋_GB2312" w:eastAsia="仿宋_GB2312"/>
          <w:color w:val="auto"/>
          <w:spacing w:val="0"/>
          <w:sz w:val="32"/>
          <w:szCs w:val="32"/>
          <w:highlight w:val="none"/>
          <w:lang w:eastAsia="zh-CN"/>
        </w:rPr>
        <w:t>，增长18.33%，主要原因是：</w:t>
      </w:r>
      <w:r>
        <w:rPr>
          <w:rFonts w:hint="eastAsia" w:ascii="仿宋_GB2312" w:eastAsia="仿宋_GB2312"/>
          <w:color w:val="auto"/>
          <w:sz w:val="32"/>
          <w:szCs w:val="32"/>
          <w:highlight w:val="none"/>
        </w:rPr>
        <w:t>增加在职转退休职工职业年金和退休职工丧葬抚恤金及在职基本工资增资</w:t>
      </w:r>
      <w:r>
        <w:rPr>
          <w:rFonts w:hint="eastAsia" w:ascii="仿宋_GB2312" w:eastAsia="仿宋_GB2312"/>
          <w:color w:val="auto"/>
          <w:sz w:val="32"/>
          <w:szCs w:val="32"/>
          <w:highlight w:val="none"/>
          <w:lang w:eastAsia="zh-CN"/>
        </w:rPr>
        <w:t>、艰边贴增资。</w:t>
      </w:r>
    </w:p>
    <w:p w14:paraId="20DD23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A26BF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3,181.66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2,793.40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87.80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353.19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11.10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35.07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1.10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76813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95067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本年支出3,071.89万元，其中：基本支出1,858.95万元，占60.51%；项目支出1,022.14万元，占33.27%；上缴上级支出0.00万元，占0.00%；经营支出190.81万元，占6.21%；对附属单位补助支出0.00万元，占0.00%。</w:t>
      </w:r>
    </w:p>
    <w:p w14:paraId="13A789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6D40E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2,802.32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8.92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2,793.40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2,802.32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8.60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2,793.72</w:t>
      </w:r>
      <w:r>
        <w:rPr>
          <w:rFonts w:hint="eastAsia" w:ascii="仿宋_GB2312" w:eastAsia="仿宋_GB2312"/>
          <w:color w:val="auto"/>
          <w:spacing w:val="0"/>
          <w:sz w:val="32"/>
          <w:szCs w:val="32"/>
          <w:highlight w:val="none"/>
          <w:lang w:eastAsia="zh-CN"/>
        </w:rPr>
        <w:t>万元。</w:t>
      </w:r>
    </w:p>
    <w:p w14:paraId="37EC7CA2">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增加601.74万元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年使用财政拨款结转，追加在职转退休职工职业年金和在职基本工资增资</w:t>
      </w:r>
      <w:r>
        <w:rPr>
          <w:rFonts w:hint="eastAsia" w:ascii="仿宋_GB2312" w:eastAsia="仿宋_GB2312"/>
          <w:color w:val="auto"/>
          <w:sz w:val="32"/>
          <w:szCs w:val="32"/>
          <w:highlight w:val="none"/>
          <w:lang w:eastAsia="zh-CN"/>
        </w:rPr>
        <w:t>、艰边贴增资</w:t>
      </w:r>
      <w:r>
        <w:rPr>
          <w:rFonts w:hint="eastAsia" w:ascii="仿宋_GB2312" w:eastAsia="仿宋_GB2312"/>
          <w:color w:val="auto"/>
          <w:sz w:val="32"/>
          <w:szCs w:val="32"/>
          <w:highlight w:val="none"/>
          <w:lang w:val="en-US" w:eastAsia="zh-CN"/>
        </w:rPr>
        <w:t>以及</w:t>
      </w:r>
      <w:r>
        <w:rPr>
          <w:rFonts w:hint="eastAsia" w:ascii="仿宋_GB2312" w:eastAsia="仿宋_GB2312"/>
          <w:color w:val="auto"/>
          <w:spacing w:val="0"/>
          <w:sz w:val="32"/>
          <w:szCs w:val="32"/>
          <w:highlight w:val="none"/>
          <w:lang w:val="en-US" w:eastAsia="zh-CN"/>
        </w:rPr>
        <w:t>增加了</w:t>
      </w:r>
      <w:r>
        <w:rPr>
          <w:rFonts w:hint="default" w:ascii="仿宋_GB2312" w:hAnsi="仿宋" w:eastAsia="仿宋_GB2312"/>
          <w:color w:val="auto"/>
          <w:sz w:val="32"/>
          <w:szCs w:val="32"/>
          <w:highlight w:val="none"/>
          <w:lang w:val="en-US" w:eastAsia="zh-CN"/>
        </w:rPr>
        <w:t>2023年自治区特大防汛补助费</w:t>
      </w:r>
      <w:r>
        <w:rPr>
          <w:rFonts w:hint="eastAsia" w:ascii="仿宋_GB2312" w:hAnsi="仿宋" w:eastAsia="仿宋_GB2312"/>
          <w:color w:val="auto"/>
          <w:sz w:val="32"/>
          <w:szCs w:val="32"/>
          <w:highlight w:val="none"/>
          <w:lang w:val="en-US" w:eastAsia="zh-CN"/>
        </w:rPr>
        <w:t>15万元、新疆国家基本水文测站提档升级建设工程（二期）340万元、基建支出-新财建〔2023〕183号284万元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1,838.63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2,802.32</w:t>
      </w:r>
      <w:r>
        <w:rPr>
          <w:rFonts w:hint="eastAsia" w:ascii="仿宋_GB2312" w:eastAsia="仿宋_GB2312"/>
          <w:color w:val="auto"/>
          <w:spacing w:val="0"/>
          <w:sz w:val="32"/>
          <w:szCs w:val="32"/>
          <w:highlight w:val="none"/>
          <w:lang w:eastAsia="zh-CN"/>
        </w:rPr>
        <w:t>万元，预决算差异率52.41%，主要原因是：</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年使用财政拨款结转，追加在职转退休职工职业年金和在职基本工资增资</w:t>
      </w:r>
      <w:r>
        <w:rPr>
          <w:rFonts w:hint="eastAsia" w:ascii="仿宋_GB2312" w:eastAsia="仿宋_GB2312"/>
          <w:color w:val="auto"/>
          <w:sz w:val="32"/>
          <w:szCs w:val="32"/>
          <w:highlight w:val="none"/>
          <w:lang w:eastAsia="zh-CN"/>
        </w:rPr>
        <w:t>、艰边贴增资</w:t>
      </w:r>
      <w:r>
        <w:rPr>
          <w:rFonts w:hint="eastAsia" w:ascii="仿宋_GB2312" w:eastAsia="仿宋_GB2312"/>
          <w:color w:val="auto"/>
          <w:sz w:val="32"/>
          <w:szCs w:val="32"/>
          <w:highlight w:val="none"/>
          <w:lang w:val="en-US" w:eastAsia="zh-CN"/>
        </w:rPr>
        <w:t>以及</w:t>
      </w:r>
      <w:r>
        <w:rPr>
          <w:rFonts w:hint="eastAsia" w:ascii="仿宋_GB2312" w:eastAsia="仿宋_GB2312"/>
          <w:color w:val="auto"/>
          <w:spacing w:val="0"/>
          <w:sz w:val="32"/>
          <w:szCs w:val="32"/>
          <w:highlight w:val="none"/>
          <w:lang w:val="en-US" w:eastAsia="zh-CN"/>
        </w:rPr>
        <w:t>增加了</w:t>
      </w:r>
      <w:r>
        <w:rPr>
          <w:rFonts w:hint="default" w:ascii="仿宋_GB2312" w:hAnsi="仿宋" w:eastAsia="仿宋_GB2312"/>
          <w:color w:val="auto"/>
          <w:sz w:val="32"/>
          <w:szCs w:val="32"/>
          <w:highlight w:val="none"/>
          <w:lang w:val="en-US" w:eastAsia="zh-CN"/>
        </w:rPr>
        <w:t>2023年自治区特大防汛补助费</w:t>
      </w:r>
      <w:r>
        <w:rPr>
          <w:rFonts w:hint="eastAsia" w:ascii="仿宋_GB2312" w:hAnsi="仿宋" w:eastAsia="仿宋_GB2312"/>
          <w:color w:val="auto"/>
          <w:sz w:val="32"/>
          <w:szCs w:val="32"/>
          <w:highlight w:val="none"/>
          <w:lang w:val="en-US" w:eastAsia="zh-CN"/>
        </w:rPr>
        <w:t>15万元、新疆国家基本水文测站提档升级建设工程（二期）340万元、基建支出-新财建〔2023〕183号284万元</w:t>
      </w:r>
      <w:r>
        <w:rPr>
          <w:rFonts w:hint="eastAsia" w:ascii="仿宋_GB2312" w:eastAsia="仿宋_GB2312"/>
          <w:color w:val="auto"/>
          <w:sz w:val="32"/>
          <w:szCs w:val="32"/>
          <w:highlight w:val="none"/>
          <w:lang w:eastAsia="zh-CN"/>
        </w:rPr>
        <w:t>。</w:t>
      </w:r>
    </w:p>
    <w:p w14:paraId="628D1B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90979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5F78BE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2023年度一般公共预算财政拨款支出2,793.72万元，占本年支出合计的</w:t>
      </w:r>
      <w:r>
        <w:rPr>
          <w:rFonts w:hint="eastAsia" w:ascii="仿宋_GB2312" w:eastAsia="仿宋_GB2312"/>
          <w:color w:val="auto"/>
          <w:spacing w:val="0"/>
          <w:sz w:val="32"/>
          <w:szCs w:val="32"/>
          <w:highlight w:val="none"/>
          <w:lang w:val="zh-CN" w:eastAsia="zh-CN"/>
        </w:rPr>
        <w:t>90.94%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增加602.06万元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年使用财政拨款结转，追加在职转退休职工职业年金和在职基本工资增资</w:t>
      </w:r>
      <w:r>
        <w:rPr>
          <w:rFonts w:hint="eastAsia" w:ascii="仿宋_GB2312" w:eastAsia="仿宋_GB2312"/>
          <w:color w:val="auto"/>
          <w:sz w:val="32"/>
          <w:szCs w:val="32"/>
          <w:highlight w:val="none"/>
          <w:lang w:eastAsia="zh-CN"/>
        </w:rPr>
        <w:t>、艰边贴增资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1,838.63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2,793.72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51.95%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rPr>
        <w:t>追加在职转退休职工职业年金和在职基本工资增资</w:t>
      </w:r>
      <w:r>
        <w:rPr>
          <w:rFonts w:hint="eastAsia" w:ascii="仿宋_GB2312" w:eastAsia="仿宋_GB2312"/>
          <w:color w:val="auto"/>
          <w:sz w:val="32"/>
          <w:szCs w:val="32"/>
          <w:highlight w:val="none"/>
          <w:lang w:eastAsia="zh-CN"/>
        </w:rPr>
        <w:t>、艰边贴增资</w:t>
      </w:r>
      <w:r>
        <w:rPr>
          <w:rFonts w:hint="eastAsia" w:ascii="仿宋_GB2312" w:hAnsi="仿宋" w:eastAsia="仿宋_GB2312"/>
          <w:color w:val="auto"/>
          <w:sz w:val="32"/>
          <w:szCs w:val="32"/>
          <w:highlight w:val="none"/>
          <w:lang w:val="en-US" w:eastAsia="zh-CN"/>
        </w:rPr>
        <w:t>以及</w:t>
      </w:r>
      <w:r>
        <w:rPr>
          <w:rFonts w:hint="eastAsia" w:ascii="仿宋_GB2312" w:eastAsia="仿宋_GB2312"/>
          <w:color w:val="auto"/>
          <w:sz w:val="32"/>
          <w:szCs w:val="32"/>
          <w:highlight w:val="none"/>
        </w:rPr>
        <w:t>使用以前年度财政拨款结转</w:t>
      </w:r>
      <w:r>
        <w:rPr>
          <w:rFonts w:hint="eastAsia" w:ascii="仿宋_GB2312" w:eastAsia="仿宋_GB2312"/>
          <w:color w:val="auto"/>
          <w:spacing w:val="0"/>
          <w:sz w:val="32"/>
          <w:szCs w:val="32"/>
          <w:highlight w:val="none"/>
          <w:lang w:eastAsia="zh-CN"/>
        </w:rPr>
        <w:t>。</w:t>
      </w:r>
    </w:p>
    <w:p w14:paraId="49F1A8C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1CBDC84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299.43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10.72</w:t>
      </w:r>
      <w:r>
        <w:rPr>
          <w:rFonts w:hint="default" w:ascii="仿宋_GB2312" w:hAnsi="Times New Roman" w:eastAsia="仿宋_GB2312" w:cs="Times New Roman"/>
          <w:color w:val="auto"/>
          <w:spacing w:val="0"/>
          <w:kern w:val="2"/>
          <w:sz w:val="32"/>
          <w:szCs w:val="32"/>
          <w:highlight w:val="none"/>
          <w:lang w:val="zh-CN" w:eastAsia="zh-CN" w:bidi="ar-SA"/>
        </w:rPr>
        <w:t>%；</w:t>
      </w:r>
    </w:p>
    <w:p w14:paraId="123CE4D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133.41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4.78</w:t>
      </w:r>
      <w:r>
        <w:rPr>
          <w:rFonts w:hint="default" w:ascii="仿宋_GB2312" w:hAnsi="Times New Roman" w:eastAsia="仿宋_GB2312" w:cs="Times New Roman"/>
          <w:color w:val="auto"/>
          <w:spacing w:val="0"/>
          <w:kern w:val="2"/>
          <w:sz w:val="32"/>
          <w:szCs w:val="32"/>
          <w:highlight w:val="none"/>
          <w:lang w:val="zh-CN" w:eastAsia="zh-CN" w:bidi="ar-SA"/>
        </w:rPr>
        <w:t>%；</w:t>
      </w:r>
    </w:p>
    <w:p w14:paraId="5093354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2,250.48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80.55</w:t>
      </w:r>
      <w:r>
        <w:rPr>
          <w:rFonts w:hint="default" w:ascii="仿宋_GB2312" w:hAnsi="Times New Roman" w:eastAsia="仿宋_GB2312" w:cs="Times New Roman"/>
          <w:color w:val="auto"/>
          <w:spacing w:val="0"/>
          <w:kern w:val="2"/>
          <w:sz w:val="32"/>
          <w:szCs w:val="32"/>
          <w:highlight w:val="none"/>
          <w:lang w:val="zh-CN" w:eastAsia="zh-CN" w:bidi="ar-SA"/>
        </w:rPr>
        <w:t>%；</w:t>
      </w:r>
    </w:p>
    <w:p w14:paraId="4138F5A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110.40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3.95</w:t>
      </w:r>
      <w:r>
        <w:rPr>
          <w:rFonts w:hint="default" w:ascii="仿宋_GB2312" w:hAnsi="Times New Roman" w:eastAsia="仿宋_GB2312" w:cs="Times New Roman"/>
          <w:color w:val="auto"/>
          <w:spacing w:val="0"/>
          <w:kern w:val="2"/>
          <w:sz w:val="32"/>
          <w:szCs w:val="32"/>
          <w:highlight w:val="none"/>
          <w:lang w:val="zh-CN" w:eastAsia="zh-CN" w:bidi="ar-SA"/>
        </w:rPr>
        <w:t>%；</w:t>
      </w:r>
    </w:p>
    <w:p w14:paraId="015DDE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8DF6D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1.农林水支出（类）水利（款）防汛（项）:支出决算数为15.00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增长1276.15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highlight w:val="none"/>
        </w:rPr>
        <w:t>因工作内容调整，</w:t>
      </w:r>
      <w:r>
        <w:rPr>
          <w:rFonts w:hint="eastAsia" w:ascii="仿宋_GB2312" w:eastAsia="仿宋_GB2312"/>
          <w:color w:val="auto"/>
          <w:sz w:val="32"/>
          <w:szCs w:val="32"/>
          <w:highlight w:val="none"/>
          <w:lang w:val="en-US" w:eastAsia="zh-CN"/>
        </w:rPr>
        <w:t>增加了</w:t>
      </w:r>
      <w:r>
        <w:rPr>
          <w:rFonts w:hint="eastAsia" w:ascii="Times New Roman" w:hAnsi="Times New Roman" w:eastAsia="仿宋_GB2312" w:cs="Times New Roman"/>
          <w:color w:val="auto"/>
          <w:kern w:val="2"/>
          <w:sz w:val="32"/>
          <w:szCs w:val="32"/>
          <w:highlight w:val="none"/>
          <w:lang w:val="en-US" w:eastAsia="zh-CN" w:bidi="ar-SA"/>
        </w:rPr>
        <w:t>2023年自治区特大防汛补助费</w:t>
      </w:r>
      <w:r>
        <w:rPr>
          <w:rFonts w:hint="eastAsia" w:eastAsia="仿宋_GB2312" w:cs="Times New Roman"/>
          <w:color w:val="auto"/>
          <w:kern w:val="2"/>
          <w:sz w:val="32"/>
          <w:szCs w:val="32"/>
          <w:highlight w:val="none"/>
          <w:lang w:val="zh-CN" w:eastAsia="zh-CN" w:bidi="ar-SA"/>
        </w:rPr>
        <w:t>。</w:t>
      </w:r>
    </w:p>
    <w:p w14:paraId="26E288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2.卫生健康支出（类）行政事业单位医疗（款）事业单位医疗（项）:支出决算数为69.00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年新增在职转退休职工，导致事业单位医疗支出增加</w:t>
      </w:r>
      <w:r>
        <w:rPr>
          <w:rFonts w:hint="eastAsia" w:eastAsia="仿宋_GB2312" w:cs="Times New Roman"/>
          <w:color w:val="auto"/>
          <w:kern w:val="2"/>
          <w:sz w:val="32"/>
          <w:szCs w:val="32"/>
          <w:highlight w:val="none"/>
          <w:lang w:val="zh-CN" w:eastAsia="zh-CN" w:bidi="ar-SA"/>
        </w:rPr>
        <w:t>。</w:t>
      </w:r>
    </w:p>
    <w:p w14:paraId="3E9E84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3.农林水支出（类）水利（款）水文测报（项）:支出决算数为1,807.95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12.41%，主要原因是：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年水文测报使用以前年度财政拨款结转资金</w:t>
      </w:r>
      <w:r>
        <w:rPr>
          <w:rFonts w:hint="eastAsia" w:eastAsia="仿宋_GB2312" w:cs="Times New Roman"/>
          <w:color w:val="auto"/>
          <w:kern w:val="2"/>
          <w:sz w:val="32"/>
          <w:szCs w:val="32"/>
          <w:highlight w:val="none"/>
          <w:lang w:val="zh-CN" w:eastAsia="zh-CN" w:bidi="ar-SA"/>
        </w:rPr>
        <w:t>。</w:t>
      </w:r>
    </w:p>
    <w:p w14:paraId="3B3B8F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4.卫生健康支出（类）行政事业单位医疗（款）公务员医疗补助（项）:支出决算数为64.40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21.47%，主要原因是：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年新增</w:t>
      </w:r>
      <w:r>
        <w:rPr>
          <w:rFonts w:hint="eastAsia" w:ascii="仿宋_GB2312" w:eastAsia="仿宋_GB2312"/>
          <w:color w:val="auto"/>
          <w:sz w:val="32"/>
          <w:szCs w:val="32"/>
          <w:highlight w:val="none"/>
          <w:lang w:val="en-US" w:eastAsia="zh-CN"/>
        </w:rPr>
        <w:t>两</w:t>
      </w:r>
      <w:r>
        <w:rPr>
          <w:rFonts w:hint="eastAsia" w:ascii="仿宋_GB2312" w:eastAsia="仿宋_GB2312"/>
          <w:color w:val="auto"/>
          <w:sz w:val="32"/>
          <w:szCs w:val="32"/>
          <w:highlight w:val="none"/>
        </w:rPr>
        <w:t>名在职职工，导致公务员医疗补助增加</w:t>
      </w:r>
      <w:r>
        <w:rPr>
          <w:rFonts w:hint="eastAsia" w:eastAsia="仿宋_GB2312" w:cs="Times New Roman"/>
          <w:color w:val="auto"/>
          <w:kern w:val="2"/>
          <w:sz w:val="32"/>
          <w:szCs w:val="32"/>
          <w:highlight w:val="none"/>
          <w:lang w:val="zh-CN" w:eastAsia="zh-CN" w:bidi="ar-SA"/>
        </w:rPr>
        <w:t>。</w:t>
      </w:r>
    </w:p>
    <w:p w14:paraId="781488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5.农林水支出（类）水利（款）水利工程建设（项）:支出决算数为261.53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256.37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增长4968.41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2023年增加项目及基建项目资金</w:t>
      </w:r>
      <w:r>
        <w:rPr>
          <w:rFonts w:hint="eastAsia" w:eastAsia="仿宋_GB2312" w:cs="Times New Roman"/>
          <w:color w:val="auto"/>
          <w:kern w:val="2"/>
          <w:sz w:val="32"/>
          <w:szCs w:val="32"/>
          <w:highlight w:val="none"/>
          <w:lang w:val="zh-CN" w:eastAsia="zh-CN" w:bidi="ar-SA"/>
        </w:rPr>
        <w:t>。</w:t>
      </w:r>
    </w:p>
    <w:p w14:paraId="197163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6.住房保障支出（类）住房改革支出（款）住房公积金（项）:支出决算数为110.40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16.97%，主要原因是：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年在职人数比去年增加三人，导致住房公积金增加</w:t>
      </w:r>
      <w:r>
        <w:rPr>
          <w:rFonts w:hint="eastAsia" w:eastAsia="仿宋_GB2312" w:cs="Times New Roman"/>
          <w:color w:val="auto"/>
          <w:kern w:val="2"/>
          <w:sz w:val="32"/>
          <w:szCs w:val="32"/>
          <w:highlight w:val="none"/>
          <w:lang w:val="zh-CN" w:eastAsia="zh-CN" w:bidi="ar-SA"/>
        </w:rPr>
        <w:t>。</w:t>
      </w:r>
    </w:p>
    <w:p w14:paraId="0EAF58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7.社会保障和就业支出（类）抚恤（款）死亡抚恤（项）:支出决算数为0.32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96.89%，主要原因是：</w:t>
      </w:r>
      <w:r>
        <w:rPr>
          <w:rFonts w:hint="eastAsia" w:ascii="仿宋_GB2312" w:eastAsia="仿宋_GB2312"/>
          <w:color w:val="auto"/>
          <w:sz w:val="32"/>
          <w:szCs w:val="32"/>
          <w:highlight w:val="none"/>
        </w:rPr>
        <w:t>去世人数减少，导致死亡抚恤减少</w:t>
      </w:r>
      <w:r>
        <w:rPr>
          <w:rFonts w:hint="eastAsia" w:eastAsia="仿宋_GB2312" w:cs="Times New Roman"/>
          <w:color w:val="auto"/>
          <w:kern w:val="2"/>
          <w:sz w:val="32"/>
          <w:szCs w:val="32"/>
          <w:highlight w:val="none"/>
          <w:lang w:val="zh-CN" w:eastAsia="zh-CN" w:bidi="ar-SA"/>
        </w:rPr>
        <w:t>。</w:t>
      </w:r>
    </w:p>
    <w:p w14:paraId="1E1F2B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8.社会保障和就业支出（类）行政事业单位养老支出（款）事业单位离退休（项）:支出决算数为156.50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51.66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24.82%，主要原因是：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退休人员去世，</w:t>
      </w:r>
      <w:r>
        <w:rPr>
          <w:rFonts w:hint="eastAsia" w:ascii="仿宋_GB2312" w:eastAsia="仿宋_GB2312"/>
          <w:color w:val="auto"/>
          <w:sz w:val="32"/>
          <w:szCs w:val="32"/>
          <w:highlight w:val="none"/>
        </w:rPr>
        <w:t>导致行政事业单位养老支出(款)事业单位离退休项)</w:t>
      </w:r>
      <w:r>
        <w:rPr>
          <w:rFonts w:hint="eastAsia" w:ascii="仿宋_GB2312" w:eastAsia="仿宋_GB2312"/>
          <w:color w:val="auto"/>
          <w:sz w:val="32"/>
          <w:szCs w:val="32"/>
          <w:highlight w:val="none"/>
          <w:lang w:val="en-US" w:eastAsia="zh-CN"/>
        </w:rPr>
        <w:t>减少</w:t>
      </w:r>
      <w:r>
        <w:rPr>
          <w:rFonts w:hint="eastAsia" w:eastAsia="仿宋_GB2312" w:cs="Times New Roman"/>
          <w:color w:val="auto"/>
          <w:kern w:val="2"/>
          <w:sz w:val="32"/>
          <w:szCs w:val="32"/>
          <w:highlight w:val="none"/>
          <w:lang w:val="zh-CN" w:eastAsia="zh-CN" w:bidi="ar-SA"/>
        </w:rPr>
        <w:t>。</w:t>
      </w:r>
    </w:p>
    <w:p w14:paraId="29AB5D3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9.农林水支出（类）水利（款）水资源节约管理与保护（项）:支出决算数为166.00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z w:val="32"/>
          <w:szCs w:val="32"/>
          <w:highlight w:val="none"/>
        </w:rPr>
        <w:t>因工作内容调整，</w:t>
      </w:r>
      <w:r>
        <w:rPr>
          <w:rFonts w:hint="eastAsia" w:ascii="仿宋_GB2312" w:eastAsia="仿宋_GB2312"/>
          <w:color w:val="auto"/>
          <w:sz w:val="32"/>
          <w:szCs w:val="32"/>
          <w:highlight w:val="none"/>
          <w:lang w:val="en-US" w:eastAsia="zh-CN"/>
        </w:rPr>
        <w:t>增加了</w:t>
      </w:r>
      <w:r>
        <w:rPr>
          <w:rFonts w:hint="eastAsia" w:ascii="Times New Roman" w:hAnsi="Times New Roman" w:eastAsia="仿宋_GB2312" w:cs="Times New Roman"/>
          <w:color w:val="auto"/>
          <w:kern w:val="2"/>
          <w:sz w:val="32"/>
          <w:szCs w:val="32"/>
          <w:highlight w:val="none"/>
          <w:lang w:val="en-US" w:eastAsia="zh-CN" w:bidi="ar-SA"/>
        </w:rPr>
        <w:t>农林水支出（类）水利（款）水资源节约管理与保护（项）</w:t>
      </w:r>
      <w:r>
        <w:rPr>
          <w:rFonts w:hint="eastAsia" w:eastAsia="仿宋_GB2312" w:cs="Times New Roman"/>
          <w:color w:val="auto"/>
          <w:kern w:val="2"/>
          <w:sz w:val="32"/>
          <w:szCs w:val="32"/>
          <w:highlight w:val="none"/>
          <w:lang w:val="zh-CN" w:eastAsia="zh-CN" w:bidi="ar-SA"/>
        </w:rPr>
        <w:t>。</w:t>
      </w:r>
    </w:p>
    <w:p w14:paraId="3353AB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10.社会保障和就业支出（类）行政事业单位养老支出（款）机关事业单位职业年金缴费支出（项）:支出决算数为7.19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47.16%，主要原因是：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有在职转退休职工</w:t>
      </w:r>
      <w:r>
        <w:rPr>
          <w:rFonts w:hint="eastAsia" w:ascii="仿宋_GB2312" w:eastAsia="仿宋_GB2312"/>
          <w:color w:val="auto"/>
          <w:sz w:val="32"/>
          <w:szCs w:val="32"/>
          <w:highlight w:val="none"/>
        </w:rPr>
        <w:t>，导致机关事业单位职业年金缴费支出</w:t>
      </w:r>
      <w:r>
        <w:rPr>
          <w:rFonts w:hint="eastAsia" w:ascii="仿宋_GB2312" w:eastAsia="仿宋_GB2312"/>
          <w:color w:val="auto"/>
          <w:sz w:val="32"/>
          <w:szCs w:val="32"/>
          <w:highlight w:val="none"/>
          <w:lang w:val="en-US" w:eastAsia="zh-CN"/>
        </w:rPr>
        <w:t>减少</w:t>
      </w:r>
      <w:r>
        <w:rPr>
          <w:rFonts w:hint="eastAsia" w:eastAsia="仿宋_GB2312" w:cs="Times New Roman"/>
          <w:color w:val="auto"/>
          <w:kern w:val="2"/>
          <w:sz w:val="32"/>
          <w:szCs w:val="32"/>
          <w:highlight w:val="none"/>
          <w:lang w:val="zh-CN" w:eastAsia="zh-CN" w:bidi="ar-SA"/>
        </w:rPr>
        <w:t>。</w:t>
      </w:r>
    </w:p>
    <w:p w14:paraId="7F2C51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11.社会保障和就业支出（类）行政事业单位养老支出（款）机关事业单位基本养老保险缴费支出（项）:支出决算数为135.42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18.38%，主要原因是：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年新增职工，导致机关事业单位基本养老保险缴费支出增加</w:t>
      </w:r>
      <w:r>
        <w:rPr>
          <w:rFonts w:hint="eastAsia" w:eastAsia="仿宋_GB2312" w:cs="Times New Roman"/>
          <w:color w:val="auto"/>
          <w:kern w:val="2"/>
          <w:sz w:val="32"/>
          <w:szCs w:val="32"/>
          <w:highlight w:val="none"/>
          <w:lang w:val="zh-CN" w:eastAsia="zh-CN" w:bidi="ar-SA"/>
        </w:rPr>
        <w:t>。</w:t>
      </w:r>
    </w:p>
    <w:p w14:paraId="4F75EB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12.农林水支出（类）水利（款）抗旱（项）:支出决算数为0.00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z w:val="32"/>
          <w:szCs w:val="32"/>
          <w:highlight w:val="none"/>
        </w:rPr>
        <w:t>因工作任务</w:t>
      </w:r>
      <w:r>
        <w:rPr>
          <w:rFonts w:hint="eastAsia" w:ascii="仿宋_GB2312" w:eastAsia="仿宋_GB2312"/>
          <w:color w:val="auto"/>
          <w:sz w:val="32"/>
          <w:szCs w:val="32"/>
          <w:highlight w:val="none"/>
          <w:lang w:val="en-US" w:eastAsia="zh-CN"/>
        </w:rPr>
        <w:t>调整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2023年没有</w:t>
      </w:r>
      <w:r>
        <w:rPr>
          <w:rFonts w:hint="eastAsia" w:ascii="仿宋_GB2312" w:eastAsia="仿宋_GB2312"/>
          <w:color w:val="auto"/>
          <w:sz w:val="32"/>
          <w:szCs w:val="32"/>
          <w:highlight w:val="none"/>
        </w:rPr>
        <w:t>水利抗旱</w:t>
      </w:r>
      <w:r>
        <w:rPr>
          <w:rFonts w:hint="eastAsia" w:ascii="仿宋_GB2312" w:eastAsia="仿宋_GB2312"/>
          <w:color w:val="auto"/>
          <w:sz w:val="32"/>
          <w:szCs w:val="32"/>
          <w:highlight w:val="none"/>
          <w:lang w:val="en-US" w:eastAsia="zh-CN"/>
        </w:rPr>
        <w:t>支出</w:t>
      </w:r>
      <w:r>
        <w:rPr>
          <w:rFonts w:hint="eastAsia" w:eastAsia="仿宋_GB2312" w:cs="Times New Roman"/>
          <w:color w:val="auto"/>
          <w:kern w:val="2"/>
          <w:sz w:val="32"/>
          <w:szCs w:val="32"/>
          <w:highlight w:val="none"/>
          <w:lang w:val="zh-CN" w:eastAsia="zh-CN" w:bidi="ar-SA"/>
        </w:rPr>
        <w:t>。</w:t>
      </w:r>
    </w:p>
    <w:p w14:paraId="2D545B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3F7F6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1,858.20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1,757.91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2F0159B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100.29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办公费、印刷费、水费、电费、邮电费、取暖费、差旅费、培训费、工会经费、福利费、公务用车运行维护费、其他交通费用、其他商品和服务支出。</w:t>
      </w:r>
    </w:p>
    <w:p w14:paraId="0AD393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2CC92D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“三公”经费支出13.80万元，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；公务用车购置及运行维护费支出13.80万元，占100.00%，比上年增加0.00万元，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主要原因是：与上年一致，无差异；公务接待费支出0.00万元，占0.00%，比上年增加0.00万元，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主要原因是：与上年一致，无差异。</w:t>
      </w:r>
    </w:p>
    <w:p w14:paraId="46DC5F3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EDE6BA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zh-CN" w:eastAsia="zh-CN"/>
        </w:rPr>
        <w:t>：我单位无因公出国（境）费。单位全年安排的因公出国（境）团组0个，因公出国（境）0人次。</w:t>
      </w:r>
    </w:p>
    <w:p w14:paraId="6EBFAFA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公务用车购置及运行维护费13.80万元，其中：公务用车购置费0.00万元，公务用车运行维护费13.80万元。公务用车运行维护费开支内容包括</w:t>
      </w:r>
      <w:r>
        <w:rPr>
          <w:rFonts w:hint="eastAsia" w:ascii="仿宋_GB2312" w:eastAsia="仿宋_GB2312"/>
          <w:color w:val="auto"/>
          <w:sz w:val="32"/>
          <w:szCs w:val="32"/>
          <w:highlight w:val="none"/>
        </w:rPr>
        <w:t>过路费、车辆加油费、车辆维修费、车辆保险费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lang w:val="zh-CN" w:eastAsia="zh-CN"/>
        </w:rPr>
        <w:t>。公务用车购置数0辆，公务用车保有量11辆。国有资产占用情况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11辆</w:t>
      </w:r>
      <w:r>
        <w:rPr>
          <w:rFonts w:hint="eastAsia" w:ascii="仿宋_GB2312" w:hAnsi="Times New Roman" w:eastAsia="仿宋_GB2312" w:cs="Times New Roman"/>
          <w:color w:val="auto"/>
          <w:sz w:val="32"/>
          <w:szCs w:val="32"/>
          <w:highlight w:val="none"/>
          <w:lang w:val="zh-CN" w:eastAsia="zh-CN"/>
        </w:rPr>
        <w:t>，</w:t>
      </w:r>
      <w:r>
        <w:rPr>
          <w:rFonts w:hint="eastAsia" w:ascii="仿宋_GB2312" w:hAnsi="Times New Roman" w:eastAsia="仿宋_GB2312" w:cs="Times New Roman"/>
          <w:color w:val="auto"/>
          <w:sz w:val="32"/>
          <w:szCs w:val="32"/>
          <w:highlight w:val="none"/>
          <w:lang w:val="en-US" w:eastAsia="zh-CN"/>
        </w:rPr>
        <w:t>与</w:t>
      </w:r>
      <w:r>
        <w:rPr>
          <w:rFonts w:hint="eastAsia" w:ascii="仿宋_GB2312" w:hAnsi="Times New Roman" w:eastAsia="仿宋_GB2312" w:cs="Times New Roman"/>
          <w:color w:val="auto"/>
          <w:sz w:val="32"/>
          <w:szCs w:val="32"/>
          <w:highlight w:val="none"/>
          <w:lang w:val="zh-CN" w:eastAsia="zh-CN"/>
        </w:rPr>
        <w:t>公务用车</w:t>
      </w:r>
      <w:r>
        <w:rPr>
          <w:rFonts w:hint="eastAsia" w:ascii="仿宋_GB2312" w:hAnsi="Times New Roman" w:eastAsia="仿宋_GB2312" w:cs="Times New Roman"/>
          <w:color w:val="auto"/>
          <w:sz w:val="32"/>
          <w:szCs w:val="32"/>
          <w:highlight w:val="none"/>
          <w:lang w:val="en-US" w:eastAsia="zh-CN"/>
        </w:rPr>
        <w:t>保有量差异</w:t>
      </w:r>
      <w:r>
        <w:rPr>
          <w:rFonts w:hint="eastAsia" w:ascii="仿宋_GB2312" w:hAnsi="Times New Roman" w:eastAsia="仿宋_GB2312" w:cs="Times New Roman"/>
          <w:color w:val="auto"/>
          <w:sz w:val="32"/>
          <w:szCs w:val="32"/>
          <w:highlight w:val="none"/>
          <w:lang w:val="zh-CN" w:eastAsia="zh-CN"/>
        </w:rPr>
        <w:t>原因是：无差异。</w:t>
      </w:r>
    </w:p>
    <w:p w14:paraId="6B1F9C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50FB5EA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预算数13.80万元，决算数13.80万元，预决算差异率0.00%，主要原因是：</w:t>
      </w:r>
      <w:r>
        <w:rPr>
          <w:rFonts w:hint="eastAsia" w:ascii="仿宋_GB2312" w:eastAsia="仿宋_GB2312"/>
          <w:color w:val="auto"/>
          <w:sz w:val="32"/>
          <w:szCs w:val="32"/>
          <w:highlight w:val="none"/>
        </w:rPr>
        <w:t>严格执行中央八项规定精神，一是统筹干部职工路线安排，优化因公用车，非必要不使用公务用车的原则；二是公务出差检查非必要不接待</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预算数13.80万元，决算数13.80万元，预决算差异率0.00%，主要原因是：</w:t>
      </w:r>
      <w:r>
        <w:rPr>
          <w:rFonts w:hint="eastAsia" w:ascii="仿宋_GB2312" w:eastAsia="仿宋_GB2312"/>
          <w:color w:val="auto"/>
          <w:sz w:val="32"/>
          <w:szCs w:val="32"/>
          <w:highlight w:val="none"/>
        </w:rPr>
        <w:t>严格执行中央八项规定精神，一是统筹干部职工路线安排，优化因公用车，非必要不使用公务用车的原则；二是公务出差检查非必要不接待</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w:t>
      </w:r>
    </w:p>
    <w:p w14:paraId="1BE183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0C440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DC113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CD5FD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E5CB1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AFF8E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D8FB8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阿克苏水文勘测局（事业单位）公用经费支出100.29万元，</w:t>
      </w:r>
      <w:r>
        <w:rPr>
          <w:rFonts w:hint="eastAsia" w:ascii="Times New Roman" w:hAnsi="Times New Roman" w:eastAsia="仿宋_GB2312" w:cs="Times New Roman"/>
          <w:color w:val="auto"/>
          <w:sz w:val="32"/>
          <w:szCs w:val="32"/>
          <w:highlight w:val="none"/>
          <w:lang w:val="zh-CN" w:eastAsia="zh-CN"/>
        </w:rPr>
        <w:t>比上年减少90.25万元，下降47.36%，主要原因是：</w:t>
      </w:r>
      <w:r>
        <w:rPr>
          <w:rFonts w:hint="eastAsia" w:ascii="仿宋_GB2312" w:eastAsia="仿宋_GB2312"/>
          <w:color w:val="auto"/>
          <w:sz w:val="32"/>
          <w:szCs w:val="32"/>
          <w:highlight w:val="none"/>
        </w:rPr>
        <w:t>我单位使用以前年度财政拨款结转资金</w:t>
      </w:r>
      <w:r>
        <w:rPr>
          <w:rFonts w:hint="eastAsia" w:ascii="Times New Roman" w:hAnsi="Times New Roman" w:eastAsia="仿宋_GB2312" w:cs="Times New Roman"/>
          <w:color w:val="auto"/>
          <w:sz w:val="32"/>
          <w:szCs w:val="32"/>
          <w:highlight w:val="none"/>
          <w:lang w:val="en-US" w:eastAsia="zh-CN"/>
        </w:rPr>
        <w:t>。</w:t>
      </w:r>
    </w:p>
    <w:p w14:paraId="326689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E1A49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153.46万元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其中：政府采购货物支出96.90万元、政府采购工程支出26.98万元、政府采购服务支出29.59万元。</w:t>
      </w:r>
    </w:p>
    <w:p w14:paraId="6E363C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授予中小企业合同金额153.26万元，占政府采购支出总额的99.87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，其中：授予小微企业合同金额76.66万元，占政府采购支出总额的49.95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0D8D3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46EFC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2,977.02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屋14899.42平方米，价值1,001.22万元。车辆11辆，价值225.52万元，其中：副部（省）级及以上领导用车0辆、主要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用车0辆、其他用车11辆，其他用车主要是：</w:t>
      </w:r>
      <w:r>
        <w:rPr>
          <w:rFonts w:hint="eastAsia" w:ascii="仿宋_GB2312" w:eastAsia="仿宋_GB2312"/>
          <w:color w:val="auto"/>
          <w:sz w:val="32"/>
          <w:szCs w:val="32"/>
          <w:highlight w:val="none"/>
        </w:rPr>
        <w:t>水文测报巡测车辆和水质检测车辆</w:t>
      </w:r>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69A6C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F2196E5">
      <w:pPr>
        <w:keepNext w:val="0"/>
        <w:keepLines w:val="0"/>
        <w:pageBreakBefore w:val="0"/>
        <w:widowControl w:val="0"/>
        <w:kinsoku/>
        <w:wordWrap/>
        <w:overflowPunct/>
        <w:topLinePunct w:val="0"/>
        <w:bidi w:val="0"/>
        <w:adjustRightInd/>
        <w:snapToGrid/>
        <w:spacing w:line="240" w:lineRule="auto"/>
        <w:ind w:firstLine="620" w:firstLineChars="200"/>
        <w:jc w:val="left"/>
        <w:textAlignment w:val="auto"/>
        <w:rPr>
          <w:rFonts w:hint="eastAsia" w:ascii="仿宋_GB2312" w:hAnsi="宋体" w:eastAsia="仿宋_GB2312" w:cs="仿宋_GB2312"/>
          <w:i w:val="0"/>
          <w:caps w:val="0"/>
          <w:color w:val="auto"/>
          <w:spacing w:val="0"/>
          <w:sz w:val="31"/>
          <w:szCs w:val="31"/>
          <w:highlight w:val="none"/>
          <w:shd w:val="clear" w:fill="FFFFFF"/>
        </w:rPr>
      </w:pPr>
      <w:r>
        <w:rPr>
          <w:rFonts w:ascii="仿宋_GB2312" w:hAnsi="宋体" w:eastAsia="仿宋_GB2312" w:cs="仿宋_GB2312"/>
          <w:i w:val="0"/>
          <w:caps w:val="0"/>
          <w:color w:val="auto"/>
          <w:spacing w:val="0"/>
          <w:sz w:val="31"/>
          <w:szCs w:val="31"/>
          <w:highlight w:val="none"/>
          <w:shd w:val="clear" w:fill="FFFFFF"/>
        </w:rPr>
        <w:t>根据预算绩效管理要求，我</w:t>
      </w:r>
      <w:r>
        <w:rPr>
          <w:rFonts w:hint="eastAsia" w:ascii="仿宋_GB2312" w:hAnsi="宋体" w:eastAsia="仿宋_GB2312" w:cs="仿宋_GB2312"/>
          <w:i w:val="0"/>
          <w:caps w:val="0"/>
          <w:color w:val="auto"/>
          <w:spacing w:val="0"/>
          <w:sz w:val="31"/>
          <w:szCs w:val="31"/>
          <w:highlight w:val="none"/>
          <w:shd w:val="clear" w:fill="FFFFFF"/>
        </w:rPr>
        <w:t>单位2023年度预算绩效管理整体支出绩效自评表0个，全年预算总额0万元，实际执行总额0万元；预算绩效评价项目</w:t>
      </w:r>
      <w:r>
        <w:rPr>
          <w:rFonts w:hint="eastAsia" w:ascii="仿宋_GB2312" w:hAnsi="宋体" w:eastAsia="仿宋_GB2312" w:cs="仿宋_GB2312"/>
          <w:i w:val="0"/>
          <w:caps w:val="0"/>
          <w:color w:val="auto"/>
          <w:spacing w:val="0"/>
          <w:sz w:val="31"/>
          <w:szCs w:val="31"/>
          <w:highlight w:val="none"/>
          <w:shd w:val="clear" w:fill="FFFFFF"/>
          <w:lang w:val="en-US" w:eastAsia="zh-CN"/>
        </w:rPr>
        <w:t>2</w:t>
      </w:r>
      <w:r>
        <w:rPr>
          <w:rFonts w:hint="eastAsia" w:ascii="仿宋_GB2312" w:hAnsi="宋体" w:eastAsia="仿宋_GB2312" w:cs="仿宋_GB2312"/>
          <w:i w:val="0"/>
          <w:caps w:val="0"/>
          <w:color w:val="auto"/>
          <w:spacing w:val="0"/>
          <w:sz w:val="31"/>
          <w:szCs w:val="31"/>
          <w:highlight w:val="none"/>
          <w:shd w:val="clear" w:fill="FFFFFF"/>
        </w:rPr>
        <w:t>个，全年预算数</w:t>
      </w:r>
      <w:r>
        <w:rPr>
          <w:rFonts w:hint="eastAsia" w:ascii="仿宋_GB2312" w:eastAsia="仿宋_GB2312"/>
          <w:color w:val="auto"/>
          <w:sz w:val="32"/>
          <w:szCs w:val="32"/>
          <w:highlight w:val="none"/>
          <w:lang w:val="en-US" w:eastAsia="zh-CN"/>
        </w:rPr>
        <w:t>351</w:t>
      </w:r>
      <w:r>
        <w:rPr>
          <w:rFonts w:hint="eastAsia" w:ascii="仿宋_GB2312" w:hAnsi="宋体" w:eastAsia="仿宋_GB2312" w:cs="仿宋_GB2312"/>
          <w:i w:val="0"/>
          <w:caps w:val="0"/>
          <w:color w:val="auto"/>
          <w:spacing w:val="0"/>
          <w:sz w:val="31"/>
          <w:szCs w:val="31"/>
          <w:highlight w:val="none"/>
          <w:shd w:val="clear" w:fill="FFFFFF"/>
        </w:rPr>
        <w:t>万元，全年执行数</w:t>
      </w:r>
      <w:r>
        <w:rPr>
          <w:rFonts w:hint="eastAsia" w:ascii="仿宋_GB2312" w:eastAsia="仿宋_GB2312"/>
          <w:color w:val="auto"/>
          <w:sz w:val="32"/>
          <w:szCs w:val="32"/>
          <w:highlight w:val="none"/>
          <w:lang w:val="en-US" w:eastAsia="zh-CN"/>
        </w:rPr>
        <w:t>351</w:t>
      </w:r>
      <w:r>
        <w:rPr>
          <w:rFonts w:hint="eastAsia" w:ascii="仿宋_GB2312" w:hAnsi="宋体" w:eastAsia="仿宋_GB2312" w:cs="仿宋_GB2312"/>
          <w:i w:val="0"/>
          <w:caps w:val="0"/>
          <w:color w:val="auto"/>
          <w:spacing w:val="0"/>
          <w:sz w:val="31"/>
          <w:szCs w:val="31"/>
          <w:highlight w:val="none"/>
          <w:shd w:val="clear" w:fill="FFFFFF"/>
        </w:rPr>
        <w:t>万元。预算绩效管理取得的成效：一是保证测站基本工作的正常运行和开展；二是完成全区地表水、地下水、重要饮用水水源地水质监测站点的采样、监测任务，并对数据分析评价，形成2023年水质成果提交上级部门。局机关办公楼及测站站房、河道维修维护等工作、水质的监测工作等；三是保障托克逊供电线路水毁修复工程的完工；四是通过水文自身的组织建设，形成一支高效的、具有现代理念的职工队伍，提高干部队伍的综合素质，使水文工作更好地适应当前经济建设的需要。随着社会经济的快速发展，对水文业务管理工作提出了更高的要求，加强与提高水文业务管理工作，提高水文有偿服务，将会对今后的地区工农业生产、节水型社会建设、防洪抗旱、减灾和水资源有效合理开发利用提供高效优质的服务，同时也能加快水文事业发展的步伐。为推动地区的经济发展提供科学依据。同时落实关注民生为重点，力争创建自治区级精神文明建设单位，使单位精神文明建设工作迈上一个新台阶。发现的问题及原因：一是业务学习需进一步加强，科室工作任务重、种类多，经常遇到跨领域、跨专业的问题，难免存在力不从心、本领恐慌；二是只有不断提高自身的政治素养，紧跟时代步伐，不断学习更新知识，发挥团队精神，才能与岗位职责及要求相适，更好的服务与水文发展。下一步改进措施：一是坚持在读原著、学原文、悟原理上下功夫,努力领会吃透习近平总书记重要指示批示和最新讲话精神，深入挖掘《习近平谈治国理政》等经典著作深刻内涵，不断推动学习往深里走、往心里走、往实里走。二是紧扣我局党员干部思想实际，深入开展思想政治教育，坚定对马克思主义的信仰、对中国特色社会主义的信念，传承红色基因，增强</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四个意识</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，坚定</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四个自信</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，做到</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两个维护</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，自觉在思想上政治上行动上同以习近平同志为核心的党中央保持高度一致，始终忠诚于党、忠诚于人民、忠诚于马克思主义三是结合</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三会一课</w:t>
      </w:r>
      <w:r>
        <w:rPr>
          <w:rFonts w:hint="default" w:ascii="Times New Roman" w:hAnsi="Times New Roman" w:eastAsia="仿宋_GB2312" w:cs="Times New Roman"/>
          <w:i w:val="0"/>
          <w:caps w:val="0"/>
          <w:color w:val="auto"/>
          <w:spacing w:val="0"/>
          <w:sz w:val="31"/>
          <w:szCs w:val="31"/>
          <w:highlight w:val="none"/>
          <w:shd w:val="clear" w:fill="FFFFFF"/>
        </w:rPr>
        <w:t>”</w:t>
      </w:r>
      <w:r>
        <w:rPr>
          <w:rFonts w:hint="eastAsia" w:ascii="仿宋_GB2312" w:hAnsi="宋体" w:eastAsia="仿宋_GB2312" w:cs="仿宋_GB2312"/>
          <w:i w:val="0"/>
          <w:caps w:val="0"/>
          <w:color w:val="auto"/>
          <w:spacing w:val="0"/>
          <w:sz w:val="31"/>
          <w:szCs w:val="31"/>
          <w:highlight w:val="none"/>
          <w:shd w:val="clear" w:fill="FFFFFF"/>
        </w:rPr>
        <w:t>、民主评议党员、谈心谈话、民主生活会和组织生活会，组织党员干部开展经常性的自我检验自我革新，引导全体干部职工履职尽责，尽心尽力做好水文各项工作。具体项目自评情况附绩效自评表及自评报告。</w:t>
      </w:r>
    </w:p>
    <w:p w14:paraId="51E3615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2CA7B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C2248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FA87C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C30AE9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35E98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93DCA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502FA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AE4A4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AD7AA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A89C59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3357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41662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9F5A0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DB49A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8A2A9A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6CEFEA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5D6AB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7DDDB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028BE9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92AE6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74B5A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7C808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688BD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560C6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0087AD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60AF3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29E761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3ED8F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bookmarkEnd w:id="4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DA1A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21876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721876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2ZmU0Yjg4OWZhMWMzYTU0MzAyY2I2MTBkYTFkY2EifQ=="/>
    <w:docVar w:name="KSO_WPS_MARK_KEY" w:val="41ee2a61-2d54-4f93-83be-afdb9a40d732"/>
  </w:docVars>
  <w:rsids>
    <w:rsidRoot w:val="00000000"/>
    <w:rsid w:val="00213C59"/>
    <w:rsid w:val="003210CE"/>
    <w:rsid w:val="00B70D59"/>
    <w:rsid w:val="00F52A8D"/>
    <w:rsid w:val="019404F8"/>
    <w:rsid w:val="02A609C9"/>
    <w:rsid w:val="02BD3108"/>
    <w:rsid w:val="02F73D26"/>
    <w:rsid w:val="034D4FEF"/>
    <w:rsid w:val="035D1785"/>
    <w:rsid w:val="039F47CE"/>
    <w:rsid w:val="03E05CE8"/>
    <w:rsid w:val="03F973EE"/>
    <w:rsid w:val="043E5B56"/>
    <w:rsid w:val="04642403"/>
    <w:rsid w:val="04C04386"/>
    <w:rsid w:val="04D96608"/>
    <w:rsid w:val="04FA68C4"/>
    <w:rsid w:val="053F5AE6"/>
    <w:rsid w:val="057C0B0F"/>
    <w:rsid w:val="05EF4B48"/>
    <w:rsid w:val="05F76ECA"/>
    <w:rsid w:val="06792773"/>
    <w:rsid w:val="07093795"/>
    <w:rsid w:val="07316DCD"/>
    <w:rsid w:val="07804730"/>
    <w:rsid w:val="079052BE"/>
    <w:rsid w:val="07DF5E61"/>
    <w:rsid w:val="08145C21"/>
    <w:rsid w:val="08271008"/>
    <w:rsid w:val="08422688"/>
    <w:rsid w:val="085854ED"/>
    <w:rsid w:val="0879188F"/>
    <w:rsid w:val="08A0354D"/>
    <w:rsid w:val="08CD4C49"/>
    <w:rsid w:val="08F71A98"/>
    <w:rsid w:val="09114954"/>
    <w:rsid w:val="095A5B83"/>
    <w:rsid w:val="096466E3"/>
    <w:rsid w:val="0968304D"/>
    <w:rsid w:val="09AF3D17"/>
    <w:rsid w:val="0A7809B7"/>
    <w:rsid w:val="0A7B4867"/>
    <w:rsid w:val="0A840954"/>
    <w:rsid w:val="0A9928ED"/>
    <w:rsid w:val="0B4D11A5"/>
    <w:rsid w:val="0B61769D"/>
    <w:rsid w:val="0B8C3ECC"/>
    <w:rsid w:val="0B9C639D"/>
    <w:rsid w:val="0BB052B2"/>
    <w:rsid w:val="0BD33FFC"/>
    <w:rsid w:val="0BE97AC1"/>
    <w:rsid w:val="0C1C4780"/>
    <w:rsid w:val="0C3613A3"/>
    <w:rsid w:val="0C5E519C"/>
    <w:rsid w:val="0C7227A7"/>
    <w:rsid w:val="0CA52EE8"/>
    <w:rsid w:val="0CBD6988"/>
    <w:rsid w:val="0CD208AC"/>
    <w:rsid w:val="0D4252AC"/>
    <w:rsid w:val="0D4903E8"/>
    <w:rsid w:val="0D7A4A46"/>
    <w:rsid w:val="0E640559"/>
    <w:rsid w:val="0F1113DA"/>
    <w:rsid w:val="0F78534A"/>
    <w:rsid w:val="0F89358A"/>
    <w:rsid w:val="0F8C6D51"/>
    <w:rsid w:val="0FD50659"/>
    <w:rsid w:val="105B0B5E"/>
    <w:rsid w:val="112E58D0"/>
    <w:rsid w:val="11731CAC"/>
    <w:rsid w:val="119500A0"/>
    <w:rsid w:val="11C0733B"/>
    <w:rsid w:val="11D50D17"/>
    <w:rsid w:val="120E0809"/>
    <w:rsid w:val="127F665A"/>
    <w:rsid w:val="12F7068C"/>
    <w:rsid w:val="14207DC0"/>
    <w:rsid w:val="14294AD0"/>
    <w:rsid w:val="144C07BE"/>
    <w:rsid w:val="148C5A5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F2402A"/>
    <w:rsid w:val="190648B0"/>
    <w:rsid w:val="19071D6C"/>
    <w:rsid w:val="19D26CD4"/>
    <w:rsid w:val="19E60D19"/>
    <w:rsid w:val="1A3E3450"/>
    <w:rsid w:val="1A5431B1"/>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383550"/>
    <w:rsid w:val="27907EE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BC76C50"/>
    <w:rsid w:val="2C640943"/>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D06FEC"/>
    <w:rsid w:val="353369E3"/>
    <w:rsid w:val="357C6CFE"/>
    <w:rsid w:val="35E00D72"/>
    <w:rsid w:val="36965B9D"/>
    <w:rsid w:val="36C549FD"/>
    <w:rsid w:val="37A755DD"/>
    <w:rsid w:val="37DF4461"/>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B555FD"/>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307948"/>
    <w:rsid w:val="47445515"/>
    <w:rsid w:val="474B4782"/>
    <w:rsid w:val="47D90D14"/>
    <w:rsid w:val="481B2035"/>
    <w:rsid w:val="48387FB0"/>
    <w:rsid w:val="483A6114"/>
    <w:rsid w:val="488727DB"/>
    <w:rsid w:val="48B82268"/>
    <w:rsid w:val="48C354B3"/>
    <w:rsid w:val="493D58B5"/>
    <w:rsid w:val="494A7A04"/>
    <w:rsid w:val="4A0A26D2"/>
    <w:rsid w:val="4A1452FF"/>
    <w:rsid w:val="4A2019A5"/>
    <w:rsid w:val="4A241A0B"/>
    <w:rsid w:val="4A3540DC"/>
    <w:rsid w:val="4A7B2875"/>
    <w:rsid w:val="4A934476"/>
    <w:rsid w:val="4AAA220A"/>
    <w:rsid w:val="4AE12E67"/>
    <w:rsid w:val="4B4C0111"/>
    <w:rsid w:val="4B8553A9"/>
    <w:rsid w:val="4BDB3730"/>
    <w:rsid w:val="4C200F7A"/>
    <w:rsid w:val="4CEE3180"/>
    <w:rsid w:val="4D0F4AF6"/>
    <w:rsid w:val="4DBE57D9"/>
    <w:rsid w:val="4DF94F37"/>
    <w:rsid w:val="4E0A1DD5"/>
    <w:rsid w:val="4E3160E5"/>
    <w:rsid w:val="4E4D37AF"/>
    <w:rsid w:val="4E8C6496"/>
    <w:rsid w:val="4EFD18DE"/>
    <w:rsid w:val="4F144236"/>
    <w:rsid w:val="4F663C87"/>
    <w:rsid w:val="4F7E29A8"/>
    <w:rsid w:val="4F9E1FFC"/>
    <w:rsid w:val="50416722"/>
    <w:rsid w:val="50447CC2"/>
    <w:rsid w:val="50782506"/>
    <w:rsid w:val="50874A7C"/>
    <w:rsid w:val="50895EE7"/>
    <w:rsid w:val="50921B9D"/>
    <w:rsid w:val="50D16158"/>
    <w:rsid w:val="50DB5F45"/>
    <w:rsid w:val="51025EB1"/>
    <w:rsid w:val="51141503"/>
    <w:rsid w:val="514F0D25"/>
    <w:rsid w:val="518D0ED5"/>
    <w:rsid w:val="525C687F"/>
    <w:rsid w:val="52F647F7"/>
    <w:rsid w:val="52F92565"/>
    <w:rsid w:val="53D03877"/>
    <w:rsid w:val="542F73CA"/>
    <w:rsid w:val="5430786D"/>
    <w:rsid w:val="545A1D2A"/>
    <w:rsid w:val="54A550AD"/>
    <w:rsid w:val="54C811C0"/>
    <w:rsid w:val="55217DB8"/>
    <w:rsid w:val="556A442D"/>
    <w:rsid w:val="55805F3E"/>
    <w:rsid w:val="55DA564E"/>
    <w:rsid w:val="5604127D"/>
    <w:rsid w:val="56166703"/>
    <w:rsid w:val="56510474"/>
    <w:rsid w:val="56861525"/>
    <w:rsid w:val="56A93273"/>
    <w:rsid w:val="56BD550C"/>
    <w:rsid w:val="56E07045"/>
    <w:rsid w:val="56FF28AF"/>
    <w:rsid w:val="57540E7D"/>
    <w:rsid w:val="577B4878"/>
    <w:rsid w:val="57926973"/>
    <w:rsid w:val="579E445A"/>
    <w:rsid w:val="58175352"/>
    <w:rsid w:val="581F2200"/>
    <w:rsid w:val="583059FA"/>
    <w:rsid w:val="584A0929"/>
    <w:rsid w:val="58CD2491"/>
    <w:rsid w:val="591B41B2"/>
    <w:rsid w:val="59254A26"/>
    <w:rsid w:val="59326325"/>
    <w:rsid w:val="595C505B"/>
    <w:rsid w:val="595E55C3"/>
    <w:rsid w:val="596E7E20"/>
    <w:rsid w:val="59DF1899"/>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25ECE"/>
    <w:rsid w:val="603D5080"/>
    <w:rsid w:val="60D0261B"/>
    <w:rsid w:val="60FD4AF8"/>
    <w:rsid w:val="61630BEE"/>
    <w:rsid w:val="618E3791"/>
    <w:rsid w:val="61947DCA"/>
    <w:rsid w:val="61A46A97"/>
    <w:rsid w:val="61D1382F"/>
    <w:rsid w:val="61DC6C55"/>
    <w:rsid w:val="61F114A2"/>
    <w:rsid w:val="62166B15"/>
    <w:rsid w:val="62512BB4"/>
    <w:rsid w:val="625D7D1A"/>
    <w:rsid w:val="626069A6"/>
    <w:rsid w:val="62B5100F"/>
    <w:rsid w:val="62DD7D21"/>
    <w:rsid w:val="62EC076F"/>
    <w:rsid w:val="637D586B"/>
    <w:rsid w:val="63A5560B"/>
    <w:rsid w:val="63E9091F"/>
    <w:rsid w:val="64322AF9"/>
    <w:rsid w:val="64D6010D"/>
    <w:rsid w:val="64D82665"/>
    <w:rsid w:val="64E47C96"/>
    <w:rsid w:val="651E5741"/>
    <w:rsid w:val="658A4877"/>
    <w:rsid w:val="65A00902"/>
    <w:rsid w:val="65AC6EDD"/>
    <w:rsid w:val="65D97752"/>
    <w:rsid w:val="65F77B57"/>
    <w:rsid w:val="66085536"/>
    <w:rsid w:val="66105BF7"/>
    <w:rsid w:val="66150023"/>
    <w:rsid w:val="6628010D"/>
    <w:rsid w:val="669B4528"/>
    <w:rsid w:val="66CC12D7"/>
    <w:rsid w:val="67134CEF"/>
    <w:rsid w:val="671F1ABD"/>
    <w:rsid w:val="67521A59"/>
    <w:rsid w:val="676E5BF7"/>
    <w:rsid w:val="67C304AB"/>
    <w:rsid w:val="68273FF7"/>
    <w:rsid w:val="683F0658"/>
    <w:rsid w:val="689C6793"/>
    <w:rsid w:val="68DB0208"/>
    <w:rsid w:val="68FB170C"/>
    <w:rsid w:val="691B3D98"/>
    <w:rsid w:val="693748F0"/>
    <w:rsid w:val="69846A0E"/>
    <w:rsid w:val="699A2094"/>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4941D2"/>
    <w:rsid w:val="70960D72"/>
    <w:rsid w:val="70AA6621"/>
    <w:rsid w:val="7111480F"/>
    <w:rsid w:val="711D6AE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DE46D3"/>
    <w:rsid w:val="77ED6F44"/>
    <w:rsid w:val="77F45548"/>
    <w:rsid w:val="78067775"/>
    <w:rsid w:val="782567A5"/>
    <w:rsid w:val="784E7CA6"/>
    <w:rsid w:val="78574801"/>
    <w:rsid w:val="7873527F"/>
    <w:rsid w:val="78CE2999"/>
    <w:rsid w:val="790A6425"/>
    <w:rsid w:val="790E2D96"/>
    <w:rsid w:val="791B54B2"/>
    <w:rsid w:val="795A0A34"/>
    <w:rsid w:val="797339C3"/>
    <w:rsid w:val="79D57D57"/>
    <w:rsid w:val="79F00650"/>
    <w:rsid w:val="7A6242BF"/>
    <w:rsid w:val="7A794513"/>
    <w:rsid w:val="7AE952D2"/>
    <w:rsid w:val="7BFC781D"/>
    <w:rsid w:val="7C7248A0"/>
    <w:rsid w:val="7C976D69"/>
    <w:rsid w:val="7CAB2FF1"/>
    <w:rsid w:val="7CD752DA"/>
    <w:rsid w:val="7CDE40AB"/>
    <w:rsid w:val="7CF057E2"/>
    <w:rsid w:val="7D1548B5"/>
    <w:rsid w:val="7DF84014"/>
    <w:rsid w:val="7E207949"/>
    <w:rsid w:val="7E5C0A47"/>
    <w:rsid w:val="7E670C75"/>
    <w:rsid w:val="7E920F44"/>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6448</Words>
  <Characters>7286</Characters>
  <Lines>0</Lines>
  <Paragraphs>0</Paragraphs>
  <TotalTime>9</TotalTime>
  <ScaleCrop>false</ScaleCrop>
  <LinksUpToDate>false</LinksUpToDate>
  <CharactersWithSpaces>7298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荇雲流水</cp:lastModifiedBy>
  <dcterms:modified xsi:type="dcterms:W3CDTF">2024-08-30T10:42:17Z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39927AA87E4548DDB753A16B071565CF</vt:lpwstr>
  </property>
</Properties>
</file>