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D7E4BD" w:themeColor="accent3" w:themeTint="66"/>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石河子水文勘测局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spacing w:line="540" w:lineRule="exact"/>
        <w:ind w:firstLine="729" w:firstLineChars="243"/>
        <w:rPr>
          <w:rFonts w:hint="eastAsia" w:ascii="仿宋_GB2312" w:eastAsia="仿宋_GB2312"/>
          <w:color w:val="auto"/>
          <w:sz w:val="32"/>
          <w:szCs w:val="32"/>
          <w:highlight w:val="none"/>
        </w:rPr>
      </w:pPr>
      <w:r>
        <w:rPr>
          <w:rFonts w:hint="eastAsia" w:ascii="仿宋" w:hAnsi="仿宋" w:eastAsia="仿宋" w:cs="仿宋"/>
          <w:color w:val="000000"/>
          <w:kern w:val="0"/>
          <w:sz w:val="30"/>
          <w:szCs w:val="30"/>
        </w:rPr>
        <w:t>石河子水文勘测局担负着玛纳斯</w:t>
      </w:r>
      <w:r>
        <w:rPr>
          <w:rFonts w:hint="eastAsia" w:ascii="仿宋" w:hAnsi="仿宋" w:eastAsia="仿宋" w:cs="仿宋"/>
          <w:color w:val="000000"/>
          <w:kern w:val="0"/>
          <w:sz w:val="30"/>
          <w:szCs w:val="30"/>
          <w:lang w:val="en-US" w:eastAsia="zh-CN"/>
        </w:rPr>
        <w:t>河</w:t>
      </w:r>
      <w:r>
        <w:rPr>
          <w:rFonts w:hint="eastAsia" w:ascii="仿宋" w:hAnsi="仿宋" w:eastAsia="仿宋" w:cs="仿宋"/>
          <w:color w:val="000000"/>
          <w:kern w:val="0"/>
          <w:sz w:val="30"/>
          <w:szCs w:val="30"/>
        </w:rPr>
        <w:t>、塔西河、金沟河流域的地表水水量和水质的监测、收集和分析研究水资源量和水质质量资料信息反其动态变化规律，防洪抗旱水文情报预报，水资源调查评价，工程水文设计分析，为水资源合理利用与规划的前期服务等任务，是为石河子市、沙湾县、玛纳斯县的国民经济建设积累和提供水文信息服务的尖兵。为新疆水利厅驻第八师石河子市水文水资源信息资料长观收集、分析整理、规律研究的专业单位，是具有地区水文行业管理职能和行政管理职能的正县级全额预算的公益一类事业单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石河子水文勘测局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77</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42</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35</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7</w:t>
      </w:r>
      <w:r>
        <w:rPr>
          <w:rFonts w:hint="eastAsia" w:ascii="仿宋_GB2312" w:hAnsi="黑体" w:eastAsia="仿宋_GB2312" w:cs="宋体"/>
          <w:bCs/>
          <w:color w:val="auto"/>
          <w:kern w:val="0"/>
          <w:sz w:val="32"/>
          <w:szCs w:val="32"/>
          <w:highlight w:val="none"/>
        </w:rPr>
        <w:t>个</w:t>
      </w:r>
      <w:r>
        <w:rPr>
          <w:rFonts w:hint="eastAsia" w:ascii="仿宋_GB2312" w:hAnsi="黑体" w:eastAsia="仿宋_GB2312" w:cs="宋体"/>
          <w:bCs/>
          <w:color w:val="auto"/>
          <w:kern w:val="0"/>
          <w:sz w:val="32"/>
          <w:szCs w:val="32"/>
          <w:highlight w:val="none"/>
          <w:lang w:val="en-US" w:eastAsia="zh-CN"/>
        </w:rPr>
        <w:t>科</w:t>
      </w:r>
      <w:r>
        <w:rPr>
          <w:rFonts w:hint="eastAsia" w:ascii="仿宋_GB2312" w:hAnsi="黑体" w:eastAsia="仿宋_GB2312" w:cs="宋体"/>
          <w:bCs/>
          <w:color w:val="auto"/>
          <w:kern w:val="0"/>
          <w:sz w:val="32"/>
          <w:szCs w:val="32"/>
          <w:highlight w:val="none"/>
        </w:rPr>
        <w:t>室，分别是：</w:t>
      </w:r>
      <w:r>
        <w:rPr>
          <w:rFonts w:hint="eastAsia" w:ascii="仿宋" w:hAnsi="仿宋" w:eastAsia="仿宋" w:cs="仿宋"/>
          <w:color w:val="000000"/>
          <w:kern w:val="0"/>
          <w:sz w:val="30"/>
          <w:szCs w:val="30"/>
        </w:rPr>
        <w:t>党建科、行政办公室、测验整编科、水情科、信息科、技术科、水环境监测分中心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1,407.84万元，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1,290.29万元，使用非财政拨款结余80.00万元，年初结转和结余37.55万元。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1,407.84万元，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1,335.86万元，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62.00万元，年末结转和结余9.98万元。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增加146.34万元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增长11.60%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市场环境稳定，水文技术服务机会多</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1,290.29</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1,120.26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86.82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169.71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13.15</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0.32</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0.02</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本年支出1,335.86万元，其中：基本支出1,126.16万元，占84.30%；项目支出102.00万元，占7.64%；上缴上级支出0.00万元，占0.00%；经营支出107.71万元，占8.06%；对附属单位补助支出0.00万元，占0.00%。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1,157.81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37.55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1,120.26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1,157.81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9.98</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1,147.83</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增加11.72万元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增长1.02%，</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2023年增加了人员经费</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1,002.81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1,157.81</w:t>
      </w:r>
      <w:r>
        <w:rPr>
          <w:rFonts w:hint="eastAsia" w:ascii="仿宋_GB2312" w:eastAsia="仿宋_GB2312"/>
          <w:color w:val="auto"/>
          <w:spacing w:val="0"/>
          <w:sz w:val="32"/>
          <w:szCs w:val="32"/>
          <w:highlight w:val="none"/>
          <w:lang w:eastAsia="zh-CN"/>
        </w:rPr>
        <w:t>万元，预决算差异率15.46%，主要原因是：</w:t>
      </w:r>
      <w:r>
        <w:rPr>
          <w:rFonts w:hint="eastAsia" w:ascii="仿宋_GB2312" w:eastAsia="仿宋_GB2312"/>
          <w:color w:val="auto"/>
          <w:spacing w:val="0"/>
          <w:sz w:val="32"/>
          <w:szCs w:val="32"/>
          <w:highlight w:val="none"/>
          <w:lang w:val="en-US" w:eastAsia="zh-CN"/>
        </w:rPr>
        <w:t>2023年中追加了人员工资</w:t>
      </w:r>
      <w:r>
        <w:rPr>
          <w:rFonts w:hint="eastAsia" w:ascii="仿宋_GB2312" w:eastAsia="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2023年度一般公共预算财政拨款支出1,147.83万元，占本年支出合计的</w:t>
      </w:r>
      <w:r>
        <w:rPr>
          <w:rFonts w:hint="eastAsia" w:ascii="仿宋_GB2312" w:eastAsia="仿宋_GB2312"/>
          <w:color w:val="auto"/>
          <w:spacing w:val="0"/>
          <w:sz w:val="32"/>
          <w:szCs w:val="32"/>
          <w:highlight w:val="none"/>
          <w:lang w:val="zh-CN" w:eastAsia="zh-CN"/>
        </w:rPr>
        <w:t>85.92%</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增加39.29万元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增长3.54%，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2023年中追加了人员工资</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1,002.81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1,147.83</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14.46%</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2023年中追加了人员工资</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161.40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14.06</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77.25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6.73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845.25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73.64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63.93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5.57</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1.卫生健康支出（类）行政事业单位医疗（款）事业单位医疗（项）:支出决算数为39.96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33.63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45.70%，主要原因是：</w:t>
      </w:r>
      <w:r>
        <w:rPr>
          <w:rFonts w:hint="eastAsia" w:eastAsia="仿宋_GB2312" w:cs="Times New Roman"/>
          <w:color w:val="auto"/>
          <w:kern w:val="2"/>
          <w:sz w:val="32"/>
          <w:szCs w:val="32"/>
          <w:highlight w:val="none"/>
          <w:lang w:val="en-US" w:eastAsia="zh-CN" w:bidi="ar-SA"/>
        </w:rPr>
        <w:t>因自治区要求收回基本医疗单位缴费部分</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2.农林水支出（类）水利（款）水文测报（项）:支出决算数为788.25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31.34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3.82%，主要原因是：</w:t>
      </w:r>
      <w:r>
        <w:rPr>
          <w:rFonts w:hint="eastAsia" w:eastAsia="仿宋_GB2312" w:cs="Times New Roman"/>
          <w:color w:val="auto"/>
          <w:kern w:val="2"/>
          <w:sz w:val="32"/>
          <w:szCs w:val="32"/>
          <w:highlight w:val="none"/>
          <w:lang w:val="en-US" w:eastAsia="zh-CN" w:bidi="ar-SA"/>
        </w:rPr>
        <w:t>因工作任务调整，此项支出有所减少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3.卫生健康支出（类）行政事业单位医疗（款）公务员医疗补助（项）:支出决算数为37.29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37.29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上年度误将公务员医疗补助并入事业单位医疗中核算</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4.住房保障支出（类）住房改革支出（款）住房公积金（项）:支出决算数为63.93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6.29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10.91%，主要原因是：</w:t>
      </w:r>
      <w:r>
        <w:rPr>
          <w:rFonts w:hint="eastAsia" w:eastAsia="仿宋_GB2312" w:cs="Times New Roman"/>
          <w:color w:val="auto"/>
          <w:kern w:val="2"/>
          <w:sz w:val="32"/>
          <w:szCs w:val="32"/>
          <w:highlight w:val="none"/>
          <w:lang w:val="en-US" w:eastAsia="zh-CN" w:bidi="ar-SA"/>
        </w:rPr>
        <w:t>公积金缴费基数提高</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5.社会保障和就业支出（类）行政事业单位养老支出（款）事业单位离退休（项）:支出决算数为66.21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2.29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3.35%，主要原因是：</w:t>
      </w:r>
      <w:r>
        <w:rPr>
          <w:rFonts w:hint="eastAsia" w:eastAsia="仿宋_GB2312" w:cs="Times New Roman"/>
          <w:color w:val="auto"/>
          <w:kern w:val="2"/>
          <w:sz w:val="32"/>
          <w:szCs w:val="32"/>
          <w:highlight w:val="none"/>
          <w:lang w:val="en-US" w:eastAsia="zh-CN" w:bidi="ar-SA"/>
        </w:rPr>
        <w:t>2023年退休人员死亡3人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6.农林水支出（类）水利（款）水资源节约管理与保护（项）:支出决算数为57.00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57.00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今年上级安排了水资源节约管理与保护的工作</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7.社会保障和就业支出（类）行政事业单位养老支出（款）机关事业单位职业年金缴费支出（项）:支出决算数为9.95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2.41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19.51%，主要原因是：</w:t>
      </w:r>
      <w:r>
        <w:rPr>
          <w:rFonts w:hint="eastAsia" w:eastAsia="仿宋_GB2312" w:cs="Times New Roman"/>
          <w:color w:val="auto"/>
          <w:kern w:val="2"/>
          <w:sz w:val="32"/>
          <w:szCs w:val="32"/>
          <w:highlight w:val="none"/>
          <w:lang w:val="en-US" w:eastAsia="zh-CN" w:bidi="ar-SA"/>
        </w:rPr>
        <w:t>1人退休，3人调出职业年金缴费比上年少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8.社会保障和就业支出（类）行政事业单位养老支出（款）机关事业单位基本养老保险缴费支出（项）:支出决算数为85.25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8.38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10.91%，主要原因是：</w:t>
      </w:r>
      <w:r>
        <w:rPr>
          <w:rFonts w:hint="eastAsia" w:eastAsia="仿宋_GB2312" w:cs="Times New Roman"/>
          <w:color w:val="auto"/>
          <w:kern w:val="2"/>
          <w:sz w:val="32"/>
          <w:szCs w:val="32"/>
          <w:highlight w:val="none"/>
          <w:lang w:val="en-US" w:eastAsia="zh-CN" w:bidi="ar-SA"/>
        </w:rPr>
        <w:t>2023年增加了人员经费，养老保险支出增加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1,045.83</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989.74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抚恤金、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56.09</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办公费、水费、电费、邮电费、取暖费、差旅费、公务接待费、工会经费、福利费、公务用车运行维护费、其他商品和服务支出。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“三公”经费支出3.86万元，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减少0.00万元，下降0.0</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严格控制“三公”经费支出</w:t>
      </w:r>
      <w:r>
        <w:rPr>
          <w:rFonts w:hint="eastAsia" w:ascii="仿宋_GB2312" w:eastAsia="仿宋_GB2312"/>
          <w:color w:val="auto"/>
          <w:sz w:val="32"/>
          <w:szCs w:val="32"/>
          <w:highlight w:val="none"/>
          <w:lang w:val="zh-CN" w:eastAsia="zh-CN"/>
        </w:rPr>
        <w:t>。其中：因公出国（境）费支出0.00万元，占</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%，比上年增加</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万元，增长</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%，主要原因是：无因公出国（境）费；公务用车购置及运行维护费支出3.74万元，占96.84%，比上年增加0.00万元，增长0.00%，主要原因是：</w:t>
      </w:r>
      <w:r>
        <w:rPr>
          <w:rFonts w:hint="eastAsia" w:ascii="仿宋_GB2312" w:eastAsia="仿宋_GB2312"/>
          <w:color w:val="auto"/>
          <w:sz w:val="32"/>
          <w:szCs w:val="32"/>
          <w:highlight w:val="none"/>
          <w:lang w:val="en-US" w:eastAsia="zh-CN"/>
        </w:rPr>
        <w:t>严格控制“三公”经费支出</w:t>
      </w:r>
      <w:r>
        <w:rPr>
          <w:rFonts w:hint="eastAsia" w:ascii="仿宋_GB2312" w:eastAsia="仿宋_GB2312"/>
          <w:color w:val="auto"/>
          <w:sz w:val="32"/>
          <w:szCs w:val="32"/>
          <w:highlight w:val="none"/>
          <w:lang w:val="zh-CN" w:eastAsia="zh-CN"/>
        </w:rPr>
        <w:t>；公务接待费支出0.12万元，占3.16%，比上年减少0.00万元，下降0.</w:t>
      </w:r>
      <w:r>
        <w:rPr>
          <w:rFonts w:hint="eastAsia" w:ascii="仿宋_GB2312" w:eastAsia="仿宋_GB2312"/>
          <w:color w:val="auto"/>
          <w:sz w:val="32"/>
          <w:szCs w:val="32"/>
          <w:highlight w:val="none"/>
          <w:lang w:val="en-US" w:eastAsia="zh-CN"/>
        </w:rPr>
        <w:t>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highlight w:val="none"/>
          <w:lang w:val="en-US" w:eastAsia="zh-CN"/>
        </w:rPr>
        <w:t>严格控制“三公”经费支出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w:t>
      </w:r>
      <w:r>
        <w:rPr>
          <w:rFonts w:hint="eastAsia" w:ascii="仿宋_GB2312" w:eastAsia="仿宋_GB2312"/>
          <w:color w:val="auto"/>
          <w:sz w:val="32"/>
          <w:szCs w:val="32"/>
          <w:highlight w:val="none"/>
          <w:lang w:val="en-US" w:eastAsia="zh-CN"/>
        </w:rPr>
        <w:t>0.00</w:t>
      </w:r>
      <w:r>
        <w:rPr>
          <w:rFonts w:hint="eastAsia" w:ascii="仿宋_GB2312" w:eastAsia="仿宋_GB2312"/>
          <w:color w:val="auto"/>
          <w:sz w:val="32"/>
          <w:szCs w:val="32"/>
          <w:highlight w:val="none"/>
          <w:lang w:val="zh-CN" w:eastAsia="zh-CN"/>
        </w:rPr>
        <w:t>万元，开支内容包括无此项支出。单位全年安排的因公出国（境）团组</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个，因公出国（境）</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val="zh-CN" w:eastAsia="zh-CN"/>
        </w:rPr>
        <w:t>人次。</w:t>
      </w:r>
      <w:bookmarkStart w:id="48" w:name="_GoBack"/>
      <w:bookmarkEnd w:id="48"/>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公务用车购置及运行维护费3.74万元，其中：公务用车购置费0.00万元，公务用车运行维护费3.74万元。公务用车运行维护费开支内容包括</w:t>
      </w:r>
      <w:r>
        <w:rPr>
          <w:rFonts w:hint="eastAsia" w:ascii="仿宋_GB2312" w:eastAsia="仿宋_GB2312"/>
          <w:color w:val="auto"/>
          <w:sz w:val="32"/>
          <w:szCs w:val="32"/>
          <w:highlight w:val="none"/>
          <w:lang w:val="en-US" w:eastAsia="zh-CN"/>
        </w:rPr>
        <w:t>车辆燃油费、车辆维修费、车辆保险费、车辆过路费、车辆停车费</w:t>
      </w:r>
      <w:r>
        <w:rPr>
          <w:rFonts w:hint="eastAsia" w:ascii="仿宋_GB2312" w:eastAsia="仿宋_GB2312"/>
          <w:color w:val="auto"/>
          <w:sz w:val="32"/>
          <w:szCs w:val="32"/>
          <w:highlight w:val="none"/>
          <w:lang w:val="zh-CN" w:eastAsia="zh-CN"/>
        </w:rPr>
        <w:t>。公务用车购置数0辆，公务用车保有量3辆。国有资产占用情况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3辆，</w:t>
      </w:r>
      <w:r>
        <w:rPr>
          <w:rFonts w:hint="eastAsia" w:ascii="仿宋_GB2312" w:eastAsia="仿宋_GB2312"/>
          <w:color w:val="auto"/>
          <w:sz w:val="32"/>
          <w:szCs w:val="32"/>
          <w:highlight w:val="none"/>
          <w:lang w:val="en-US" w:eastAsia="zh-CN"/>
        </w:rPr>
        <w:t>与公务用车保有量差异原因是：无差异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公务接待费0.12万元，开支内容包括</w:t>
      </w:r>
      <w:r>
        <w:rPr>
          <w:rFonts w:hint="eastAsia" w:ascii="仿宋_GB2312" w:eastAsia="仿宋_GB2312"/>
          <w:color w:val="auto"/>
          <w:sz w:val="32"/>
          <w:szCs w:val="32"/>
          <w:highlight w:val="none"/>
          <w:lang w:val="en-US" w:eastAsia="zh-CN"/>
        </w:rPr>
        <w:t>上级检查工作进行接待就餐，同系统单位交流学习接待就餐</w:t>
      </w:r>
      <w:r>
        <w:rPr>
          <w:rFonts w:hint="eastAsia" w:ascii="仿宋_GB2312" w:eastAsia="仿宋_GB2312"/>
          <w:color w:val="auto"/>
          <w:sz w:val="32"/>
          <w:szCs w:val="32"/>
          <w:highlight w:val="none"/>
          <w:lang w:val="zh-CN" w:eastAsia="zh-CN"/>
        </w:rPr>
        <w:t>。单位全年安排的国内公务接待3批次，19人次。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预算数3.86万元，决算数3.86万元，预决算差异率0.00%，主要原因是：</w:t>
      </w:r>
      <w:r>
        <w:rPr>
          <w:rFonts w:hint="eastAsia" w:ascii="仿宋_GB2312" w:eastAsia="仿宋_GB2312"/>
          <w:color w:val="auto"/>
          <w:sz w:val="32"/>
          <w:szCs w:val="32"/>
          <w:highlight w:val="none"/>
          <w:lang w:val="en-US" w:eastAsia="zh-CN"/>
        </w:rPr>
        <w:t>保持一致无差异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保持一致无差异</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color w:val="auto"/>
          <w:sz w:val="32"/>
          <w:szCs w:val="32"/>
          <w:highlight w:val="none"/>
          <w:lang w:val="en-US" w:eastAsia="zh-CN"/>
        </w:rPr>
        <w:t>保持一致无差异</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预算数3.74万元，决算数3.74万元，预决算差异率0.00%，主要原因是：</w:t>
      </w:r>
      <w:r>
        <w:rPr>
          <w:rFonts w:hint="eastAsia" w:ascii="仿宋_GB2312" w:eastAsia="仿宋_GB2312"/>
          <w:color w:val="auto"/>
          <w:sz w:val="32"/>
          <w:szCs w:val="32"/>
          <w:highlight w:val="none"/>
          <w:lang w:val="en-US" w:eastAsia="zh-CN"/>
        </w:rPr>
        <w:t>保持一致无差异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预算数0.12万元，决算数0.12万元，预决算差异率0.00%，主要原因是：</w:t>
      </w:r>
      <w:r>
        <w:rPr>
          <w:rFonts w:hint="eastAsia" w:ascii="仿宋_GB2312" w:eastAsia="仿宋_GB2312"/>
          <w:color w:val="auto"/>
          <w:sz w:val="32"/>
          <w:szCs w:val="32"/>
          <w:highlight w:val="none"/>
          <w:lang w:val="en-US" w:eastAsia="zh-CN"/>
        </w:rPr>
        <w:t>保持一致无差异</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石河子水文勘测局</w:t>
      </w:r>
      <w:r>
        <w:rPr>
          <w:rFonts w:hint="eastAsia" w:ascii="Times New Roman" w:hAnsi="Times New Roman" w:eastAsia="仿宋_GB2312" w:cs="Times New Roman"/>
          <w:color w:val="auto"/>
          <w:sz w:val="32"/>
          <w:szCs w:val="32"/>
          <w:highlight w:val="none"/>
          <w:lang w:val="zh-CN" w:eastAsia="zh-CN"/>
        </w:rPr>
        <w:t>（事业单位）公用经费支出56.09万元，比上年增加3.79万元，增长7.25%，主要原因是：</w:t>
      </w:r>
      <w:r>
        <w:rPr>
          <w:rFonts w:hint="eastAsia" w:eastAsia="仿宋_GB2312" w:cs="Times New Roman"/>
          <w:color w:val="auto"/>
          <w:sz w:val="32"/>
          <w:szCs w:val="32"/>
          <w:highlight w:val="none"/>
          <w:lang w:val="en-US" w:eastAsia="zh-CN"/>
        </w:rPr>
        <w:t>办公费、福利费比上年有所增加</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33.52万元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其中：政府采购货物支出24.88万元、政府采购工程支出0.00万元、政府采购服务支出8.65万元。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授予中小企业合同金额33.52万元，占政府采购支出总额的100.00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，其中：授予小微企业合同金额33.52万元，占政府采购支出总额的100.00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1,559.17</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屋7211.84平方米，价值462.86万元。车辆3辆，价值82.75万元，其中：副部（省）级及以上领导用车0辆、主要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用车0辆、其他用车3辆，其他用车主要是：</w:t>
      </w:r>
      <w:r>
        <w:rPr>
          <w:rFonts w:hint="eastAsia" w:eastAsia="仿宋_GB2312" w:cs="Times New Roman"/>
          <w:color w:val="auto"/>
          <w:sz w:val="32"/>
          <w:szCs w:val="32"/>
          <w:highlight w:val="none"/>
          <w:lang w:val="en-US" w:eastAsia="zh-CN"/>
        </w:rPr>
        <w:t>一般公务用车2辆，皮卡车1辆</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hAnsi="仿宋_GB2312" w:eastAsia="仿宋_GB2312" w:cs="仿宋_GB2312"/>
          <w:color w:val="auto"/>
          <w:kern w:val="0"/>
          <w:sz w:val="32"/>
          <w:szCs w:val="32"/>
          <w:highlight w:val="none"/>
          <w:lang w:val="en-US" w:eastAsia="zh-CN"/>
        </w:rPr>
        <w:t>0个，全年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全年预算数209.5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全年执行数209.5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w:t>
      </w:r>
      <w:r>
        <w:rPr>
          <w:rFonts w:hint="eastAsia" w:ascii="仿宋_GB2312" w:eastAsia="仿宋_GB2312"/>
          <w:color w:val="auto"/>
          <w:sz w:val="32"/>
          <w:szCs w:val="32"/>
          <w:highlight w:val="none"/>
          <w:lang w:val="en-US" w:eastAsia="zh-CN"/>
        </w:rPr>
        <w:t>成效：一是我单位基本经费中人员经费支出、公用支出严格执行政府的各项制度，保障全单位工作正常运转，二是公用经费的使用严格控制在预算申报的范围内;在项目经费的使用上，按照国家财经法规和财务管理制度规定以及有关专项资金管理办法的规定完成后续资金支付进度。</w:t>
      </w:r>
      <w:r>
        <w:rPr>
          <w:rFonts w:hint="eastAsia" w:ascii="仿宋_GB2312" w:eastAsia="仿宋_GB2312"/>
          <w:color w:val="auto"/>
          <w:sz w:val="32"/>
          <w:szCs w:val="32"/>
          <w:highlight w:val="none"/>
          <w:lang w:eastAsia="zh-CN"/>
        </w:rPr>
        <w:t>发现的问题及原因：一是对绩效预算管理认识不够充分，绩效监控工作开展的不是太好，主要还是从事绩效监控的人员对绩效管理工作学习培训不够，对财政支出绩效评价工作经验不足，绩效目标制定不够全面、规范。业务人员业务能力和素质还有待进一步提升;二是支出管理项目还有待进一步细化和量化，强化基本支出经费预算管理的刚性约束，项目支出按预算和工作进度执行，进一步规范各项支出。下一步改进措施：一是加强人员培训。加强对预算绩效管理工作人员培训，提高工作人员的专业能力和水平，推动绩效工作全面发展;二是进一步完善项目评价过程中有关数据和资料的收集、整理、审核及分析。项目启动时同步做好档案的归纳与整理，及时整理、收集、汇总，健全档案资料。项目后续管理有待进一步加强和跟踪。具体项目自评情况</w:t>
      </w:r>
      <w:r>
        <w:rPr>
          <w:rFonts w:hint="eastAsia" w:ascii="仿宋_GB2312" w:eastAsia="仿宋_GB2312"/>
          <w:color w:val="auto"/>
          <w:sz w:val="32"/>
          <w:szCs w:val="32"/>
          <w:highlight w:val="none"/>
          <w:lang w:val="en-US" w:eastAsia="zh-CN"/>
        </w:rPr>
        <w:t>见</w:t>
      </w:r>
      <w:r>
        <w:rPr>
          <w:rFonts w:hint="eastAsia" w:ascii="仿宋_GB2312" w:eastAsia="仿宋_GB2312"/>
          <w:color w:val="auto"/>
          <w:sz w:val="32"/>
          <w:szCs w:val="32"/>
          <w:highlight w:val="none"/>
          <w:lang w:eastAsia="zh-CN"/>
        </w:rPr>
        <w:t>附</w:t>
      </w:r>
      <w:r>
        <w:rPr>
          <w:rFonts w:hint="eastAsia" w:ascii="仿宋_GB2312" w:eastAsia="仿宋_GB2312"/>
          <w:color w:val="auto"/>
          <w:sz w:val="32"/>
          <w:szCs w:val="32"/>
          <w:highlight w:val="none"/>
          <w:lang w:val="en-US" w:eastAsia="zh-CN"/>
        </w:rPr>
        <w:t>件</w:t>
      </w:r>
      <w:r>
        <w:rPr>
          <w:rFonts w:hint="eastAsia" w:ascii="仿宋_GB2312" w:eastAsia="仿宋_GB2312"/>
          <w:color w:val="auto"/>
          <w:sz w:val="32"/>
          <w:szCs w:val="32"/>
          <w:highlight w:val="none"/>
          <w:lang w:eastAsia="zh-CN"/>
        </w:rPr>
        <w:t>绩</w:t>
      </w:r>
      <w:r>
        <w:rPr>
          <w:rFonts w:hint="eastAsia" w:ascii="仿宋_GB2312" w:eastAsia="仿宋_GB2312"/>
          <w:color w:val="auto"/>
          <w:sz w:val="32"/>
          <w:szCs w:val="32"/>
          <w:highlight w:val="none"/>
        </w:rPr>
        <w:t>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yN2I5NzFjZTZlNjJjYTEyMzE1NzA3MzMzNmJmMTUifQ=="/>
    <w:docVar w:name="KSO_WPS_MARK_KEY" w:val="41ee2a61-2d54-4f93-83be-afdb9a40d732"/>
  </w:docVars>
  <w:rsids>
    <w:rsidRoot w:val="00000000"/>
    <w:rsid w:val="00213C59"/>
    <w:rsid w:val="003210CE"/>
    <w:rsid w:val="00917C9B"/>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29229D"/>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2E31095"/>
    <w:rsid w:val="23326B7F"/>
    <w:rsid w:val="2380045B"/>
    <w:rsid w:val="23BC04D2"/>
    <w:rsid w:val="23EF1892"/>
    <w:rsid w:val="2483647E"/>
    <w:rsid w:val="24A32D55"/>
    <w:rsid w:val="25292727"/>
    <w:rsid w:val="252E5CA9"/>
    <w:rsid w:val="256F7692"/>
    <w:rsid w:val="25BA2154"/>
    <w:rsid w:val="25C8773F"/>
    <w:rsid w:val="25DB7A0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5F425C"/>
    <w:rsid w:val="31C63837"/>
    <w:rsid w:val="31C82E39"/>
    <w:rsid w:val="32601BAD"/>
    <w:rsid w:val="329F6389"/>
    <w:rsid w:val="33543138"/>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AFA0120"/>
    <w:rsid w:val="3B6716E3"/>
    <w:rsid w:val="3B6C6B2D"/>
    <w:rsid w:val="3C242659"/>
    <w:rsid w:val="3C96719C"/>
    <w:rsid w:val="3C9C5ED7"/>
    <w:rsid w:val="3CA72BE8"/>
    <w:rsid w:val="3CF37F8C"/>
    <w:rsid w:val="3D137554"/>
    <w:rsid w:val="3D3F6823"/>
    <w:rsid w:val="3D5275AC"/>
    <w:rsid w:val="3DCC2473"/>
    <w:rsid w:val="3DEB0883"/>
    <w:rsid w:val="3E2527BF"/>
    <w:rsid w:val="3E731662"/>
    <w:rsid w:val="3E8168DD"/>
    <w:rsid w:val="3EA7725F"/>
    <w:rsid w:val="3EB03713"/>
    <w:rsid w:val="3EBF1A11"/>
    <w:rsid w:val="3EC52607"/>
    <w:rsid w:val="3EEC6CEF"/>
    <w:rsid w:val="3F183429"/>
    <w:rsid w:val="3F21222E"/>
    <w:rsid w:val="3FB77A1D"/>
    <w:rsid w:val="3FDC3674"/>
    <w:rsid w:val="3FED7F8A"/>
    <w:rsid w:val="40094AEF"/>
    <w:rsid w:val="405470BD"/>
    <w:rsid w:val="40794A29"/>
    <w:rsid w:val="40834692"/>
    <w:rsid w:val="40E65973"/>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56072DA"/>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426236"/>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1FF1A8D"/>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278C"/>
    <w:rsid w:val="66105BF7"/>
    <w:rsid w:val="66150023"/>
    <w:rsid w:val="6628010D"/>
    <w:rsid w:val="669B4528"/>
    <w:rsid w:val="66CC12D7"/>
    <w:rsid w:val="67045A48"/>
    <w:rsid w:val="67134CEF"/>
    <w:rsid w:val="671F1ABD"/>
    <w:rsid w:val="67521A59"/>
    <w:rsid w:val="67C304AB"/>
    <w:rsid w:val="683F0658"/>
    <w:rsid w:val="689C6793"/>
    <w:rsid w:val="689D39F8"/>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CF7A09"/>
    <w:rsid w:val="79D57D57"/>
    <w:rsid w:val="79F00650"/>
    <w:rsid w:val="7A6242BF"/>
    <w:rsid w:val="7A794513"/>
    <w:rsid w:val="7AE952D2"/>
    <w:rsid w:val="7C182C28"/>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autoRedefine/>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autoRedefine/>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6483</Words>
  <Characters>20828</Characters>
  <Lines>0</Lines>
  <Paragraphs>0</Paragraphs>
  <TotalTime>0</TotalTime>
  <ScaleCrop>false</ScaleCrop>
  <LinksUpToDate>false</LinksUpToDate>
  <CharactersWithSpaces>20940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LX</cp:lastModifiedBy>
  <dcterms:modified xsi:type="dcterms:W3CDTF">2024-09-03T09:02:55Z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D624B15633CD43C8BF9435464A96BF70</vt:lpwstr>
  </property>
</Properties>
</file>