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030821">
      <w:pPr>
        <w:rPr>
          <w:rFonts w:ascii="黑体" w:hAnsi="黑体" w:eastAsia="黑体"/>
          <w:sz w:val="32"/>
          <w:szCs w:val="32"/>
        </w:rPr>
      </w:pPr>
    </w:p>
    <w:p w14:paraId="06252FAB">
      <w:pPr>
        <w:jc w:val="center"/>
        <w:rPr>
          <w:rFonts w:ascii="方正小标宋_GBK" w:hAnsi="宋体" w:eastAsia="方正小标宋_GBK"/>
          <w:sz w:val="44"/>
          <w:szCs w:val="44"/>
        </w:rPr>
      </w:pPr>
    </w:p>
    <w:p w14:paraId="0C968D29">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新疆维吾尔自治区灌溉排水发展中心（新疆维吾尔自治区灌溉中心试验站）</w:t>
      </w:r>
    </w:p>
    <w:p w14:paraId="533D42E4">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69688D97">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40418822">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5F925883">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00F0052">
      <w:pPr>
        <w:pStyle w:val="9"/>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7F6679E">
      <w:pPr>
        <w:pStyle w:val="10"/>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99A67B0">
      <w:pPr>
        <w:pStyle w:val="10"/>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5D48421B">
      <w:pPr>
        <w:pStyle w:val="9"/>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E407E39">
      <w:pPr>
        <w:pStyle w:val="10"/>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D1E310A">
      <w:pPr>
        <w:pStyle w:val="10"/>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2DD77F33">
      <w:pPr>
        <w:pStyle w:val="10"/>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2EE488B7">
      <w:pPr>
        <w:pStyle w:val="10"/>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37AF0A09">
      <w:pPr>
        <w:pStyle w:val="10"/>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E8E3139">
      <w:pPr>
        <w:pStyle w:val="10"/>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4301C5A0">
      <w:pPr>
        <w:pStyle w:val="10"/>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01B614CE">
      <w:pPr>
        <w:pStyle w:val="10"/>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8E7DB1A">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EC8925E">
      <w:pPr>
        <w:pStyle w:val="10"/>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1E24DDCF">
      <w:pPr>
        <w:pStyle w:val="6"/>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7E06B60A">
      <w:pPr>
        <w:pStyle w:val="6"/>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14269557">
      <w:pPr>
        <w:pStyle w:val="6"/>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B9D023B">
      <w:pPr>
        <w:pStyle w:val="10"/>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2A2F6BE">
      <w:pPr>
        <w:pStyle w:val="10"/>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6FA3967B">
      <w:pPr>
        <w:pStyle w:val="9"/>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CAEED84">
      <w:pPr>
        <w:pStyle w:val="9"/>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3BA9E16">
      <w:pPr>
        <w:pStyle w:val="10"/>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66C25BE">
      <w:pPr>
        <w:pStyle w:val="10"/>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9B9536F">
      <w:pPr>
        <w:pStyle w:val="10"/>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64DEFB34">
      <w:pPr>
        <w:pStyle w:val="10"/>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0014564">
      <w:pPr>
        <w:pStyle w:val="10"/>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D014119">
      <w:pPr>
        <w:pStyle w:val="10"/>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95E84CE">
      <w:pPr>
        <w:pStyle w:val="10"/>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0F46FA1">
      <w:pPr>
        <w:pStyle w:val="10"/>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19D232BF">
      <w:pPr>
        <w:pStyle w:val="10"/>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27BC9E79">
      <w:r>
        <w:rPr>
          <w:rFonts w:hint="eastAsia" w:ascii="仿宋_GB2312" w:hAnsi="仿宋_GB2312" w:eastAsia="仿宋_GB2312" w:cs="仿宋_GB2312"/>
          <w:sz w:val="32"/>
          <w:szCs w:val="32"/>
        </w:rPr>
        <w:fldChar w:fldCharType="end"/>
      </w:r>
    </w:p>
    <w:p w14:paraId="5A32CFE7">
      <w:pPr>
        <w:rPr>
          <w:rFonts w:ascii="仿宋_GB2312" w:eastAsia="仿宋_GB2312"/>
          <w:sz w:val="32"/>
          <w:szCs w:val="32"/>
        </w:rPr>
      </w:pPr>
      <w:r>
        <w:rPr>
          <w:rFonts w:hint="eastAsia" w:ascii="仿宋_GB2312" w:eastAsia="仿宋_GB2312"/>
          <w:sz w:val="32"/>
          <w:szCs w:val="32"/>
        </w:rPr>
        <w:br w:type="page"/>
      </w:r>
    </w:p>
    <w:p w14:paraId="39AC54CB">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35949584">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4B6B0BAA">
      <w:pPr>
        <w:snapToGrid w:val="0"/>
        <w:spacing w:line="500" w:lineRule="exact"/>
        <w:ind w:firstLine="640" w:firstLineChars="200"/>
        <w:rPr>
          <w:rFonts w:hint="eastAsia" w:ascii="仿宋_GB2312" w:hAnsi="仿宋" w:eastAsia="仿宋_GB2312"/>
          <w:sz w:val="32"/>
          <w:szCs w:val="32"/>
          <w:highlight w:val="none"/>
        </w:rPr>
      </w:pPr>
      <w:bookmarkStart w:id="4" w:name="_Toc31238"/>
      <w:bookmarkStart w:id="5" w:name="_Toc2151"/>
      <w:r>
        <w:rPr>
          <w:rFonts w:hint="eastAsia" w:ascii="仿宋" w:hAnsi="仿宋" w:eastAsia="仿宋"/>
          <w:sz w:val="32"/>
          <w:szCs w:val="32"/>
          <w:highlight w:val="none"/>
        </w:rPr>
        <w:t>承担农村、牧区水利规划的编制和修订工作；承担大中型灌排工程项目技术支撑工作；承担灌溉定额地方标准测算和修订工作，以及灌溉试验技术指导和研究工作；承担灌溉排水技术开发、引进、推广、培训等工作；承担直属水利工程管理单位水利工程供水成本测算工作。</w:t>
      </w:r>
    </w:p>
    <w:p w14:paraId="10B18653">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273A914F">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新疆维吾尔自治区灌溉排水发展中心（新疆维吾尔自治区灌溉中心试验站）2023年度，实有人数</w:t>
      </w:r>
      <w:r>
        <w:rPr>
          <w:rFonts w:hint="eastAsia" w:ascii="仿宋_GB2312" w:eastAsia="仿宋_GB2312"/>
          <w:sz w:val="32"/>
          <w:szCs w:val="32"/>
          <w:lang w:val="zh-CN"/>
        </w:rPr>
        <w:t>45</w:t>
      </w:r>
      <w:r>
        <w:rPr>
          <w:rFonts w:hint="eastAsia" w:ascii="仿宋_GB2312" w:eastAsia="仿宋_GB2312"/>
          <w:sz w:val="32"/>
          <w:szCs w:val="32"/>
        </w:rPr>
        <w:t>人，其中：在职人员</w:t>
      </w:r>
      <w:r>
        <w:rPr>
          <w:rFonts w:hint="eastAsia" w:ascii="仿宋_GB2312" w:eastAsia="仿宋_GB2312"/>
          <w:sz w:val="32"/>
          <w:szCs w:val="32"/>
          <w:lang w:val="zh-CN"/>
        </w:rPr>
        <w:t>26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19</w:t>
      </w:r>
      <w:r>
        <w:rPr>
          <w:rFonts w:hint="eastAsia" w:ascii="仿宋_GB2312" w:eastAsia="仿宋_GB2312"/>
          <w:sz w:val="32"/>
          <w:szCs w:val="32"/>
        </w:rPr>
        <w:t>人。</w:t>
      </w:r>
    </w:p>
    <w:p w14:paraId="6F155736">
      <w:pPr>
        <w:snapToGrid w:val="0"/>
        <w:spacing w:line="500" w:lineRule="exact"/>
        <w:ind w:firstLine="640" w:firstLineChars="200"/>
        <w:rPr>
          <w:rFonts w:hint="eastAsia" w:ascii="仿宋" w:hAnsi="仿宋" w:eastAsia="仿宋"/>
          <w:sz w:val="32"/>
          <w:szCs w:val="32"/>
          <w:highlight w:val="none"/>
        </w:rPr>
      </w:pPr>
      <w:r>
        <w:rPr>
          <w:rFonts w:hint="eastAsia" w:ascii="仿宋_GB2312" w:eastAsia="仿宋_GB2312"/>
          <w:sz w:val="32"/>
          <w:szCs w:val="32"/>
          <w:lang w:eastAsia="zh-CN"/>
        </w:rPr>
        <w:t>单位无</w:t>
      </w:r>
      <w:r>
        <w:rPr>
          <w:rFonts w:hint="eastAsia" w:ascii="仿宋_GB2312" w:hAnsi="宋体" w:eastAsia="仿宋_GB2312" w:cs="宋体"/>
          <w:kern w:val="0"/>
          <w:sz w:val="32"/>
          <w:szCs w:val="32"/>
          <w:lang w:eastAsia="zh-CN"/>
        </w:rPr>
        <w:t>下属单位，</w:t>
      </w:r>
      <w:r>
        <w:rPr>
          <w:rFonts w:hint="eastAsia" w:ascii="仿宋_GB2312" w:hAnsi="黑体" w:eastAsia="仿宋_GB2312" w:cs="宋体"/>
          <w:bCs/>
          <w:kern w:val="0"/>
          <w:sz w:val="32"/>
          <w:szCs w:val="32"/>
        </w:rPr>
        <w:t>下设</w:t>
      </w:r>
      <w:r>
        <w:rPr>
          <w:rFonts w:hint="eastAsia" w:ascii="仿宋_GB2312" w:eastAsia="仿宋_GB2312"/>
          <w:sz w:val="32"/>
          <w:szCs w:val="32"/>
          <w:lang w:val="en-US" w:eastAsia="zh-CN"/>
        </w:rPr>
        <w:t>4</w:t>
      </w:r>
      <w:r>
        <w:rPr>
          <w:rFonts w:hint="eastAsia" w:ascii="仿宋_GB2312" w:hAnsi="黑体" w:eastAsia="仿宋_GB2312" w:cs="宋体"/>
          <w:bCs/>
          <w:kern w:val="0"/>
          <w:sz w:val="32"/>
          <w:szCs w:val="32"/>
        </w:rPr>
        <w:t>个处室，分别是：</w:t>
      </w:r>
      <w:r>
        <w:rPr>
          <w:rFonts w:hint="eastAsia" w:ascii="仿宋" w:hAnsi="仿宋" w:eastAsia="仿宋"/>
          <w:sz w:val="32"/>
          <w:szCs w:val="32"/>
          <w:highlight w:val="none"/>
        </w:rPr>
        <w:t>综合科、灌溉科、经济科、技术科。</w:t>
      </w:r>
    </w:p>
    <w:p w14:paraId="5D7A9485">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7787342F">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7855DEEC">
      <w:pPr>
        <w:ind w:firstLine="640" w:firstLineChars="200"/>
        <w:jc w:val="left"/>
        <w:rPr>
          <w:rFonts w:ascii="仿宋_GB2312" w:eastAsia="仿宋_GB2312"/>
          <w:sz w:val="32"/>
          <w:szCs w:val="32"/>
        </w:rPr>
      </w:pPr>
      <w:r>
        <w:rPr>
          <w:rFonts w:hint="eastAsia" w:ascii="仿宋_GB2312" w:eastAsia="仿宋_GB2312"/>
          <w:sz w:val="32"/>
          <w:szCs w:val="32"/>
        </w:rPr>
        <w:t>2023年度收入总计680.89万元，其中：本年收入合计669.13万元，使用非财政拨款结余0.00万元，年初结转和结余11.76万元。</w:t>
      </w:r>
    </w:p>
    <w:p w14:paraId="616FC697">
      <w:pPr>
        <w:ind w:firstLine="640" w:firstLineChars="200"/>
        <w:jc w:val="left"/>
        <w:rPr>
          <w:rFonts w:ascii="仿宋_GB2312" w:eastAsia="仿宋_GB2312"/>
          <w:sz w:val="32"/>
          <w:szCs w:val="32"/>
        </w:rPr>
      </w:pPr>
      <w:r>
        <w:rPr>
          <w:rFonts w:hint="eastAsia" w:ascii="仿宋_GB2312" w:eastAsia="仿宋_GB2312"/>
          <w:sz w:val="32"/>
          <w:szCs w:val="32"/>
        </w:rPr>
        <w:t>2023年度支出总计680.89万元，其中：本年支出合计668.96万元，结余分配0.00万元，年末结转和结余11.93万元。</w:t>
      </w:r>
    </w:p>
    <w:p w14:paraId="768D86F5">
      <w:pPr>
        <w:snapToGrid w:val="0"/>
        <w:spacing w:line="520" w:lineRule="exact"/>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增加59.37万元</w:t>
      </w:r>
      <w:r>
        <w:rPr>
          <w:rFonts w:hint="eastAsia" w:ascii="仿宋_GB2312" w:eastAsia="仿宋_GB2312"/>
          <w:sz w:val="32"/>
          <w:szCs w:val="32"/>
        </w:rPr>
        <w:t>，增长9.55%，主要原因是：新疆维吾尔自治区灌溉排水发展中心（新疆维吾尔自治区灌溉中心试验站）</w:t>
      </w:r>
      <w:r>
        <w:rPr>
          <w:rFonts w:hint="eastAsia" w:ascii="仿宋_GB2312" w:hAnsi="仿宋_GB2312" w:eastAsia="仿宋_GB2312" w:cs="仿宋_GB2312"/>
          <w:sz w:val="32"/>
          <w:szCs w:val="32"/>
        </w:rPr>
        <w:t>职工工资普调</w:t>
      </w:r>
      <w:r>
        <w:rPr>
          <w:rFonts w:hint="eastAsia" w:ascii="仿宋_GB2312" w:hAnsi="仿宋_GB2312" w:eastAsia="仿宋_GB2312" w:cs="仿宋_GB2312"/>
          <w:sz w:val="32"/>
          <w:szCs w:val="32"/>
          <w:lang w:eastAsia="zh-CN"/>
        </w:rPr>
        <w:t>、医保社保、公积金</w:t>
      </w:r>
      <w:r>
        <w:rPr>
          <w:rFonts w:hint="eastAsia" w:ascii="仿宋_GB2312" w:hAnsi="仿宋_GB2312" w:eastAsia="仿宋_GB2312" w:cs="仿宋_GB2312"/>
          <w:sz w:val="32"/>
          <w:szCs w:val="32"/>
        </w:rPr>
        <w:t>基数增加</w:t>
      </w:r>
      <w:r>
        <w:rPr>
          <w:rFonts w:hint="eastAsia" w:ascii="仿宋_GB2312" w:hAnsi="仿宋_GB2312" w:eastAsia="仿宋_GB2312" w:cs="仿宋_GB2312"/>
          <w:sz w:val="32"/>
          <w:szCs w:val="32"/>
          <w:lang w:eastAsia="zh-CN"/>
        </w:rPr>
        <w:t>。</w:t>
      </w:r>
    </w:p>
    <w:p w14:paraId="1864469E">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4A5B0335">
      <w:pPr>
        <w:ind w:firstLine="640" w:firstLineChars="200"/>
        <w:jc w:val="left"/>
        <w:rPr>
          <w:rFonts w:ascii="仿宋_GB2312" w:eastAsia="仿宋_GB2312"/>
          <w:sz w:val="32"/>
          <w:szCs w:val="32"/>
        </w:rPr>
      </w:pPr>
      <w:r>
        <w:rPr>
          <w:rFonts w:hint="eastAsia" w:ascii="仿宋_GB2312" w:eastAsia="仿宋_GB2312"/>
          <w:sz w:val="32"/>
          <w:szCs w:val="32"/>
        </w:rPr>
        <w:t>本年收入669.13万元，其中：财政拨款收入</w:t>
      </w:r>
      <w:r>
        <w:rPr>
          <w:rFonts w:hint="eastAsia" w:ascii="仿宋_GB2312" w:eastAsia="仿宋_GB2312"/>
          <w:sz w:val="32"/>
          <w:szCs w:val="32"/>
          <w:lang w:val="zh-CN"/>
        </w:rPr>
        <w:t>669.06</w:t>
      </w:r>
      <w:r>
        <w:rPr>
          <w:rFonts w:hint="eastAsia" w:ascii="仿宋_GB2312" w:eastAsia="仿宋_GB2312"/>
          <w:sz w:val="32"/>
          <w:szCs w:val="32"/>
        </w:rPr>
        <w:t>万元，占</w:t>
      </w:r>
      <w:r>
        <w:rPr>
          <w:rFonts w:hint="eastAsia" w:ascii="仿宋_GB2312" w:eastAsia="仿宋_GB2312"/>
          <w:sz w:val="32"/>
          <w:szCs w:val="32"/>
          <w:lang w:val="zh-CN"/>
        </w:rPr>
        <w:t>99.99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0.07</w:t>
      </w:r>
      <w:r>
        <w:rPr>
          <w:rFonts w:hint="eastAsia" w:ascii="仿宋_GB2312" w:eastAsia="仿宋_GB2312"/>
          <w:sz w:val="32"/>
          <w:szCs w:val="32"/>
        </w:rPr>
        <w:t>万元，占</w:t>
      </w:r>
      <w:r>
        <w:rPr>
          <w:rFonts w:hint="eastAsia" w:ascii="仿宋_GB2312" w:eastAsia="仿宋_GB2312"/>
          <w:sz w:val="32"/>
          <w:szCs w:val="32"/>
          <w:lang w:val="zh-CN"/>
        </w:rPr>
        <w:t>0.01</w:t>
      </w:r>
      <w:r>
        <w:rPr>
          <w:rFonts w:hint="eastAsia" w:ascii="仿宋_GB2312" w:eastAsia="仿宋_GB2312"/>
          <w:sz w:val="32"/>
          <w:szCs w:val="32"/>
        </w:rPr>
        <w:t>%。</w:t>
      </w:r>
    </w:p>
    <w:p w14:paraId="0CC3C5AA">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6585E1A5">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本年支出668.96万元，其中：基本支出635.93万元，占95.06%；项目支出33.03万元，占4.94%；上缴上级支出0.00万元，占0.00%；经营支出0.00万元，占0.00%；对附属单位补助支出0.00万元，占0.00%。</w:t>
      </w:r>
    </w:p>
    <w:p w14:paraId="4C04A09C">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33D29C41">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680.53</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11.47</w:t>
      </w:r>
      <w:r>
        <w:rPr>
          <w:rFonts w:hint="eastAsia" w:ascii="仿宋_GB2312" w:eastAsia="仿宋_GB2312"/>
          <w:sz w:val="32"/>
          <w:szCs w:val="32"/>
        </w:rPr>
        <w:t>万元，本年财政拨款收入</w:t>
      </w:r>
      <w:r>
        <w:rPr>
          <w:rFonts w:hint="eastAsia" w:ascii="仿宋_GB2312" w:eastAsia="仿宋_GB2312"/>
          <w:sz w:val="32"/>
          <w:szCs w:val="32"/>
          <w:lang w:val="zh-CN"/>
        </w:rPr>
        <w:t>669.06</w:t>
      </w:r>
      <w:r>
        <w:rPr>
          <w:rFonts w:hint="eastAsia" w:ascii="仿宋_GB2312" w:eastAsia="仿宋_GB2312"/>
          <w:sz w:val="32"/>
          <w:szCs w:val="32"/>
        </w:rPr>
        <w:t>万元。财政拨款支出总计</w:t>
      </w:r>
      <w:r>
        <w:rPr>
          <w:rFonts w:hint="eastAsia" w:ascii="仿宋_GB2312" w:eastAsia="仿宋_GB2312"/>
          <w:sz w:val="32"/>
          <w:szCs w:val="32"/>
          <w:lang w:val="zh-CN"/>
        </w:rPr>
        <w:t>680.53</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11.60</w:t>
      </w:r>
      <w:r>
        <w:rPr>
          <w:rFonts w:hint="eastAsia" w:ascii="仿宋_GB2312" w:eastAsia="仿宋_GB2312"/>
          <w:sz w:val="32"/>
          <w:szCs w:val="32"/>
        </w:rPr>
        <w:t>万元，本年财政拨款支出</w:t>
      </w:r>
      <w:r>
        <w:rPr>
          <w:rFonts w:hint="eastAsia" w:ascii="仿宋_GB2312" w:eastAsia="仿宋_GB2312"/>
          <w:sz w:val="32"/>
          <w:szCs w:val="32"/>
          <w:lang w:val="zh-CN"/>
        </w:rPr>
        <w:t>668.93</w:t>
      </w:r>
      <w:r>
        <w:rPr>
          <w:rFonts w:hint="eastAsia" w:ascii="仿宋_GB2312" w:eastAsia="仿宋_GB2312"/>
          <w:sz w:val="32"/>
          <w:szCs w:val="32"/>
        </w:rPr>
        <w:t>万元。</w:t>
      </w:r>
    </w:p>
    <w:p w14:paraId="3D2C2711">
      <w:pPr>
        <w:snapToGrid w:val="0"/>
        <w:spacing w:line="520" w:lineRule="exact"/>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增加70.82万元</w:t>
      </w:r>
      <w:r>
        <w:rPr>
          <w:rFonts w:hint="eastAsia" w:ascii="仿宋_GB2312" w:eastAsia="仿宋_GB2312"/>
          <w:sz w:val="32"/>
          <w:szCs w:val="32"/>
        </w:rPr>
        <w:t>，增长11.61%,主要原因是：新疆维吾尔自治区灌溉排水发展中心（新疆维吾尔自治区灌溉中心试验站）</w:t>
      </w:r>
      <w:r>
        <w:rPr>
          <w:rFonts w:hint="eastAsia" w:ascii="仿宋_GB2312" w:hAnsi="仿宋_GB2312" w:eastAsia="仿宋_GB2312" w:cs="仿宋_GB2312"/>
          <w:sz w:val="32"/>
          <w:szCs w:val="32"/>
        </w:rPr>
        <w:t>职工工资普调</w:t>
      </w:r>
      <w:r>
        <w:rPr>
          <w:rFonts w:hint="eastAsia" w:ascii="仿宋_GB2312" w:hAnsi="仿宋_GB2312" w:eastAsia="仿宋_GB2312" w:cs="仿宋_GB2312"/>
          <w:sz w:val="32"/>
          <w:szCs w:val="32"/>
          <w:lang w:eastAsia="zh-CN"/>
        </w:rPr>
        <w:t>、医保社保、公积金</w:t>
      </w:r>
      <w:r>
        <w:rPr>
          <w:rFonts w:hint="eastAsia" w:ascii="仿宋_GB2312" w:hAnsi="仿宋_GB2312" w:eastAsia="仿宋_GB2312" w:cs="仿宋_GB2312"/>
          <w:sz w:val="32"/>
          <w:szCs w:val="32"/>
        </w:rPr>
        <w:t>基数增加</w:t>
      </w:r>
      <w:r>
        <w:rPr>
          <w:rFonts w:hint="eastAsia" w:ascii="仿宋_GB2312" w:hAnsi="仿宋_GB2312" w:eastAsia="仿宋_GB2312" w:cs="仿宋_GB2312"/>
          <w:sz w:val="32"/>
          <w:szCs w:val="32"/>
          <w:lang w:eastAsia="zh-CN"/>
        </w:rPr>
        <w:t>。</w:t>
      </w:r>
    </w:p>
    <w:p w14:paraId="78EE9B90">
      <w:pPr>
        <w:snapToGrid w:val="0"/>
        <w:spacing w:line="520" w:lineRule="exact"/>
        <w:ind w:firstLine="640" w:firstLineChars="200"/>
        <w:rPr>
          <w:rFonts w:ascii="仿宋_GB2312" w:eastAsia="仿宋_GB2312"/>
          <w:sz w:val="32"/>
          <w:szCs w:val="32"/>
        </w:rPr>
      </w:pPr>
      <w:r>
        <w:rPr>
          <w:rFonts w:hint="eastAsia" w:ascii="仿宋_GB2312" w:eastAsia="仿宋_GB2312"/>
          <w:sz w:val="32"/>
          <w:szCs w:val="32"/>
        </w:rPr>
        <w:t>与年初预算相比，年初预算数</w:t>
      </w:r>
      <w:r>
        <w:rPr>
          <w:rFonts w:hint="eastAsia" w:ascii="仿宋_GB2312" w:eastAsia="仿宋_GB2312"/>
          <w:sz w:val="32"/>
          <w:szCs w:val="32"/>
          <w:lang w:val="zh-CN"/>
        </w:rPr>
        <w:t>604.68</w:t>
      </w:r>
      <w:r>
        <w:rPr>
          <w:rFonts w:hint="eastAsia" w:ascii="仿宋_GB2312" w:eastAsia="仿宋_GB2312"/>
          <w:sz w:val="32"/>
          <w:szCs w:val="32"/>
        </w:rPr>
        <w:t>万元，决算数</w:t>
      </w:r>
      <w:r>
        <w:rPr>
          <w:rFonts w:hint="eastAsia" w:ascii="仿宋_GB2312" w:eastAsia="仿宋_GB2312"/>
          <w:sz w:val="32"/>
          <w:szCs w:val="32"/>
          <w:lang w:val="zh-CN"/>
        </w:rPr>
        <w:t>680.53</w:t>
      </w:r>
      <w:r>
        <w:rPr>
          <w:rFonts w:hint="eastAsia" w:ascii="仿宋_GB2312" w:eastAsia="仿宋_GB2312"/>
          <w:sz w:val="32"/>
          <w:szCs w:val="32"/>
        </w:rPr>
        <w:t>万元，预决算差异率12.54%，主要原因是：新疆维吾尔自治区灌溉排水发展中心（新疆维吾尔自治区灌溉中心试验站）</w:t>
      </w:r>
      <w:r>
        <w:rPr>
          <w:rFonts w:hint="eastAsia" w:ascii="仿宋_GB2312" w:hAnsi="仿宋_GB2312" w:eastAsia="仿宋_GB2312" w:cs="仿宋_GB2312"/>
          <w:sz w:val="32"/>
          <w:szCs w:val="32"/>
        </w:rPr>
        <w:t>职工工资普调</w:t>
      </w:r>
      <w:r>
        <w:rPr>
          <w:rFonts w:hint="eastAsia" w:ascii="仿宋_GB2312" w:hAnsi="仿宋_GB2312" w:eastAsia="仿宋_GB2312" w:cs="仿宋_GB2312"/>
          <w:sz w:val="32"/>
          <w:szCs w:val="32"/>
          <w:lang w:eastAsia="zh-CN"/>
        </w:rPr>
        <w:t>、医保社保、公积金</w:t>
      </w:r>
      <w:r>
        <w:rPr>
          <w:rFonts w:hint="eastAsia" w:ascii="仿宋_GB2312" w:hAnsi="仿宋_GB2312" w:eastAsia="仿宋_GB2312" w:cs="仿宋_GB2312"/>
          <w:sz w:val="32"/>
          <w:szCs w:val="32"/>
        </w:rPr>
        <w:t>基数增加</w:t>
      </w:r>
      <w:r>
        <w:rPr>
          <w:rFonts w:hint="eastAsia" w:ascii="仿宋_GB2312" w:hAnsi="仿宋_GB2312" w:eastAsia="仿宋_GB2312" w:cs="仿宋_GB2312"/>
          <w:sz w:val="32"/>
          <w:szCs w:val="32"/>
          <w:lang w:eastAsia="zh-CN"/>
        </w:rPr>
        <w:t>。</w:t>
      </w:r>
    </w:p>
    <w:p w14:paraId="7F776AA2">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13057819">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7AC139A5">
      <w:pPr>
        <w:snapToGrid w:val="0"/>
        <w:spacing w:line="520" w:lineRule="exact"/>
        <w:ind w:firstLine="640" w:firstLineChars="200"/>
        <w:rPr>
          <w:rFonts w:ascii="仿宋_GB2312" w:eastAsia="仿宋_GB2312"/>
          <w:sz w:val="32"/>
          <w:szCs w:val="32"/>
        </w:rPr>
      </w:pPr>
      <w:r>
        <w:rPr>
          <w:rFonts w:hint="eastAsia" w:ascii="仿宋_GB2312" w:eastAsia="仿宋_GB2312"/>
          <w:sz w:val="32"/>
          <w:szCs w:val="32"/>
        </w:rPr>
        <w:t>2023年度一般公共预算财政拨款支出668.93万元，占本年支出合计的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增加70.69万元</w:t>
      </w:r>
      <w:r>
        <w:rPr>
          <w:rFonts w:hint="eastAsia" w:ascii="仿宋_GB2312" w:eastAsia="仿宋_GB2312"/>
          <w:sz w:val="32"/>
          <w:szCs w:val="32"/>
        </w:rPr>
        <w:t>，增长11.82%,主要原因是：新疆维吾尔自治区灌溉排水发展中心（新疆维吾尔自治区灌溉中心试验站）</w:t>
      </w:r>
      <w:r>
        <w:rPr>
          <w:rFonts w:hint="eastAsia" w:ascii="仿宋_GB2312" w:hAnsi="仿宋_GB2312" w:eastAsia="仿宋_GB2312" w:cs="仿宋_GB2312"/>
          <w:sz w:val="32"/>
          <w:szCs w:val="32"/>
        </w:rPr>
        <w:t>职工工资普调</w:t>
      </w:r>
      <w:r>
        <w:rPr>
          <w:rFonts w:hint="eastAsia" w:ascii="仿宋_GB2312" w:hAnsi="仿宋_GB2312" w:eastAsia="仿宋_GB2312" w:cs="仿宋_GB2312"/>
          <w:sz w:val="32"/>
          <w:szCs w:val="32"/>
          <w:lang w:eastAsia="zh-CN"/>
        </w:rPr>
        <w:t>、医保社保、公积金</w:t>
      </w:r>
      <w:r>
        <w:rPr>
          <w:rFonts w:hint="eastAsia" w:ascii="仿宋_GB2312" w:hAnsi="仿宋_GB2312" w:eastAsia="仿宋_GB2312" w:cs="仿宋_GB2312"/>
          <w:sz w:val="32"/>
          <w:szCs w:val="32"/>
        </w:rPr>
        <w:t>基数增加</w:t>
      </w:r>
      <w:r>
        <w:rPr>
          <w:rFonts w:hint="eastAsia" w:ascii="仿宋_GB2312" w:hAnsi="仿宋_GB2312" w:eastAsia="仿宋_GB2312" w:cs="仿宋_GB2312"/>
          <w:sz w:val="32"/>
          <w:szCs w:val="32"/>
          <w:lang w:eastAsia="zh-CN"/>
        </w:rPr>
        <w:t>。</w:t>
      </w:r>
    </w:p>
    <w:p w14:paraId="503759B0">
      <w:pPr>
        <w:snapToGrid w:val="0"/>
        <w:spacing w:line="520" w:lineRule="exact"/>
        <w:ind w:firstLine="640" w:firstLineChars="200"/>
        <w:rPr>
          <w:rFonts w:ascii="仿宋_GB2312" w:eastAsia="仿宋_GB2312"/>
          <w:sz w:val="32"/>
          <w:szCs w:val="32"/>
        </w:rPr>
      </w:pPr>
      <w:r>
        <w:rPr>
          <w:rFonts w:hint="eastAsia" w:ascii="仿宋_GB2312" w:eastAsia="仿宋_GB2312"/>
          <w:sz w:val="32"/>
          <w:szCs w:val="32"/>
        </w:rPr>
        <w:t>与年初预算相比，年初预算数</w:t>
      </w:r>
      <w:r>
        <w:rPr>
          <w:rFonts w:hint="eastAsia" w:ascii="仿宋_GB2312" w:eastAsia="仿宋_GB2312"/>
          <w:sz w:val="32"/>
          <w:szCs w:val="32"/>
          <w:lang w:val="zh-CN"/>
        </w:rPr>
        <w:t>604.68</w:t>
      </w:r>
      <w:r>
        <w:rPr>
          <w:rFonts w:hint="eastAsia" w:ascii="仿宋_GB2312" w:eastAsia="仿宋_GB2312"/>
          <w:sz w:val="32"/>
          <w:szCs w:val="32"/>
        </w:rPr>
        <w:t>万元，决算数</w:t>
      </w:r>
      <w:r>
        <w:rPr>
          <w:rFonts w:hint="eastAsia" w:ascii="仿宋_GB2312" w:eastAsia="仿宋_GB2312"/>
          <w:sz w:val="32"/>
          <w:szCs w:val="32"/>
          <w:lang w:val="zh-CN"/>
        </w:rPr>
        <w:t>668.93</w:t>
      </w:r>
      <w:r>
        <w:rPr>
          <w:rFonts w:hint="eastAsia" w:ascii="仿宋_GB2312" w:eastAsia="仿宋_GB2312"/>
          <w:sz w:val="32"/>
          <w:szCs w:val="32"/>
        </w:rPr>
        <w:t>万元，预决算差异率</w:t>
      </w:r>
      <w:r>
        <w:rPr>
          <w:rFonts w:hint="eastAsia" w:ascii="仿宋_GB2312" w:eastAsia="仿宋_GB2312"/>
          <w:sz w:val="32"/>
          <w:szCs w:val="32"/>
          <w:lang w:val="zh-CN"/>
        </w:rPr>
        <w:t>10.63%</w:t>
      </w:r>
      <w:r>
        <w:rPr>
          <w:rFonts w:hint="eastAsia" w:ascii="仿宋_GB2312" w:eastAsia="仿宋_GB2312"/>
          <w:sz w:val="32"/>
          <w:szCs w:val="32"/>
        </w:rPr>
        <w:t>，主要原因是：新疆维吾尔自治区灌溉排水发展中心（新疆维吾尔自治区灌溉中心试验站）</w:t>
      </w:r>
      <w:r>
        <w:rPr>
          <w:rFonts w:hint="eastAsia" w:ascii="仿宋_GB2312" w:hAnsi="仿宋_GB2312" w:eastAsia="仿宋_GB2312" w:cs="仿宋_GB2312"/>
          <w:sz w:val="32"/>
          <w:szCs w:val="32"/>
        </w:rPr>
        <w:t>职工工资普调</w:t>
      </w:r>
      <w:r>
        <w:rPr>
          <w:rFonts w:hint="eastAsia" w:ascii="仿宋_GB2312" w:hAnsi="仿宋_GB2312" w:eastAsia="仿宋_GB2312" w:cs="仿宋_GB2312"/>
          <w:sz w:val="32"/>
          <w:szCs w:val="32"/>
          <w:lang w:eastAsia="zh-CN"/>
        </w:rPr>
        <w:t>、医保社保、公积金</w:t>
      </w:r>
      <w:r>
        <w:rPr>
          <w:rFonts w:hint="eastAsia" w:ascii="仿宋_GB2312" w:hAnsi="仿宋_GB2312" w:eastAsia="仿宋_GB2312" w:cs="仿宋_GB2312"/>
          <w:sz w:val="32"/>
          <w:szCs w:val="32"/>
        </w:rPr>
        <w:t>基数增加</w:t>
      </w:r>
      <w:r>
        <w:rPr>
          <w:rFonts w:hint="eastAsia" w:ascii="仿宋_GB2312" w:hAnsi="仿宋_GB2312" w:eastAsia="仿宋_GB2312" w:cs="仿宋_GB2312"/>
          <w:sz w:val="32"/>
          <w:szCs w:val="32"/>
          <w:lang w:eastAsia="zh-CN"/>
        </w:rPr>
        <w:t>。</w:t>
      </w:r>
    </w:p>
    <w:p w14:paraId="12DCDEFB">
      <w:pPr>
        <w:numPr>
          <w:ilvl w:val="0"/>
          <w:numId w:val="0"/>
        </w:numPr>
        <w:ind w:firstLine="320" w:firstLineChars="100"/>
        <w:jc w:val="left"/>
        <w:outlineLvl w:val="2"/>
        <w:rPr>
          <w:rFonts w:ascii="黑体" w:hAnsi="黑体" w:eastAsia="黑体"/>
          <w:sz w:val="32"/>
          <w:szCs w:val="32"/>
        </w:rPr>
      </w:pPr>
      <w:r>
        <w:rPr>
          <w:rFonts w:hint="eastAsia" w:ascii="黑体" w:hAnsi="黑体" w:eastAsia="黑体"/>
          <w:sz w:val="32"/>
          <w:szCs w:val="32"/>
          <w:lang w:eastAsia="zh-CN"/>
        </w:rPr>
        <w:t>（二）</w:t>
      </w:r>
      <w:r>
        <w:rPr>
          <w:rFonts w:hint="eastAsia" w:ascii="黑体" w:hAnsi="黑体" w:eastAsia="黑体"/>
          <w:sz w:val="32"/>
          <w:szCs w:val="32"/>
        </w:rPr>
        <w:t>一般公共预算财政拨款支出决算结构情况</w:t>
      </w:r>
    </w:p>
    <w:p w14:paraId="4A301854">
      <w:pPr>
        <w:pStyle w:val="11"/>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97.54</w:t>
      </w:r>
      <w:r>
        <w:rPr>
          <w:rFonts w:ascii="仿宋_GB2312" w:eastAsia="仿宋_GB2312"/>
          <w:kern w:val="2"/>
          <w:sz w:val="32"/>
          <w:szCs w:val="32"/>
          <w:lang w:val="zh-CN"/>
        </w:rPr>
        <w:t>万元，占</w:t>
      </w:r>
      <w:r>
        <w:rPr>
          <w:rFonts w:hint="eastAsia" w:ascii="仿宋_GB2312" w:eastAsia="仿宋_GB2312"/>
          <w:kern w:val="2"/>
          <w:sz w:val="32"/>
          <w:szCs w:val="32"/>
          <w:lang w:val="zh-CN"/>
        </w:rPr>
        <w:t>14.58</w:t>
      </w:r>
      <w:r>
        <w:rPr>
          <w:rFonts w:ascii="仿宋_GB2312" w:eastAsia="仿宋_GB2312"/>
          <w:kern w:val="2"/>
          <w:sz w:val="32"/>
          <w:szCs w:val="32"/>
          <w:lang w:val="zh-CN"/>
        </w:rPr>
        <w:t>%；</w:t>
      </w:r>
    </w:p>
    <w:p w14:paraId="2FDDA0F6">
      <w:pPr>
        <w:pStyle w:val="11"/>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46.85</w:t>
      </w:r>
      <w:r>
        <w:rPr>
          <w:rFonts w:ascii="仿宋_GB2312" w:eastAsia="仿宋_GB2312"/>
          <w:kern w:val="2"/>
          <w:sz w:val="32"/>
          <w:szCs w:val="32"/>
          <w:lang w:val="zh-CN"/>
        </w:rPr>
        <w:t>万元，占</w:t>
      </w:r>
      <w:r>
        <w:rPr>
          <w:rFonts w:hint="eastAsia" w:ascii="仿宋_GB2312" w:eastAsia="仿宋_GB2312"/>
          <w:kern w:val="2"/>
          <w:sz w:val="32"/>
          <w:szCs w:val="32"/>
          <w:lang w:val="zh-CN"/>
        </w:rPr>
        <w:t>7.00</w:t>
      </w:r>
      <w:r>
        <w:rPr>
          <w:rFonts w:ascii="仿宋_GB2312" w:eastAsia="仿宋_GB2312"/>
          <w:kern w:val="2"/>
          <w:sz w:val="32"/>
          <w:szCs w:val="32"/>
          <w:lang w:val="zh-CN"/>
        </w:rPr>
        <w:t>%；</w:t>
      </w:r>
    </w:p>
    <w:p w14:paraId="79849B63">
      <w:pPr>
        <w:pStyle w:val="11"/>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.农林水支出（类）</w:t>
      </w:r>
      <w:r>
        <w:rPr>
          <w:rFonts w:hint="eastAsia" w:ascii="仿宋_GB2312" w:eastAsia="仿宋_GB2312"/>
          <w:kern w:val="2"/>
          <w:sz w:val="32"/>
          <w:szCs w:val="32"/>
          <w:lang w:val="zh-CN"/>
        </w:rPr>
        <w:t>485.77</w:t>
      </w:r>
      <w:r>
        <w:rPr>
          <w:rFonts w:ascii="仿宋_GB2312" w:eastAsia="仿宋_GB2312"/>
          <w:kern w:val="2"/>
          <w:sz w:val="32"/>
          <w:szCs w:val="32"/>
          <w:lang w:val="zh-CN"/>
        </w:rPr>
        <w:t>万元，占</w:t>
      </w:r>
      <w:r>
        <w:rPr>
          <w:rFonts w:hint="eastAsia" w:ascii="仿宋_GB2312" w:eastAsia="仿宋_GB2312"/>
          <w:kern w:val="2"/>
          <w:sz w:val="32"/>
          <w:szCs w:val="32"/>
          <w:lang w:val="zh-CN"/>
        </w:rPr>
        <w:t>72.62</w:t>
      </w:r>
      <w:r>
        <w:rPr>
          <w:rFonts w:ascii="仿宋_GB2312" w:eastAsia="仿宋_GB2312"/>
          <w:kern w:val="2"/>
          <w:sz w:val="32"/>
          <w:szCs w:val="32"/>
          <w:lang w:val="zh-CN"/>
        </w:rPr>
        <w:t>%；</w:t>
      </w:r>
    </w:p>
    <w:p w14:paraId="530D2F10">
      <w:pPr>
        <w:pStyle w:val="11"/>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38.77</w:t>
      </w:r>
      <w:r>
        <w:rPr>
          <w:rFonts w:ascii="仿宋_GB2312" w:eastAsia="仿宋_GB2312"/>
          <w:kern w:val="2"/>
          <w:sz w:val="32"/>
          <w:szCs w:val="32"/>
          <w:lang w:val="zh-CN"/>
        </w:rPr>
        <w:t>万元，占</w:t>
      </w:r>
      <w:r>
        <w:rPr>
          <w:rFonts w:hint="eastAsia" w:ascii="仿宋_GB2312" w:eastAsia="仿宋_GB2312"/>
          <w:kern w:val="2"/>
          <w:sz w:val="32"/>
          <w:szCs w:val="32"/>
          <w:lang w:val="zh-CN"/>
        </w:rPr>
        <w:t>5.80</w:t>
      </w:r>
      <w:r>
        <w:rPr>
          <w:rFonts w:ascii="仿宋_GB2312" w:eastAsia="仿宋_GB2312"/>
          <w:kern w:val="2"/>
          <w:sz w:val="32"/>
          <w:szCs w:val="32"/>
          <w:lang w:val="zh-CN"/>
        </w:rPr>
        <w:t>%；</w:t>
      </w:r>
    </w:p>
    <w:p w14:paraId="040DE4F0">
      <w:pPr>
        <w:ind w:firstLine="320" w:firstLineChars="1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5535B69E">
      <w:pPr>
        <w:snapToGrid w:val="0"/>
        <w:spacing w:line="520" w:lineRule="exact"/>
        <w:ind w:firstLine="640" w:firstLineChars="200"/>
        <w:rPr>
          <w:rFonts w:ascii="仿宋_GB2312" w:eastAsia="仿宋_GB2312"/>
          <w:sz w:val="32"/>
          <w:szCs w:val="32"/>
        </w:rPr>
      </w:pPr>
      <w:r>
        <w:rPr>
          <w:rFonts w:hint="eastAsia" w:eastAsia="仿宋_GB2312"/>
          <w:sz w:val="32"/>
          <w:szCs w:val="32"/>
        </w:rPr>
        <w:t>1.农林水支出（类）水利（款）水利行业业务管理（项）:支出决算数为485.77万元，比上年决算增加60.74万元，增长14.29%，主要原因是：</w:t>
      </w:r>
      <w:r>
        <w:rPr>
          <w:rFonts w:hint="eastAsia" w:ascii="仿宋_GB2312" w:eastAsia="仿宋_GB2312"/>
          <w:sz w:val="32"/>
          <w:szCs w:val="32"/>
        </w:rPr>
        <w:t>新疆维吾尔自治区灌溉排水发展中心（新疆维吾尔自治区灌溉中心试验站）</w:t>
      </w:r>
      <w:r>
        <w:rPr>
          <w:rFonts w:hint="eastAsia" w:ascii="仿宋_GB2312" w:hAnsi="仿宋_GB2312" w:eastAsia="仿宋_GB2312" w:cs="仿宋_GB2312"/>
          <w:sz w:val="32"/>
          <w:szCs w:val="32"/>
        </w:rPr>
        <w:t>职工工资普调</w:t>
      </w:r>
      <w:r>
        <w:rPr>
          <w:rFonts w:hint="eastAsia" w:ascii="仿宋_GB2312" w:hAnsi="仿宋_GB2312" w:eastAsia="仿宋_GB2312" w:cs="仿宋_GB2312"/>
          <w:sz w:val="32"/>
          <w:szCs w:val="32"/>
          <w:lang w:eastAsia="zh-CN"/>
        </w:rPr>
        <w:t>、医保社保、公积金</w:t>
      </w:r>
      <w:r>
        <w:rPr>
          <w:rFonts w:hint="eastAsia" w:ascii="仿宋_GB2312" w:hAnsi="仿宋_GB2312" w:eastAsia="仿宋_GB2312" w:cs="仿宋_GB2312"/>
          <w:sz w:val="32"/>
          <w:szCs w:val="32"/>
        </w:rPr>
        <w:t>基数增加</w:t>
      </w:r>
      <w:r>
        <w:rPr>
          <w:rFonts w:hint="eastAsia" w:ascii="仿宋_GB2312" w:hAnsi="仿宋_GB2312" w:eastAsia="仿宋_GB2312" w:cs="仿宋_GB2312"/>
          <w:sz w:val="32"/>
          <w:szCs w:val="32"/>
          <w:lang w:eastAsia="zh-CN"/>
        </w:rPr>
        <w:t>。</w:t>
      </w:r>
    </w:p>
    <w:p w14:paraId="2192139C">
      <w:pPr>
        <w:snapToGrid w:val="0"/>
        <w:spacing w:line="520" w:lineRule="exact"/>
        <w:ind w:firstLine="640" w:firstLineChars="200"/>
        <w:rPr>
          <w:rFonts w:ascii="仿宋_GB2312" w:eastAsia="仿宋_GB2312"/>
          <w:sz w:val="32"/>
          <w:szCs w:val="32"/>
        </w:rPr>
      </w:pPr>
      <w:r>
        <w:rPr>
          <w:rFonts w:hint="eastAsia" w:eastAsia="仿宋_GB2312"/>
          <w:sz w:val="32"/>
          <w:szCs w:val="32"/>
        </w:rPr>
        <w:t>2.卫生健康支出（类）行政事业单位医疗（款）事业单位医疗（项）:支出决算数为24.23万元，比上年决算增加1.60万元，增长7.09%，主要原因是：</w:t>
      </w:r>
      <w:r>
        <w:rPr>
          <w:rFonts w:hint="eastAsia" w:ascii="仿宋_GB2312" w:eastAsia="仿宋_GB2312"/>
          <w:sz w:val="32"/>
          <w:szCs w:val="32"/>
        </w:rPr>
        <w:t>新疆维吾尔自治区灌溉排水发展中心（新疆维吾尔自治区灌溉中心试验站）</w:t>
      </w:r>
      <w:r>
        <w:rPr>
          <w:rFonts w:hint="eastAsia" w:ascii="仿宋_GB2312" w:hAnsi="仿宋_GB2312" w:eastAsia="仿宋_GB2312" w:cs="仿宋_GB2312"/>
          <w:sz w:val="32"/>
          <w:szCs w:val="32"/>
        </w:rPr>
        <w:t>职工工资普调</w:t>
      </w:r>
      <w:r>
        <w:rPr>
          <w:rFonts w:hint="eastAsia" w:ascii="仿宋_GB2312" w:hAnsi="仿宋_GB2312" w:eastAsia="仿宋_GB2312" w:cs="仿宋_GB2312"/>
          <w:sz w:val="32"/>
          <w:szCs w:val="32"/>
          <w:lang w:eastAsia="zh-CN"/>
        </w:rPr>
        <w:t>、医保</w:t>
      </w:r>
      <w:r>
        <w:rPr>
          <w:rFonts w:hint="eastAsia" w:ascii="仿宋_GB2312" w:hAnsi="仿宋_GB2312" w:eastAsia="仿宋_GB2312" w:cs="仿宋_GB2312"/>
          <w:sz w:val="32"/>
          <w:szCs w:val="32"/>
        </w:rPr>
        <w:t>基数增加</w:t>
      </w:r>
      <w:r>
        <w:rPr>
          <w:rFonts w:hint="eastAsia" w:ascii="仿宋_GB2312" w:hAnsi="仿宋_GB2312" w:eastAsia="仿宋_GB2312" w:cs="仿宋_GB2312"/>
          <w:sz w:val="32"/>
          <w:szCs w:val="32"/>
          <w:lang w:eastAsia="zh-CN"/>
        </w:rPr>
        <w:t>。</w:t>
      </w:r>
    </w:p>
    <w:p w14:paraId="3C8E4556">
      <w:pPr>
        <w:snapToGrid w:val="0"/>
        <w:spacing w:line="520" w:lineRule="exact"/>
        <w:ind w:firstLine="640" w:firstLineChars="200"/>
        <w:rPr>
          <w:rFonts w:ascii="仿宋_GB2312" w:eastAsia="仿宋_GB2312"/>
          <w:sz w:val="32"/>
          <w:szCs w:val="32"/>
        </w:rPr>
      </w:pPr>
      <w:r>
        <w:rPr>
          <w:rFonts w:hint="eastAsia" w:eastAsia="仿宋_GB2312"/>
          <w:sz w:val="32"/>
          <w:szCs w:val="32"/>
        </w:rPr>
        <w:t>3.卫生健康支出（类）行政事业单位医疗（款）公务员医疗补助（项）:支出决算数为22.62万元，比上年决算增加5.02万元，增长28.50%，主要原因是：</w:t>
      </w:r>
      <w:r>
        <w:rPr>
          <w:rFonts w:hint="eastAsia" w:ascii="仿宋_GB2312" w:eastAsia="仿宋_GB2312"/>
          <w:sz w:val="32"/>
          <w:szCs w:val="32"/>
        </w:rPr>
        <w:t>新疆维吾尔自治区灌溉排水发展中心（新疆维吾尔自治区灌溉中心试验站）</w:t>
      </w:r>
      <w:r>
        <w:rPr>
          <w:rFonts w:hint="eastAsia" w:ascii="仿宋_GB2312" w:hAnsi="仿宋_GB2312" w:eastAsia="仿宋_GB2312" w:cs="仿宋_GB2312"/>
          <w:sz w:val="32"/>
          <w:szCs w:val="32"/>
        </w:rPr>
        <w:t>职工工资普调</w:t>
      </w:r>
      <w:r>
        <w:rPr>
          <w:rFonts w:hint="eastAsia" w:ascii="仿宋_GB2312" w:hAnsi="仿宋_GB2312" w:eastAsia="仿宋_GB2312" w:cs="仿宋_GB2312"/>
          <w:sz w:val="32"/>
          <w:szCs w:val="32"/>
          <w:lang w:eastAsia="zh-CN"/>
        </w:rPr>
        <w:t>、医保</w:t>
      </w:r>
      <w:r>
        <w:rPr>
          <w:rFonts w:hint="eastAsia" w:ascii="仿宋_GB2312" w:hAnsi="仿宋_GB2312" w:eastAsia="仿宋_GB2312" w:cs="仿宋_GB2312"/>
          <w:sz w:val="32"/>
          <w:szCs w:val="32"/>
        </w:rPr>
        <w:t>基数增加</w:t>
      </w:r>
      <w:r>
        <w:rPr>
          <w:rFonts w:hint="eastAsia" w:ascii="仿宋_GB2312" w:hAnsi="仿宋_GB2312" w:eastAsia="仿宋_GB2312" w:cs="仿宋_GB2312"/>
          <w:sz w:val="32"/>
          <w:szCs w:val="32"/>
          <w:lang w:eastAsia="zh-CN"/>
        </w:rPr>
        <w:t>。</w:t>
      </w:r>
    </w:p>
    <w:p w14:paraId="33E83D3B">
      <w:pPr>
        <w:snapToGrid w:val="0"/>
        <w:spacing w:line="520" w:lineRule="exact"/>
        <w:ind w:firstLine="640" w:firstLineChars="200"/>
        <w:rPr>
          <w:rFonts w:ascii="仿宋_GB2312" w:eastAsia="仿宋_GB2312"/>
          <w:sz w:val="32"/>
          <w:szCs w:val="32"/>
        </w:rPr>
      </w:pPr>
      <w:r>
        <w:rPr>
          <w:rFonts w:hint="eastAsia" w:eastAsia="仿宋_GB2312"/>
          <w:sz w:val="32"/>
          <w:szCs w:val="32"/>
        </w:rPr>
        <w:t>4.住房保障支出（类）住房改革支出（款）住房公积金（项）:支出决算数为38.77万元，比上年决算增加7.31万元，增长23.24%，主要原因是：</w:t>
      </w:r>
      <w:r>
        <w:rPr>
          <w:rFonts w:hint="eastAsia" w:ascii="仿宋_GB2312" w:eastAsia="仿宋_GB2312"/>
          <w:sz w:val="32"/>
          <w:szCs w:val="32"/>
        </w:rPr>
        <w:t>新疆维吾尔自治区灌溉排水发展中心（新疆维吾尔自治区灌溉中心试验站）</w:t>
      </w:r>
      <w:r>
        <w:rPr>
          <w:rFonts w:hint="eastAsia" w:ascii="仿宋_GB2312" w:hAnsi="仿宋_GB2312" w:eastAsia="仿宋_GB2312" w:cs="仿宋_GB2312"/>
          <w:sz w:val="32"/>
          <w:szCs w:val="32"/>
        </w:rPr>
        <w:t>职工工资普调</w:t>
      </w:r>
      <w:r>
        <w:rPr>
          <w:rFonts w:hint="eastAsia" w:ascii="仿宋_GB2312" w:hAnsi="仿宋_GB2312" w:eastAsia="仿宋_GB2312" w:cs="仿宋_GB2312"/>
          <w:sz w:val="32"/>
          <w:szCs w:val="32"/>
          <w:lang w:eastAsia="zh-CN"/>
        </w:rPr>
        <w:t>、公积金</w:t>
      </w:r>
      <w:r>
        <w:rPr>
          <w:rFonts w:hint="eastAsia" w:ascii="仿宋_GB2312" w:hAnsi="仿宋_GB2312" w:eastAsia="仿宋_GB2312" w:cs="仿宋_GB2312"/>
          <w:sz w:val="32"/>
          <w:szCs w:val="32"/>
        </w:rPr>
        <w:t>基数增加</w:t>
      </w:r>
      <w:r>
        <w:rPr>
          <w:rFonts w:hint="eastAsia" w:ascii="仿宋_GB2312" w:hAnsi="仿宋_GB2312" w:eastAsia="仿宋_GB2312" w:cs="仿宋_GB2312"/>
          <w:sz w:val="32"/>
          <w:szCs w:val="32"/>
          <w:lang w:eastAsia="zh-CN"/>
        </w:rPr>
        <w:t>。</w:t>
      </w:r>
    </w:p>
    <w:p w14:paraId="6E1240E2">
      <w:pPr>
        <w:snapToGrid w:val="0"/>
        <w:spacing w:line="520" w:lineRule="exact"/>
        <w:ind w:firstLine="640" w:firstLineChars="200"/>
        <w:rPr>
          <w:rFonts w:ascii="仿宋_GB2312" w:eastAsia="仿宋_GB2312"/>
          <w:sz w:val="32"/>
          <w:szCs w:val="32"/>
        </w:rPr>
      </w:pPr>
      <w:r>
        <w:rPr>
          <w:rFonts w:hint="eastAsia" w:eastAsia="仿宋_GB2312"/>
          <w:sz w:val="32"/>
          <w:szCs w:val="32"/>
        </w:rPr>
        <w:t>5.社会保障和就业支出（类）行政事业单位养老支出（款）事业单位离退休（项）:支出决算数为36.68万元，比上年决算减少16.18万元，下降30.60%，主要原因是：</w:t>
      </w:r>
      <w:r>
        <w:rPr>
          <w:rFonts w:hint="eastAsia" w:ascii="仿宋_GB2312" w:eastAsia="仿宋_GB2312"/>
          <w:sz w:val="32"/>
          <w:szCs w:val="32"/>
        </w:rPr>
        <w:t>新疆维吾尔自治区灌溉排水发展中心（新疆维吾尔自治区灌溉中心试验站）</w:t>
      </w:r>
      <w:r>
        <w:rPr>
          <w:rFonts w:hint="eastAsia" w:ascii="仿宋_GB2312" w:eastAsia="仿宋_GB2312"/>
          <w:sz w:val="32"/>
          <w:szCs w:val="32"/>
          <w:lang w:val="en-US" w:eastAsia="zh-CN"/>
        </w:rPr>
        <w:t>2023年将所有退休人员缴纳医疗费退回财政，因此较上年决算数有减少</w:t>
      </w:r>
      <w:r>
        <w:rPr>
          <w:rFonts w:hint="eastAsia" w:ascii="仿宋_GB2312" w:hAnsi="仿宋_GB2312" w:eastAsia="仿宋_GB2312" w:cs="仿宋_GB2312"/>
          <w:sz w:val="32"/>
          <w:szCs w:val="32"/>
          <w:lang w:val="en-US" w:eastAsia="zh-CN"/>
        </w:rPr>
        <w:t>。</w:t>
      </w:r>
    </w:p>
    <w:p w14:paraId="3952B471">
      <w:pPr>
        <w:snapToGrid w:val="0"/>
        <w:spacing w:line="520" w:lineRule="exact"/>
        <w:ind w:firstLine="640" w:firstLineChars="200"/>
        <w:rPr>
          <w:rFonts w:ascii="仿宋_GB2312" w:eastAsia="仿宋_GB2312"/>
          <w:sz w:val="32"/>
          <w:szCs w:val="32"/>
        </w:rPr>
      </w:pPr>
      <w:r>
        <w:rPr>
          <w:rFonts w:hint="eastAsia" w:eastAsia="仿宋_GB2312"/>
          <w:sz w:val="32"/>
          <w:szCs w:val="32"/>
        </w:rPr>
        <w:t>6.社会保障和就业支出（类）行政事业单位养老支出（款）机关事业单位职业年金缴费支出（项）:支出决算数为9.17万元，比上年决算增加2.45万元，增长36.49%，主要原因是：</w:t>
      </w:r>
      <w:r>
        <w:rPr>
          <w:rFonts w:hint="eastAsia" w:ascii="仿宋_GB2312" w:eastAsia="仿宋_GB2312"/>
          <w:sz w:val="32"/>
          <w:szCs w:val="32"/>
        </w:rPr>
        <w:t>新疆维吾尔自治区灌溉排水发展中心（新疆维吾尔自治区灌溉中心试验站）</w:t>
      </w:r>
      <w:r>
        <w:rPr>
          <w:rFonts w:hint="eastAsia" w:ascii="仿宋_GB2312" w:hAnsi="仿宋_GB2312" w:eastAsia="仿宋_GB2312" w:cs="仿宋_GB2312"/>
          <w:sz w:val="32"/>
          <w:szCs w:val="32"/>
        </w:rPr>
        <w:t>职工工资普调</w:t>
      </w:r>
      <w:r>
        <w:rPr>
          <w:rFonts w:hint="eastAsia" w:ascii="仿宋_GB2312" w:hAnsi="仿宋_GB2312" w:eastAsia="仿宋_GB2312" w:cs="仿宋_GB2312"/>
          <w:sz w:val="32"/>
          <w:szCs w:val="32"/>
          <w:lang w:eastAsia="zh-CN"/>
        </w:rPr>
        <w:t>、职业年金</w:t>
      </w:r>
      <w:r>
        <w:rPr>
          <w:rFonts w:hint="eastAsia" w:ascii="仿宋_GB2312" w:hAnsi="仿宋_GB2312" w:eastAsia="仿宋_GB2312" w:cs="仿宋_GB2312"/>
          <w:sz w:val="32"/>
          <w:szCs w:val="32"/>
        </w:rPr>
        <w:t>基数增加</w:t>
      </w:r>
      <w:r>
        <w:rPr>
          <w:rFonts w:hint="eastAsia" w:ascii="仿宋_GB2312" w:hAnsi="仿宋_GB2312" w:eastAsia="仿宋_GB2312" w:cs="仿宋_GB2312"/>
          <w:sz w:val="32"/>
          <w:szCs w:val="32"/>
          <w:lang w:eastAsia="zh-CN"/>
        </w:rPr>
        <w:t>。</w:t>
      </w:r>
    </w:p>
    <w:p w14:paraId="17582176">
      <w:pPr>
        <w:snapToGrid w:val="0"/>
        <w:spacing w:line="520" w:lineRule="exact"/>
        <w:ind w:firstLine="640" w:firstLineChars="200"/>
        <w:rPr>
          <w:rFonts w:ascii="仿宋_GB2312" w:eastAsia="仿宋_GB2312"/>
          <w:sz w:val="32"/>
          <w:szCs w:val="32"/>
        </w:rPr>
      </w:pPr>
      <w:r>
        <w:rPr>
          <w:rFonts w:hint="eastAsia" w:eastAsia="仿宋_GB2312"/>
          <w:sz w:val="32"/>
          <w:szCs w:val="32"/>
        </w:rPr>
        <w:t>7.社会保障和就业支出（类）行政事业单位养老支出（款）机关事业单位基本养老保险缴费支出（项）:支出决算数为51.69万元，比上年决算增加9.75万元，增长23.24%，主要原因是：</w:t>
      </w:r>
      <w:r>
        <w:rPr>
          <w:rFonts w:hint="eastAsia" w:ascii="仿宋_GB2312" w:eastAsia="仿宋_GB2312"/>
          <w:sz w:val="32"/>
          <w:szCs w:val="32"/>
        </w:rPr>
        <w:t>新疆维吾尔自治区灌溉排水发展中心（新疆维吾尔自治区灌溉中心试验站）</w:t>
      </w:r>
      <w:r>
        <w:rPr>
          <w:rFonts w:hint="eastAsia" w:ascii="仿宋_GB2312" w:hAnsi="仿宋_GB2312" w:eastAsia="仿宋_GB2312" w:cs="仿宋_GB2312"/>
          <w:sz w:val="32"/>
          <w:szCs w:val="32"/>
        </w:rPr>
        <w:t>职工工资普调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基数增加</w:t>
      </w:r>
      <w:r>
        <w:rPr>
          <w:rFonts w:hint="eastAsia" w:ascii="仿宋_GB2312" w:hAnsi="仿宋_GB2312" w:eastAsia="仿宋_GB2312" w:cs="仿宋_GB2312"/>
          <w:sz w:val="32"/>
          <w:szCs w:val="32"/>
          <w:lang w:eastAsia="zh-CN"/>
        </w:rPr>
        <w:t>。</w:t>
      </w:r>
    </w:p>
    <w:p w14:paraId="5F70DE83">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2B508E8C">
      <w:pPr>
        <w:ind w:firstLine="640" w:firstLineChars="200"/>
        <w:jc w:val="left"/>
        <w:rPr>
          <w:rFonts w:hint="eastAsia" w:ascii="仿宋_GB2312" w:eastAsia="仿宋_GB2312"/>
          <w:sz w:val="32"/>
          <w:szCs w:val="32"/>
          <w:lang w:eastAsia="zh-CN"/>
        </w:rPr>
      </w:pPr>
      <w:r>
        <w:rPr>
          <w:rFonts w:hint="eastAsia" w:ascii="仿宋_GB2312" w:eastAsia="仿宋_GB2312"/>
          <w:sz w:val="32"/>
          <w:szCs w:val="32"/>
        </w:rPr>
        <w:t>2023年度一般公共预算财政拨款基本支出635.93万元，其中：人员经费604.84万元，包括：基本工资、津贴补贴、绩效工资、机关事业单位基本养老保险缴费、职业年金缴费、职工基本医疗保险缴费、公务员医疗补助缴费、其他社会保障缴费、住房公积金、退休费、抚恤金、其他对个人和家庭的补助</w:t>
      </w:r>
      <w:r>
        <w:rPr>
          <w:rFonts w:hint="eastAsia" w:ascii="仿宋_GB2312" w:eastAsia="仿宋_GB2312"/>
          <w:sz w:val="32"/>
          <w:szCs w:val="32"/>
          <w:lang w:eastAsia="zh-CN"/>
        </w:rPr>
        <w:t>。</w:t>
      </w:r>
    </w:p>
    <w:p w14:paraId="2FDD7D16">
      <w:pPr>
        <w:ind w:firstLine="640" w:firstLineChars="200"/>
        <w:jc w:val="left"/>
        <w:rPr>
          <w:rFonts w:hint="eastAsia" w:ascii="仿宋_GB2312" w:eastAsia="仿宋_GB2312"/>
          <w:sz w:val="32"/>
          <w:szCs w:val="32"/>
          <w:highlight w:val="red"/>
          <w:lang w:eastAsia="zh-CN"/>
        </w:rPr>
      </w:pPr>
      <w:r>
        <w:rPr>
          <w:rFonts w:hint="eastAsia" w:ascii="仿宋_GB2312" w:eastAsia="仿宋_GB2312"/>
          <w:sz w:val="32"/>
          <w:szCs w:val="32"/>
        </w:rPr>
        <w:t>公用经费31.09万元，包括：办公费、水费、电费、邮电费、物业管理费、差旅费、劳务费、委托业务费、工会经费、福利费、其他商品和服务支出</w:t>
      </w:r>
      <w:r>
        <w:rPr>
          <w:rFonts w:hint="eastAsia" w:ascii="仿宋_GB2312" w:eastAsia="仿宋_GB2312"/>
          <w:sz w:val="32"/>
          <w:szCs w:val="32"/>
          <w:lang w:eastAsia="zh-CN"/>
        </w:rPr>
        <w:t>。</w:t>
      </w:r>
    </w:p>
    <w:p w14:paraId="6DEBBC4B">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C7B95DB">
      <w:pPr>
        <w:widowControl/>
        <w:spacing w:line="560" w:lineRule="exact"/>
        <w:ind w:firstLine="640" w:firstLineChars="200"/>
        <w:rPr>
          <w:rFonts w:hint="eastAsia" w:ascii="仿宋_GB2312" w:hAnsi="仿宋_GB2312" w:eastAsia="仿宋_GB2312" w:cs="仿宋_GB2312"/>
          <w:sz w:val="32"/>
          <w:szCs w:val="32"/>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hAnsi="仿宋_GB2312" w:eastAsia="仿宋_GB2312" w:cs="仿宋_GB2312"/>
          <w:sz w:val="32"/>
          <w:szCs w:val="32"/>
        </w:rPr>
        <w:t>新疆维吾尔自治区灌溉排水发展中心（新疆维吾尔自治区灌溉中心试验站）2023年均未申</w:t>
      </w:r>
      <w:r>
        <w:rPr>
          <w:rFonts w:hint="eastAsia" w:ascii="仿宋_GB2312" w:hAnsi="仿宋_GB2312" w:eastAsia="仿宋_GB2312" w:cs="仿宋_GB2312"/>
          <w:sz w:val="32"/>
          <w:szCs w:val="32"/>
          <w:lang w:eastAsia="zh-CN"/>
        </w:rPr>
        <w:t>请“三公”经</w:t>
      </w:r>
      <w:r>
        <w:rPr>
          <w:rFonts w:hint="eastAsia" w:ascii="仿宋_GB2312" w:hAnsi="仿宋_GB2312" w:eastAsia="仿宋_GB2312" w:cs="仿宋_GB2312"/>
          <w:sz w:val="32"/>
          <w:szCs w:val="32"/>
        </w:rPr>
        <w:t>费；</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hAnsi="仿宋_GB2312" w:eastAsia="仿宋_GB2312" w:cs="仿宋_GB2312"/>
          <w:sz w:val="32"/>
          <w:szCs w:val="32"/>
        </w:rPr>
        <w:t>新疆维吾尔自治区灌溉排水发展中心（新疆维吾尔自治区灌溉中心试验站）2023年均未申请因公出国（境）费；</w:t>
      </w:r>
      <w:r>
        <w:rPr>
          <w:rFonts w:hint="eastAsia" w:ascii="仿宋_GB2312" w:eastAsia="仿宋_GB2312"/>
          <w:sz w:val="32"/>
          <w:szCs w:val="32"/>
          <w:lang w:val="zh-CN"/>
        </w:rPr>
        <w:t>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hAnsi="仿宋_GB2312" w:eastAsia="仿宋_GB2312" w:cs="仿宋_GB2312"/>
          <w:sz w:val="32"/>
          <w:szCs w:val="32"/>
        </w:rPr>
        <w:t>新疆维吾尔自治区灌溉排水发展中心（新疆维吾尔自治区灌溉中心试验站）</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公务用车</w:t>
      </w:r>
      <w:r>
        <w:rPr>
          <w:rFonts w:hint="eastAsia" w:ascii="仿宋_GB2312" w:hAnsi="仿宋_GB2312" w:eastAsia="仿宋_GB2312" w:cs="仿宋_GB2312"/>
          <w:sz w:val="32"/>
          <w:szCs w:val="32"/>
          <w:lang w:eastAsia="zh-CN"/>
        </w:rPr>
        <w:t>，因此公务用车购置及运行维护费支出较上年无变化</w:t>
      </w:r>
      <w:r>
        <w:rPr>
          <w:rFonts w:hint="eastAsia" w:ascii="仿宋_GB2312" w:hAnsi="仿宋_GB2312" w:eastAsia="仿宋_GB2312" w:cs="仿宋_GB2312"/>
          <w:sz w:val="32"/>
          <w:szCs w:val="32"/>
        </w:rPr>
        <w:t>；</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hAnsi="仿宋_GB2312" w:eastAsia="仿宋_GB2312" w:cs="仿宋_GB2312"/>
          <w:sz w:val="32"/>
          <w:szCs w:val="32"/>
        </w:rPr>
        <w:t>新疆维吾尔自治区灌溉排水发展中心（新疆维吾尔自治区灌溉中心试验站）202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年未安排此项预算支出经费。</w:t>
      </w:r>
    </w:p>
    <w:p w14:paraId="2E03BB9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60B1F9E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hAnsi="仿宋_GB2312" w:eastAsia="仿宋_GB2312" w:cs="仿宋_GB2312"/>
          <w:sz w:val="32"/>
          <w:szCs w:val="32"/>
        </w:rPr>
        <w:t>新疆维吾尔自治区灌溉排水发展中心（新疆维吾尔自治区灌溉中心试验站）</w:t>
      </w:r>
      <w:r>
        <w:rPr>
          <w:rFonts w:hint="eastAsia" w:ascii="仿宋_GB2312" w:hAnsi="仿宋_GB2312" w:eastAsia="仿宋_GB2312" w:cs="仿宋_GB2312"/>
          <w:sz w:val="32"/>
          <w:szCs w:val="32"/>
          <w:lang w:eastAsia="zh-CN"/>
        </w:rPr>
        <w:t>无</w:t>
      </w:r>
      <w:r>
        <w:rPr>
          <w:rFonts w:hint="eastAsia" w:ascii="仿宋_GB2312" w:eastAsia="仿宋_GB2312"/>
          <w:sz w:val="32"/>
          <w:szCs w:val="32"/>
          <w:lang w:val="zh-CN"/>
        </w:rPr>
        <w:t>因公出国（境）费支出。单位全年安排的因公出国（境）团组0个，因公出国（境）0人次。</w:t>
      </w:r>
    </w:p>
    <w:p w14:paraId="0A4055DC">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hAnsi="仿宋_GB2312" w:eastAsia="仿宋_GB2312" w:cs="仿宋_GB2312"/>
          <w:sz w:val="32"/>
          <w:szCs w:val="32"/>
        </w:rPr>
        <w:t>疆维吾尔自治区灌溉排水发展中心（新疆维吾尔自治区灌溉中心试验站）</w:t>
      </w:r>
      <w:r>
        <w:rPr>
          <w:rFonts w:hint="eastAsia" w:ascii="仿宋_GB2312" w:hAnsi="仿宋_GB2312" w:eastAsia="仿宋_GB2312" w:cs="仿宋_GB2312"/>
          <w:sz w:val="32"/>
          <w:szCs w:val="32"/>
          <w:lang w:eastAsia="zh-CN"/>
        </w:rPr>
        <w:t>无公务用车，因此未产生公务用车购置及运行维护费。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原因是：此车已于</w:t>
      </w:r>
      <w:r>
        <w:rPr>
          <w:rFonts w:hint="eastAsia" w:ascii="仿宋_GB2312" w:eastAsia="仿宋_GB2312"/>
          <w:sz w:val="32"/>
          <w:szCs w:val="32"/>
          <w:lang w:val="en-US" w:eastAsia="zh-CN"/>
        </w:rPr>
        <w:t>2021年</w:t>
      </w:r>
      <w:r>
        <w:rPr>
          <w:rFonts w:hint="eastAsia" w:ascii="仿宋_GB2312" w:eastAsia="仿宋_GB2312"/>
          <w:sz w:val="32"/>
          <w:szCs w:val="32"/>
          <w:lang w:val="zh-CN"/>
        </w:rPr>
        <w:t>划转至自治区水利厅办公室。</w:t>
      </w:r>
    </w:p>
    <w:p w14:paraId="282ABAC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hAnsi="仿宋_GB2312" w:eastAsia="仿宋_GB2312" w:cs="仿宋_GB2312"/>
          <w:sz w:val="32"/>
          <w:szCs w:val="32"/>
        </w:rPr>
        <w:t>疆维吾尔自治区灌溉排水发展中心（新疆维吾尔自治区灌溉中心试验站）</w:t>
      </w:r>
      <w:r>
        <w:rPr>
          <w:rFonts w:hint="eastAsia" w:ascii="仿宋_GB2312" w:hAnsi="仿宋_GB2312" w:eastAsia="仿宋_GB2312" w:cs="仿宋_GB2312"/>
          <w:sz w:val="32"/>
          <w:szCs w:val="32"/>
          <w:lang w:eastAsia="zh-CN"/>
        </w:rPr>
        <w:t>无公务接待费。</w:t>
      </w:r>
      <w:r>
        <w:rPr>
          <w:rFonts w:hint="eastAsia" w:ascii="仿宋_GB2312" w:eastAsia="仿宋_GB2312"/>
          <w:sz w:val="32"/>
          <w:szCs w:val="32"/>
          <w:lang w:val="zh-CN"/>
        </w:rPr>
        <w:t>单位全年安排的国内公务接待0批次，0人次。</w:t>
      </w:r>
    </w:p>
    <w:p w14:paraId="1255A49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hAnsi="仿宋_GB2312" w:eastAsia="仿宋_GB2312" w:cs="仿宋_GB2312"/>
          <w:sz w:val="32"/>
          <w:szCs w:val="32"/>
        </w:rPr>
        <w:t>疆维吾尔自治区灌溉排水发展中心（新疆维吾尔自治区灌溉中心试验站）</w:t>
      </w:r>
      <w:r>
        <w:rPr>
          <w:rFonts w:hint="eastAsia" w:ascii="仿宋_GB2312" w:hAnsi="仿宋_GB2312" w:eastAsia="仿宋_GB2312" w:cs="仿宋_GB2312"/>
          <w:sz w:val="32"/>
          <w:szCs w:val="32"/>
          <w:lang w:eastAsia="zh-CN"/>
        </w:rPr>
        <w:t>无“三公”经费。</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hAnsi="仿宋_GB2312" w:eastAsia="仿宋_GB2312" w:cs="仿宋_GB2312"/>
          <w:sz w:val="32"/>
          <w:szCs w:val="32"/>
        </w:rPr>
        <w:t>新疆维吾尔自治区灌溉排水发展中心（新疆维吾尔自治区灌溉中心试验站）</w:t>
      </w:r>
      <w:r>
        <w:rPr>
          <w:rFonts w:hint="eastAsia" w:ascii="仿宋_GB2312" w:hAnsi="仿宋_GB2312" w:eastAsia="仿宋_GB2312" w:cs="仿宋_GB2312"/>
          <w:sz w:val="32"/>
          <w:szCs w:val="32"/>
          <w:lang w:eastAsia="zh-CN"/>
        </w:rPr>
        <w:t>无</w:t>
      </w:r>
      <w:r>
        <w:rPr>
          <w:rFonts w:hint="eastAsia" w:ascii="仿宋_GB2312" w:eastAsia="仿宋_GB2312"/>
          <w:sz w:val="32"/>
          <w:szCs w:val="32"/>
          <w:lang w:val="zh-CN"/>
        </w:rPr>
        <w:t>因公出国（境）费支出。公务用车购置费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hAnsi="仿宋_GB2312" w:eastAsia="仿宋_GB2312" w:cs="仿宋_GB2312"/>
          <w:sz w:val="32"/>
          <w:szCs w:val="32"/>
        </w:rPr>
        <w:t>疆维吾尔自治区灌溉排水发展中心（新疆维吾尔自治区灌溉中心试验站）</w:t>
      </w:r>
      <w:r>
        <w:rPr>
          <w:rFonts w:hint="eastAsia" w:ascii="仿宋_GB2312" w:hAnsi="仿宋_GB2312" w:eastAsia="仿宋_GB2312" w:cs="仿宋_GB2312"/>
          <w:sz w:val="32"/>
          <w:szCs w:val="32"/>
          <w:lang w:eastAsia="zh-CN"/>
        </w:rPr>
        <w:t>无公务用车。</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hAnsi="仿宋_GB2312" w:eastAsia="仿宋_GB2312" w:cs="仿宋_GB2312"/>
          <w:sz w:val="32"/>
          <w:szCs w:val="32"/>
        </w:rPr>
        <w:t>疆维吾尔自治区灌溉排水发展中心（新疆维吾尔自治区灌溉中心试验站）</w:t>
      </w:r>
      <w:r>
        <w:rPr>
          <w:rFonts w:hint="eastAsia" w:ascii="仿宋_GB2312" w:hAnsi="仿宋_GB2312" w:eastAsia="仿宋_GB2312" w:cs="仿宋_GB2312"/>
          <w:sz w:val="32"/>
          <w:szCs w:val="32"/>
          <w:lang w:eastAsia="zh-CN"/>
        </w:rPr>
        <w:t>无公务用车。</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hAnsi="仿宋_GB2312" w:eastAsia="仿宋_GB2312" w:cs="仿宋_GB2312"/>
          <w:sz w:val="32"/>
          <w:szCs w:val="32"/>
        </w:rPr>
        <w:t>疆维吾尔自治区灌溉排水发展中心（新疆维吾尔自治区灌溉中心试验站）</w:t>
      </w:r>
      <w:r>
        <w:rPr>
          <w:rFonts w:hint="eastAsia" w:ascii="仿宋_GB2312" w:hAnsi="仿宋_GB2312" w:eastAsia="仿宋_GB2312" w:cs="仿宋_GB2312"/>
          <w:sz w:val="32"/>
          <w:szCs w:val="32"/>
          <w:lang w:eastAsia="zh-CN"/>
        </w:rPr>
        <w:t>无公务接待费。</w:t>
      </w:r>
    </w:p>
    <w:p w14:paraId="2690FED8">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286B32A6">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562B7344">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29D3A06A">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EF0F0C3">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01FA801E">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693D5526">
      <w:pPr>
        <w:snapToGrid w:val="0"/>
        <w:spacing w:line="520" w:lineRule="exact"/>
        <w:ind w:firstLine="640" w:firstLineChars="200"/>
        <w:rPr>
          <w:rFonts w:ascii="仿宋_GB2312" w:eastAsia="仿宋_GB2312"/>
          <w:sz w:val="32"/>
          <w:szCs w:val="32"/>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新疆维吾尔自治区灌溉排水发展中心（新疆维吾尔自治区灌溉中心试验站）（事业单位）公用经费支出31.09万元，</w:t>
      </w:r>
      <w:r>
        <w:rPr>
          <w:rFonts w:hint="eastAsia" w:eastAsia="仿宋_GB2312"/>
          <w:sz w:val="32"/>
          <w:szCs w:val="32"/>
          <w:lang w:val="zh-CN"/>
        </w:rPr>
        <w:t>比上年增加10.20万元，增长48.81%，主要原因是：</w:t>
      </w:r>
      <w:r>
        <w:rPr>
          <w:rFonts w:hint="eastAsia" w:ascii="仿宋_GB2312" w:eastAsia="仿宋_GB2312"/>
          <w:sz w:val="32"/>
          <w:szCs w:val="32"/>
        </w:rPr>
        <w:t>新疆维吾尔自治区灌溉排水发展中心（新疆维吾尔自治区灌溉中心试验站）</w:t>
      </w:r>
      <w:r>
        <w:rPr>
          <w:rFonts w:hint="eastAsia" w:ascii="仿宋_GB2312" w:hAnsi="仿宋_GB2312" w:eastAsia="仿宋_GB2312" w:cs="仿宋_GB2312"/>
          <w:sz w:val="32"/>
          <w:szCs w:val="32"/>
          <w:lang w:eastAsia="zh-CN"/>
        </w:rPr>
        <w:t>因本年正常开展业务工作，产生办公费、差旅费等公用经费的支出。</w:t>
      </w:r>
    </w:p>
    <w:p w14:paraId="018F1178">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1306CD42">
      <w:pPr>
        <w:ind w:firstLine="640" w:firstLineChars="200"/>
        <w:jc w:val="left"/>
        <w:rPr>
          <w:rFonts w:eastAsia="仿宋_GB2312"/>
          <w:sz w:val="32"/>
          <w:szCs w:val="32"/>
          <w:lang w:val="zh-CN"/>
        </w:rPr>
      </w:pPr>
      <w:r>
        <w:rPr>
          <w:rFonts w:hint="eastAsia" w:eastAsia="仿宋_GB2312"/>
          <w:sz w:val="32"/>
          <w:szCs w:val="32"/>
          <w:lang w:val="zh-CN"/>
        </w:rPr>
        <w:t>2023年度政府采购支出总额7.00万元，其中：政府采购货物支出2.80万元、政府采购工程支出0.00万元、政府采购服务支出4.20万元。</w:t>
      </w:r>
    </w:p>
    <w:p w14:paraId="1E7E83EE">
      <w:pPr>
        <w:ind w:firstLine="640" w:firstLineChars="200"/>
        <w:jc w:val="left"/>
        <w:rPr>
          <w:rFonts w:eastAsia="仿宋_GB2312"/>
          <w:sz w:val="32"/>
          <w:szCs w:val="32"/>
        </w:rPr>
      </w:pPr>
      <w:r>
        <w:rPr>
          <w:rFonts w:hint="eastAsia" w:eastAsia="仿宋_GB2312"/>
          <w:sz w:val="32"/>
          <w:szCs w:val="32"/>
          <w:lang w:val="zh-CN"/>
        </w:rPr>
        <w:t>授予中小企业合同金额7.00万元，占政府采购支出总额的100.00</w:t>
      </w:r>
      <w:r>
        <w:rPr>
          <w:rFonts w:eastAsia="仿宋_GB2312"/>
          <w:sz w:val="32"/>
          <w:szCs w:val="32"/>
          <w:lang w:val="zh-CN"/>
        </w:rPr>
        <w:t>%</w:t>
      </w:r>
      <w:r>
        <w:rPr>
          <w:rFonts w:hint="eastAsia" w:eastAsia="仿宋_GB2312"/>
          <w:sz w:val="32"/>
          <w:szCs w:val="32"/>
          <w:lang w:val="zh-CN"/>
        </w:rPr>
        <w:t>；其中：授予小微企业合同金额7.00万元，占政府采购支出总额的100.00</w:t>
      </w:r>
      <w:r>
        <w:rPr>
          <w:rFonts w:eastAsia="仿宋_GB2312"/>
          <w:sz w:val="32"/>
          <w:szCs w:val="32"/>
          <w:lang w:val="zh-CN"/>
        </w:rPr>
        <w:t>%</w:t>
      </w:r>
      <w:r>
        <w:rPr>
          <w:rFonts w:hint="eastAsia" w:eastAsia="仿宋_GB2312"/>
          <w:sz w:val="32"/>
          <w:szCs w:val="32"/>
        </w:rPr>
        <w:t>。</w:t>
      </w:r>
    </w:p>
    <w:p w14:paraId="429FA712">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26FE102B">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151.66</w:t>
      </w:r>
      <w:r>
        <w:rPr>
          <w:rFonts w:hint="eastAsia" w:eastAsia="仿宋_GB2312"/>
          <w:sz w:val="32"/>
          <w:szCs w:val="32"/>
        </w:rPr>
        <w:t>万元，房</w:t>
      </w:r>
      <w:r>
        <w:rPr>
          <w:rFonts w:hint="eastAsia" w:eastAsia="仿宋_GB2312"/>
          <w:sz w:val="32"/>
          <w:szCs w:val="32"/>
          <w:lang w:val="zh-CN"/>
        </w:rPr>
        <w:t>屋0.00平方米，价值0.00万元。车辆1辆，价值20.00万元，其中：副部（省）级及以上领导用车0辆、主要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用车0辆、其用车1辆，其他用车主要是：公务用</w:t>
      </w:r>
      <w:r>
        <w:rPr>
          <w:rFonts w:hint="eastAsia" w:ascii="仿宋_GB2312" w:eastAsia="仿宋_GB2312"/>
          <w:sz w:val="32"/>
          <w:szCs w:val="32"/>
          <w:lang w:val="zh-CN"/>
        </w:rPr>
        <w:t>已于</w:t>
      </w:r>
      <w:r>
        <w:rPr>
          <w:rFonts w:hint="eastAsia" w:ascii="仿宋_GB2312" w:eastAsia="仿宋_GB2312"/>
          <w:sz w:val="32"/>
          <w:szCs w:val="32"/>
          <w:lang w:val="en-US" w:eastAsia="zh-CN"/>
        </w:rPr>
        <w:t>2021年</w:t>
      </w:r>
      <w:r>
        <w:rPr>
          <w:rFonts w:hint="eastAsia" w:ascii="仿宋_GB2312" w:eastAsia="仿宋_GB2312"/>
          <w:sz w:val="32"/>
          <w:szCs w:val="32"/>
          <w:lang w:val="zh-CN"/>
        </w:rPr>
        <w:t>划转至自治区水利厅办公室。</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14:paraId="3889F07C">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46D4E9D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根据预算绩效管理要求，我单位2023年预算绩效评价目标1个，全年预算数33万元，全年执行数33万元。</w:t>
      </w:r>
    </w:p>
    <w:p w14:paraId="1634CB1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 w:hAnsi="仿宋" w:eastAsia="仿宋" w:cs="仿宋"/>
          <w:sz w:val="32"/>
          <w:szCs w:val="32"/>
          <w:highlight w:val="none"/>
          <w:lang w:val="en-US" w:eastAsia="zh-CN"/>
        </w:rPr>
        <w:t>预算绩效管理取得的成效：</w:t>
      </w:r>
      <w:r>
        <w:rPr>
          <w:rFonts w:hint="eastAsia" w:ascii="仿宋_GB2312" w:hAnsi="仿宋_GB2312" w:eastAsia="仿宋_GB2312" w:cs="仿宋_GB2312"/>
          <w:b w:val="0"/>
          <w:bCs w:val="0"/>
          <w:color w:val="auto"/>
          <w:kern w:val="2"/>
          <w:sz w:val="32"/>
          <w:szCs w:val="32"/>
          <w:highlight w:val="none"/>
          <w:lang w:val="en-US" w:eastAsia="zh-CN" w:bidi="ar-SA"/>
        </w:rPr>
        <w:t>自治区灌排中心每年对上一年度已建大、中型灌区项目和当年度在建大、中型灌区项目进行帮扶指导、专项督查，对项目建设进度、工程质量、安全管理等进行督导，对督查发现的问题按要求进行整改，截至2023年底检查人员未发生被投诉情况，达到预期指标值。</w:t>
      </w:r>
    </w:p>
    <w:p w14:paraId="1560DB7F">
      <w:pPr>
        <w:numPr>
          <w:ilvl w:val="0"/>
          <w:numId w:val="0"/>
        </w:numPr>
        <w:spacing w:line="540" w:lineRule="exact"/>
        <w:ind w:firstLine="640" w:firstLineChars="200"/>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发现的问题及原因：</w:t>
      </w:r>
    </w:p>
    <w:p w14:paraId="294272D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1.</w:t>
      </w:r>
      <w:r>
        <w:rPr>
          <w:rFonts w:hint="default"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对预算绩效管理的认识不足，重视不够，导致在资金申报和管理上存在“重预算分配、轻预算管理、重支出、轻绩效”的情况。对预算绩效工作的认知不到位，绩效观念不强，缺乏全局考虑效益最大化的意识</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w:t>
      </w:r>
      <w:r>
        <w:rPr>
          <w:rFonts w:hint="default"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w:t>
      </w:r>
    </w:p>
    <w:p w14:paraId="347A4EE4">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2.</w:t>
      </w:r>
      <w:r>
        <w:rPr>
          <w:rFonts w:hint="default"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绩效目标不完整、不规范、不严谨，缺乏细化、量化，导致后续过程监控和结果考核评价缺乏具体准确的参考依据，难以有效评估项目建设的成效和资金使用效益</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w:t>
      </w:r>
    </w:p>
    <w:p w14:paraId="3786648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原因：</w:t>
      </w:r>
      <w:r>
        <w:rPr>
          <w:rFonts w:hint="default"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单位人员对预算绩效管理的认识不充分，尤其是对“效”的理解不够，未能将工作重点放在效益和效果方面</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w:t>
      </w:r>
      <w:r>
        <w:rPr>
          <w:rFonts w:hint="default"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对绩效评价的实操流程不清晰，责任难落实，导致绩效主体责任压实不够</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w:t>
      </w:r>
    </w:p>
    <w:p w14:paraId="5CA1A278">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color w:val="auto"/>
          <w:sz w:val="32"/>
          <w:szCs w:val="32"/>
          <w:highlight w:val="none"/>
        </w:rPr>
      </w:pPr>
      <w:r>
        <w:rPr>
          <w:rFonts w:hint="eastAsia" w:ascii="仿宋_GB2312" w:hAnsi="仿宋_GB2312" w:eastAsia="仿宋_GB2312" w:cs="仿宋_GB2312"/>
          <w:b w:val="0"/>
          <w:bCs w:val="0"/>
          <w:color w:val="auto"/>
          <w:kern w:val="2"/>
          <w:sz w:val="32"/>
          <w:szCs w:val="32"/>
          <w:highlight w:val="none"/>
          <w:lang w:val="en-US" w:eastAsia="zh-CN" w:bidi="ar-SA"/>
        </w:rPr>
        <w:t>下一步改进措施：</w:t>
      </w:r>
      <w:r>
        <w:rPr>
          <w:rFonts w:hint="eastAsia" w:ascii="仿宋_GB2312" w:eastAsia="仿宋_GB2312"/>
          <w:color w:val="auto"/>
          <w:sz w:val="32"/>
          <w:szCs w:val="32"/>
          <w:highlight w:val="none"/>
          <w:lang w:val="en-US" w:eastAsia="zh-CN"/>
        </w:rPr>
        <w:t>2023年预算执行率100%，</w:t>
      </w:r>
      <w:r>
        <w:rPr>
          <w:rFonts w:hint="eastAsia" w:ascii="仿宋_GB2312" w:eastAsia="仿宋_GB2312"/>
          <w:color w:val="auto"/>
          <w:sz w:val="32"/>
          <w:szCs w:val="32"/>
          <w:highlight w:val="none"/>
        </w:rPr>
        <w:t>今后</w:t>
      </w:r>
      <w:r>
        <w:rPr>
          <w:rFonts w:hint="eastAsia" w:ascii="仿宋_GB2312" w:eastAsia="仿宋_GB2312"/>
          <w:color w:val="auto"/>
          <w:sz w:val="32"/>
          <w:szCs w:val="32"/>
          <w:highlight w:val="none"/>
          <w:lang w:val="en-US" w:eastAsia="zh-CN"/>
        </w:rPr>
        <w:t>绩效管理方面</w:t>
      </w:r>
      <w:r>
        <w:rPr>
          <w:rFonts w:hint="eastAsia" w:ascii="仿宋_GB2312" w:eastAsia="仿宋_GB2312"/>
          <w:color w:val="auto"/>
          <w:sz w:val="32"/>
          <w:szCs w:val="32"/>
          <w:highlight w:val="none"/>
        </w:rPr>
        <w:t>，</w:t>
      </w:r>
      <w:r>
        <w:rPr>
          <w:rFonts w:hint="eastAsia" w:ascii="仿宋_GB2312" w:eastAsia="仿宋_GB2312"/>
          <w:b/>
          <w:bCs/>
          <w:color w:val="auto"/>
          <w:sz w:val="32"/>
          <w:szCs w:val="32"/>
          <w:highlight w:val="none"/>
          <w:lang w:val="en-US" w:eastAsia="zh-CN"/>
        </w:rPr>
        <w:t>一是</w:t>
      </w:r>
      <w:r>
        <w:rPr>
          <w:rFonts w:hint="eastAsia" w:ascii="仿宋_GB2312" w:eastAsia="仿宋_GB2312"/>
          <w:color w:val="auto"/>
          <w:sz w:val="32"/>
          <w:szCs w:val="32"/>
          <w:highlight w:val="none"/>
        </w:rPr>
        <w:t>将充分考虑各方面因素，</w:t>
      </w:r>
      <w:r>
        <w:rPr>
          <w:rFonts w:hint="eastAsia" w:ascii="仿宋_GB2312" w:eastAsia="仿宋_GB2312"/>
          <w:color w:val="auto"/>
          <w:sz w:val="32"/>
          <w:szCs w:val="32"/>
          <w:highlight w:val="none"/>
          <w:lang w:val="en-US" w:eastAsia="zh-CN"/>
        </w:rPr>
        <w:t>持续</w:t>
      </w:r>
      <w:r>
        <w:rPr>
          <w:rFonts w:hint="eastAsia" w:ascii="仿宋_GB2312" w:eastAsia="仿宋_GB2312"/>
          <w:color w:val="auto"/>
          <w:sz w:val="32"/>
          <w:szCs w:val="32"/>
          <w:highlight w:val="none"/>
        </w:rPr>
        <w:t xml:space="preserve">提高预算编制水平，合理地、精准地、科学地编制预算，提前做好项目规划等前期准备工作，按实施进度编制年度预算；落实绩效运行监控管理制度，按季度对预算项目实施进展、预算执行进度和绩效目标实现程度等开展跟踪监控和纠偏处理，发现问题及时进行整改。 </w:t>
      </w:r>
      <w:r>
        <w:rPr>
          <w:rFonts w:hint="eastAsia" w:ascii="仿宋_GB2312" w:eastAsia="仿宋_GB2312"/>
          <w:b/>
          <w:bCs/>
          <w:color w:val="auto"/>
          <w:sz w:val="32"/>
          <w:szCs w:val="32"/>
          <w:highlight w:val="none"/>
        </w:rPr>
        <w:t>二是</w:t>
      </w:r>
      <w:r>
        <w:rPr>
          <w:rFonts w:hint="eastAsia" w:ascii="仿宋_GB2312" w:eastAsia="仿宋_GB2312"/>
          <w:color w:val="auto"/>
          <w:sz w:val="32"/>
          <w:szCs w:val="32"/>
          <w:highlight w:val="none"/>
        </w:rPr>
        <w:t>积极与上对接，及时掌握来年工作计划，提升预算编制的科学性、预见性；预算编制细化，落实到具体执行项目，提高财政资金的使用效益；认真执行预算法等法律法规，维护预算的严肃性。</w:t>
      </w:r>
    </w:p>
    <w:p w14:paraId="2D40A62A">
      <w:pPr>
        <w:pStyle w:val="2"/>
        <w:rPr>
          <w:highlight w:val="none"/>
        </w:rPr>
      </w:pPr>
    </w:p>
    <w:p w14:paraId="7C4E91F0">
      <w:pPr>
        <w:pStyle w:val="4"/>
        <w:rPr>
          <w:highlight w:val="none"/>
        </w:rPr>
      </w:pPr>
    </w:p>
    <w:p w14:paraId="338E8AF3">
      <w:pPr>
        <w:pStyle w:val="4"/>
        <w:rPr>
          <w:highlight w:val="none"/>
        </w:rPr>
      </w:pPr>
    </w:p>
    <w:p w14:paraId="02606507">
      <w:pPr>
        <w:pStyle w:val="4"/>
        <w:rPr>
          <w:highlight w:val="none"/>
        </w:rPr>
      </w:pPr>
    </w:p>
    <w:p w14:paraId="6CC2D4DB">
      <w:pPr>
        <w:pStyle w:val="4"/>
        <w:rPr>
          <w:highlight w:val="none"/>
        </w:rPr>
      </w:pPr>
    </w:p>
    <w:p w14:paraId="31F33563">
      <w:pPr>
        <w:pStyle w:val="4"/>
        <w:rPr>
          <w:highlight w:val="none"/>
        </w:rPr>
      </w:pPr>
    </w:p>
    <w:p w14:paraId="68AFA4D2">
      <w:pPr>
        <w:pStyle w:val="4"/>
        <w:rPr>
          <w:highlight w:val="none"/>
        </w:rPr>
      </w:pPr>
    </w:p>
    <w:p w14:paraId="726F6C49">
      <w:pPr>
        <w:pStyle w:val="4"/>
        <w:rPr>
          <w:highlight w:val="none"/>
        </w:rPr>
      </w:pPr>
    </w:p>
    <w:p w14:paraId="2FD2F78F">
      <w:pPr>
        <w:pStyle w:val="4"/>
        <w:rPr>
          <w:highlight w:val="none"/>
        </w:rPr>
      </w:pPr>
      <w:bookmarkStart w:id="48" w:name="_GoBack"/>
      <w:bookmarkEnd w:id="48"/>
    </w:p>
    <w:p w14:paraId="529A21BD">
      <w:pPr>
        <w:pStyle w:val="4"/>
        <w:rPr>
          <w:highlight w:val="none"/>
        </w:rPr>
      </w:pPr>
    </w:p>
    <w:p w14:paraId="18DEC1CA">
      <w:pPr>
        <w:pStyle w:val="4"/>
        <w:ind w:left="0" w:leftChars="0" w:firstLine="0" w:firstLineChars="0"/>
      </w:pPr>
    </w:p>
    <w:tbl>
      <w:tblPr>
        <w:tblStyle w:val="12"/>
        <w:tblW w:w="946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0"/>
        <w:gridCol w:w="501"/>
        <w:gridCol w:w="693"/>
        <w:gridCol w:w="1017"/>
        <w:gridCol w:w="1381"/>
        <w:gridCol w:w="1018"/>
        <w:gridCol w:w="916"/>
        <w:gridCol w:w="840"/>
        <w:gridCol w:w="310"/>
        <w:gridCol w:w="265"/>
        <w:gridCol w:w="308"/>
        <w:gridCol w:w="508"/>
        <w:gridCol w:w="517"/>
        <w:gridCol w:w="615"/>
      </w:tblGrid>
      <w:tr w14:paraId="429C3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9477" w:type="dxa"/>
            <w:gridSpan w:val="14"/>
            <w:tcBorders>
              <w:top w:val="nil"/>
              <w:left w:val="nil"/>
              <w:bottom w:val="nil"/>
              <w:right w:val="nil"/>
            </w:tcBorders>
            <w:shd w:val="clear" w:color="auto" w:fill="auto"/>
            <w:vAlign w:val="center"/>
          </w:tcPr>
          <w:p w14:paraId="6121D2EF">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7AB89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77" w:type="dxa"/>
            <w:gridSpan w:val="14"/>
            <w:tcBorders>
              <w:top w:val="nil"/>
              <w:left w:val="nil"/>
              <w:bottom w:val="nil"/>
              <w:right w:val="nil"/>
            </w:tcBorders>
            <w:shd w:val="clear" w:color="auto" w:fill="auto"/>
            <w:vAlign w:val="center"/>
          </w:tcPr>
          <w:p w14:paraId="7346EE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(2023年度)</w:t>
            </w:r>
          </w:p>
        </w:tc>
      </w:tr>
      <w:tr w14:paraId="34852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4E0D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8158"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7C516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自治区水利发展资金项目-水利灌溉管理专项</w:t>
            </w:r>
          </w:p>
        </w:tc>
      </w:tr>
      <w:tr w14:paraId="00444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51D8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473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D6710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灌溉排水发展中心</w:t>
            </w:r>
          </w:p>
        </w:tc>
        <w:tc>
          <w:tcPr>
            <w:tcW w:w="13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3710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211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890E3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灌溉排水发展中心</w:t>
            </w:r>
          </w:p>
        </w:tc>
      </w:tr>
      <w:tr w14:paraId="68632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3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86719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项目资金</w:t>
            </w:r>
          </w:p>
          <w:p w14:paraId="66F87A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（万元）</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74D3FB">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E97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18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AD3D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3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1B39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07F2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7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CEE5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7DA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1AA19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7D60B2">
            <w:pPr>
              <w:jc w:val="center"/>
              <w:rPr>
                <w:rFonts w:hint="eastAsia" w:ascii="宋体" w:hAnsi="宋体" w:eastAsia="宋体" w:cs="宋体"/>
                <w:i w:val="0"/>
                <w:iCs w:val="0"/>
                <w:color w:val="000000"/>
                <w:sz w:val="20"/>
                <w:szCs w:val="20"/>
                <w:u w:val="none"/>
              </w:rPr>
            </w:pP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9983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40E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33.00</w:t>
            </w:r>
          </w:p>
        </w:tc>
        <w:tc>
          <w:tcPr>
            <w:tcW w:w="18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2E78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33.00</w:t>
            </w:r>
          </w:p>
        </w:tc>
        <w:tc>
          <w:tcPr>
            <w:tcW w:w="13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A30D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33.00</w:t>
            </w:r>
          </w:p>
        </w:tc>
        <w:tc>
          <w:tcPr>
            <w:tcW w:w="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0AEA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2FEB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78C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10分</w:t>
            </w:r>
          </w:p>
        </w:tc>
      </w:tr>
      <w:tr w14:paraId="4496C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9144C">
            <w:pPr>
              <w:jc w:val="center"/>
              <w:rPr>
                <w:rFonts w:hint="eastAsia" w:ascii="宋体" w:hAnsi="宋体" w:eastAsia="宋体" w:cs="宋体"/>
                <w:i w:val="0"/>
                <w:iCs w:val="0"/>
                <w:color w:val="000000"/>
                <w:sz w:val="20"/>
                <w:szCs w:val="20"/>
                <w:u w:val="none"/>
              </w:rPr>
            </w:pP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2BCF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364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33.00</w:t>
            </w:r>
          </w:p>
        </w:tc>
        <w:tc>
          <w:tcPr>
            <w:tcW w:w="18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1356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33.00</w:t>
            </w:r>
          </w:p>
        </w:tc>
        <w:tc>
          <w:tcPr>
            <w:tcW w:w="13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DD31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33.00</w:t>
            </w:r>
          </w:p>
        </w:tc>
        <w:tc>
          <w:tcPr>
            <w:tcW w:w="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4D29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924D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5D2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438F7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A3D47B">
            <w:pPr>
              <w:jc w:val="center"/>
              <w:rPr>
                <w:rFonts w:hint="eastAsia" w:ascii="宋体" w:hAnsi="宋体" w:eastAsia="宋体" w:cs="宋体"/>
                <w:i w:val="0"/>
                <w:iCs w:val="0"/>
                <w:color w:val="000000"/>
                <w:sz w:val="20"/>
                <w:szCs w:val="20"/>
                <w:u w:val="none"/>
              </w:rPr>
            </w:pP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2FC0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1FC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39EF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483C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2D2D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8E0B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C66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53009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907A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53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D7140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42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CEA76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48FF1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0"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7FAD3">
            <w:pPr>
              <w:jc w:val="center"/>
              <w:rPr>
                <w:rFonts w:hint="eastAsia" w:ascii="宋体" w:hAnsi="宋体" w:eastAsia="宋体" w:cs="宋体"/>
                <w:i w:val="0"/>
                <w:iCs w:val="0"/>
                <w:color w:val="000000"/>
                <w:sz w:val="20"/>
                <w:szCs w:val="20"/>
                <w:u w:val="none"/>
              </w:rPr>
            </w:pPr>
          </w:p>
        </w:tc>
        <w:tc>
          <w:tcPr>
            <w:tcW w:w="5313"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0D401B40">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国家部委关于“十四五”大中型灌区建设续建配套与现代化改造的要求，加大全疆大中型灌区项目的监督检查力度，稳步推进项目建设，提升灌区项目建设质量和管理水平。帮扶指导工作采取以点带面、对重点地州进行了抽查，2023年至少完成8个地（州）、16个县（市）的大中型灌区项目的帮扶指导，对检查中存在的问题进行现场反馈交流，要求项目业主等相关单位整改落实。进一步保障大中型灌区运行，巩固拓展脱贫攻坚成果，保证粮食安全生产，持续发挥经济、社会及生态效益。</w:t>
            </w:r>
          </w:p>
        </w:tc>
        <w:tc>
          <w:tcPr>
            <w:tcW w:w="3427"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1F829002">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完成8个地（州）、16个县（市）的大中型灌区项目的帮扶指导，对检查中存在的问题进行现场反馈交流，要求项目业主等相关单位整改落实。进一步保障大中型灌区运行，巩固拓展脱贫攻坚成果，保证粮食安全生产，持续发挥经济、社会及生态效益</w:t>
            </w:r>
          </w:p>
        </w:tc>
      </w:tr>
      <w:tr w14:paraId="37D95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77E21">
            <w:pPr>
              <w:jc w:val="center"/>
              <w:rPr>
                <w:rFonts w:hint="eastAsia" w:ascii="宋体" w:hAnsi="宋体" w:eastAsia="宋体" w:cs="宋体"/>
                <w:i w:val="0"/>
                <w:iCs w:val="0"/>
                <w:color w:val="000000"/>
                <w:sz w:val="20"/>
                <w:szCs w:val="20"/>
                <w:u w:val="none"/>
              </w:rPr>
            </w:pPr>
          </w:p>
        </w:tc>
        <w:tc>
          <w:tcPr>
            <w:tcW w:w="582" w:type="dxa"/>
            <w:tcBorders>
              <w:top w:val="single" w:color="000000" w:sz="4" w:space="0"/>
              <w:left w:val="single" w:color="000000" w:sz="4" w:space="0"/>
              <w:bottom w:val="single" w:color="000000" w:sz="4" w:space="0"/>
              <w:right w:val="nil"/>
            </w:tcBorders>
            <w:shd w:val="clear" w:color="auto" w:fill="auto"/>
            <w:vAlign w:val="top"/>
          </w:tcPr>
          <w:p w14:paraId="0CC6FEC4">
            <w:pPr>
              <w:jc w:val="left"/>
              <w:rPr>
                <w:rFonts w:hint="eastAsia" w:ascii="宋体" w:hAnsi="宋体" w:eastAsia="宋体" w:cs="宋体"/>
                <w:i w:val="0"/>
                <w:iCs w:val="0"/>
                <w:color w:val="000000"/>
                <w:sz w:val="20"/>
                <w:szCs w:val="20"/>
                <w:u w:val="none"/>
              </w:rPr>
            </w:pPr>
          </w:p>
        </w:tc>
        <w:tc>
          <w:tcPr>
            <w:tcW w:w="960" w:type="dxa"/>
            <w:tcBorders>
              <w:top w:val="single" w:color="000000" w:sz="4" w:space="0"/>
              <w:left w:val="nil"/>
              <w:bottom w:val="single" w:color="000000" w:sz="4" w:space="0"/>
              <w:right w:val="nil"/>
            </w:tcBorders>
            <w:shd w:val="clear" w:color="auto" w:fill="auto"/>
            <w:vAlign w:val="top"/>
          </w:tcPr>
          <w:p w14:paraId="259F2F76">
            <w:pPr>
              <w:jc w:val="left"/>
              <w:rPr>
                <w:rFonts w:hint="eastAsia" w:ascii="宋体" w:hAnsi="宋体" w:eastAsia="宋体" w:cs="宋体"/>
                <w:i w:val="0"/>
                <w:iCs w:val="0"/>
                <w:color w:val="000000"/>
                <w:sz w:val="20"/>
                <w:szCs w:val="20"/>
                <w:u w:val="none"/>
              </w:rPr>
            </w:pPr>
          </w:p>
        </w:tc>
        <w:tc>
          <w:tcPr>
            <w:tcW w:w="960" w:type="dxa"/>
            <w:tcBorders>
              <w:top w:val="single" w:color="000000" w:sz="4" w:space="0"/>
              <w:left w:val="nil"/>
              <w:bottom w:val="single" w:color="000000" w:sz="4" w:space="0"/>
              <w:right w:val="nil"/>
            </w:tcBorders>
            <w:shd w:val="clear" w:color="auto" w:fill="auto"/>
            <w:vAlign w:val="top"/>
          </w:tcPr>
          <w:p w14:paraId="2338ABF7">
            <w:pPr>
              <w:jc w:val="left"/>
              <w:rPr>
                <w:rFonts w:hint="eastAsia" w:ascii="宋体" w:hAnsi="宋体" w:eastAsia="宋体" w:cs="宋体"/>
                <w:i w:val="0"/>
                <w:iCs w:val="0"/>
                <w:color w:val="000000"/>
                <w:sz w:val="20"/>
                <w:szCs w:val="20"/>
                <w:u w:val="none"/>
              </w:rPr>
            </w:pPr>
          </w:p>
        </w:tc>
        <w:tc>
          <w:tcPr>
            <w:tcW w:w="960" w:type="dxa"/>
            <w:tcBorders>
              <w:top w:val="single" w:color="000000" w:sz="4" w:space="0"/>
              <w:left w:val="nil"/>
              <w:bottom w:val="single" w:color="000000" w:sz="4" w:space="0"/>
              <w:right w:val="nil"/>
            </w:tcBorders>
            <w:shd w:val="clear" w:color="auto" w:fill="auto"/>
            <w:vAlign w:val="top"/>
          </w:tcPr>
          <w:p w14:paraId="7503ECE1">
            <w:pPr>
              <w:jc w:val="left"/>
              <w:rPr>
                <w:rFonts w:hint="eastAsia" w:ascii="宋体" w:hAnsi="宋体" w:eastAsia="宋体" w:cs="宋体"/>
                <w:i w:val="0"/>
                <w:iCs w:val="0"/>
                <w:color w:val="000000"/>
                <w:sz w:val="20"/>
                <w:szCs w:val="20"/>
                <w:u w:val="none"/>
              </w:rPr>
            </w:pPr>
          </w:p>
        </w:tc>
        <w:tc>
          <w:tcPr>
            <w:tcW w:w="960" w:type="dxa"/>
            <w:tcBorders>
              <w:top w:val="single" w:color="000000" w:sz="4" w:space="0"/>
              <w:left w:val="nil"/>
              <w:bottom w:val="single" w:color="000000" w:sz="4" w:space="0"/>
              <w:right w:val="nil"/>
            </w:tcBorders>
            <w:shd w:val="clear" w:color="auto" w:fill="auto"/>
            <w:vAlign w:val="top"/>
          </w:tcPr>
          <w:p w14:paraId="235B07B1">
            <w:pPr>
              <w:jc w:val="left"/>
              <w:rPr>
                <w:rFonts w:hint="eastAsia" w:ascii="宋体" w:hAnsi="宋体" w:eastAsia="宋体" w:cs="宋体"/>
                <w:i w:val="0"/>
                <w:iCs w:val="0"/>
                <w:color w:val="000000"/>
                <w:sz w:val="20"/>
                <w:szCs w:val="20"/>
                <w:u w:val="none"/>
              </w:rPr>
            </w:pPr>
          </w:p>
        </w:tc>
        <w:tc>
          <w:tcPr>
            <w:tcW w:w="891" w:type="dxa"/>
            <w:tcBorders>
              <w:top w:val="single" w:color="000000" w:sz="4" w:space="0"/>
              <w:left w:val="nil"/>
              <w:bottom w:val="single" w:color="000000" w:sz="4" w:space="0"/>
              <w:right w:val="single" w:color="000000" w:sz="4" w:space="0"/>
            </w:tcBorders>
            <w:shd w:val="clear" w:color="auto" w:fill="auto"/>
            <w:vAlign w:val="top"/>
          </w:tcPr>
          <w:p w14:paraId="3EB24ABD">
            <w:pPr>
              <w:jc w:val="left"/>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nil"/>
            </w:tcBorders>
            <w:shd w:val="clear" w:color="auto" w:fill="auto"/>
            <w:vAlign w:val="top"/>
          </w:tcPr>
          <w:p w14:paraId="57ED05B5">
            <w:pPr>
              <w:jc w:val="left"/>
              <w:rPr>
                <w:rFonts w:hint="eastAsia" w:ascii="宋体" w:hAnsi="宋体" w:eastAsia="宋体" w:cs="宋体"/>
                <w:i w:val="0"/>
                <w:iCs w:val="0"/>
                <w:color w:val="000000"/>
                <w:sz w:val="20"/>
                <w:szCs w:val="20"/>
                <w:u w:val="none"/>
              </w:rPr>
            </w:pPr>
          </w:p>
        </w:tc>
        <w:tc>
          <w:tcPr>
            <w:tcW w:w="349" w:type="dxa"/>
            <w:tcBorders>
              <w:top w:val="single" w:color="000000" w:sz="4" w:space="0"/>
              <w:left w:val="nil"/>
              <w:bottom w:val="single" w:color="000000" w:sz="4" w:space="0"/>
              <w:right w:val="nil"/>
            </w:tcBorders>
            <w:shd w:val="clear" w:color="auto" w:fill="auto"/>
            <w:vAlign w:val="top"/>
          </w:tcPr>
          <w:p w14:paraId="16B98B01">
            <w:pPr>
              <w:jc w:val="left"/>
              <w:rPr>
                <w:rFonts w:hint="eastAsia" w:ascii="宋体" w:hAnsi="宋体" w:eastAsia="宋体" w:cs="宋体"/>
                <w:i w:val="0"/>
                <w:iCs w:val="0"/>
                <w:color w:val="000000"/>
                <w:sz w:val="20"/>
                <w:szCs w:val="20"/>
                <w:u w:val="none"/>
              </w:rPr>
            </w:pPr>
          </w:p>
        </w:tc>
        <w:tc>
          <w:tcPr>
            <w:tcW w:w="283" w:type="dxa"/>
            <w:tcBorders>
              <w:top w:val="single" w:color="000000" w:sz="4" w:space="0"/>
              <w:left w:val="nil"/>
              <w:bottom w:val="single" w:color="000000" w:sz="4" w:space="0"/>
              <w:right w:val="nil"/>
            </w:tcBorders>
            <w:shd w:val="clear" w:color="auto" w:fill="auto"/>
            <w:vAlign w:val="top"/>
          </w:tcPr>
          <w:p w14:paraId="7CDCC150">
            <w:pPr>
              <w:jc w:val="left"/>
              <w:rPr>
                <w:rFonts w:hint="eastAsia" w:ascii="宋体" w:hAnsi="宋体" w:eastAsia="宋体" w:cs="宋体"/>
                <w:i w:val="0"/>
                <w:iCs w:val="0"/>
                <w:color w:val="000000"/>
                <w:sz w:val="20"/>
                <w:szCs w:val="20"/>
                <w:u w:val="none"/>
              </w:rPr>
            </w:pPr>
          </w:p>
        </w:tc>
        <w:tc>
          <w:tcPr>
            <w:tcW w:w="261" w:type="dxa"/>
            <w:tcBorders>
              <w:top w:val="single" w:color="000000" w:sz="4" w:space="0"/>
              <w:left w:val="nil"/>
              <w:bottom w:val="single" w:color="000000" w:sz="4" w:space="0"/>
              <w:right w:val="nil"/>
            </w:tcBorders>
            <w:shd w:val="clear" w:color="auto" w:fill="auto"/>
            <w:vAlign w:val="top"/>
          </w:tcPr>
          <w:p w14:paraId="06DA4652">
            <w:pPr>
              <w:jc w:val="left"/>
              <w:rPr>
                <w:rFonts w:hint="eastAsia" w:ascii="宋体" w:hAnsi="宋体" w:eastAsia="宋体" w:cs="宋体"/>
                <w:i w:val="0"/>
                <w:iCs w:val="0"/>
                <w:color w:val="000000"/>
                <w:sz w:val="20"/>
                <w:szCs w:val="20"/>
                <w:u w:val="none"/>
              </w:rPr>
            </w:pPr>
          </w:p>
        </w:tc>
        <w:tc>
          <w:tcPr>
            <w:tcW w:w="305" w:type="dxa"/>
            <w:tcBorders>
              <w:top w:val="single" w:color="000000" w:sz="4" w:space="0"/>
              <w:left w:val="nil"/>
              <w:bottom w:val="single" w:color="000000" w:sz="4" w:space="0"/>
              <w:right w:val="nil"/>
            </w:tcBorders>
            <w:shd w:val="clear" w:color="auto" w:fill="auto"/>
            <w:vAlign w:val="top"/>
          </w:tcPr>
          <w:p w14:paraId="7D306999">
            <w:pPr>
              <w:jc w:val="left"/>
              <w:rPr>
                <w:rFonts w:hint="eastAsia" w:ascii="宋体" w:hAnsi="宋体" w:eastAsia="宋体" w:cs="宋体"/>
                <w:i w:val="0"/>
                <w:iCs w:val="0"/>
                <w:color w:val="000000"/>
                <w:sz w:val="20"/>
                <w:szCs w:val="20"/>
                <w:u w:val="none"/>
              </w:rPr>
            </w:pPr>
          </w:p>
        </w:tc>
        <w:tc>
          <w:tcPr>
            <w:tcW w:w="462" w:type="dxa"/>
            <w:tcBorders>
              <w:top w:val="single" w:color="000000" w:sz="4" w:space="0"/>
              <w:left w:val="nil"/>
              <w:bottom w:val="single" w:color="000000" w:sz="4" w:space="0"/>
              <w:right w:val="nil"/>
            </w:tcBorders>
            <w:shd w:val="clear" w:color="auto" w:fill="auto"/>
            <w:vAlign w:val="top"/>
          </w:tcPr>
          <w:p w14:paraId="74F71621">
            <w:pPr>
              <w:jc w:val="left"/>
              <w:rPr>
                <w:rFonts w:hint="eastAsia" w:ascii="宋体" w:hAnsi="宋体" w:eastAsia="宋体" w:cs="宋体"/>
                <w:i w:val="0"/>
                <w:iCs w:val="0"/>
                <w:color w:val="000000"/>
                <w:sz w:val="20"/>
                <w:szCs w:val="20"/>
                <w:u w:val="none"/>
              </w:rPr>
            </w:pPr>
          </w:p>
        </w:tc>
        <w:tc>
          <w:tcPr>
            <w:tcW w:w="807" w:type="dxa"/>
            <w:tcBorders>
              <w:top w:val="single" w:color="000000" w:sz="4" w:space="0"/>
              <w:left w:val="nil"/>
              <w:bottom w:val="single" w:color="000000" w:sz="4" w:space="0"/>
              <w:right w:val="single" w:color="000000" w:sz="4" w:space="0"/>
            </w:tcBorders>
            <w:shd w:val="clear" w:color="auto" w:fill="auto"/>
            <w:vAlign w:val="top"/>
          </w:tcPr>
          <w:p w14:paraId="3DDF5CD2">
            <w:pPr>
              <w:jc w:val="left"/>
              <w:rPr>
                <w:rFonts w:hint="eastAsia" w:ascii="宋体" w:hAnsi="宋体" w:eastAsia="宋体" w:cs="宋体"/>
                <w:i w:val="0"/>
                <w:iCs w:val="0"/>
                <w:color w:val="000000"/>
                <w:sz w:val="20"/>
                <w:szCs w:val="20"/>
                <w:u w:val="none"/>
              </w:rPr>
            </w:pPr>
          </w:p>
        </w:tc>
      </w:tr>
      <w:tr w14:paraId="52CB0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866420">
            <w:pPr>
              <w:jc w:val="center"/>
              <w:rPr>
                <w:rFonts w:hint="eastAsia" w:ascii="宋体" w:hAnsi="宋体" w:eastAsia="宋体" w:cs="宋体"/>
                <w:i w:val="0"/>
                <w:iCs w:val="0"/>
                <w:color w:val="000000"/>
                <w:sz w:val="20"/>
                <w:szCs w:val="20"/>
                <w:u w:val="none"/>
              </w:rPr>
            </w:pPr>
          </w:p>
        </w:tc>
        <w:tc>
          <w:tcPr>
            <w:tcW w:w="5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079A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62A1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88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B30E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8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505D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85C3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63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1A84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56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A2B6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26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0C26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2F35B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2E301">
            <w:pPr>
              <w:jc w:val="center"/>
              <w:rPr>
                <w:rFonts w:hint="eastAsia" w:ascii="宋体" w:hAnsi="宋体" w:eastAsia="宋体" w:cs="宋体"/>
                <w:i w:val="0"/>
                <w:iCs w:val="0"/>
                <w:color w:val="000000"/>
                <w:sz w:val="20"/>
                <w:szCs w:val="20"/>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EFEFE">
            <w:pPr>
              <w:jc w:val="center"/>
              <w:rPr>
                <w:rFonts w:hint="eastAsia" w:ascii="宋体" w:hAnsi="宋体" w:eastAsia="宋体" w:cs="宋体"/>
                <w:i w:val="0"/>
                <w:iCs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726FA">
            <w:pPr>
              <w:jc w:val="center"/>
              <w:rPr>
                <w:rFonts w:hint="eastAsia" w:ascii="宋体" w:hAnsi="宋体" w:eastAsia="宋体" w:cs="宋体"/>
                <w:i w:val="0"/>
                <w:iCs w:val="0"/>
                <w:color w:val="000000"/>
                <w:sz w:val="20"/>
                <w:szCs w:val="20"/>
                <w:u w:val="none"/>
              </w:rPr>
            </w:pPr>
          </w:p>
        </w:tc>
        <w:tc>
          <w:tcPr>
            <w:tcW w:w="288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EC176">
            <w:pPr>
              <w:jc w:val="center"/>
              <w:rPr>
                <w:rFonts w:hint="eastAsia" w:ascii="宋体" w:hAnsi="宋体" w:eastAsia="宋体" w:cs="宋体"/>
                <w:i w:val="0"/>
                <w:iCs w:val="0"/>
                <w:color w:val="000000"/>
                <w:sz w:val="20"/>
                <w:szCs w:val="20"/>
                <w:u w:val="none"/>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CF711F">
            <w:pPr>
              <w:jc w:val="center"/>
              <w:rPr>
                <w:rFonts w:hint="eastAsia" w:ascii="宋体" w:hAnsi="宋体" w:eastAsia="宋体" w:cs="宋体"/>
                <w:i w:val="0"/>
                <w:iCs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FC0E7">
            <w:pPr>
              <w:jc w:val="center"/>
              <w:rPr>
                <w:rFonts w:hint="eastAsia" w:ascii="宋体" w:hAnsi="宋体" w:eastAsia="宋体" w:cs="宋体"/>
                <w:i w:val="0"/>
                <w:iCs w:val="0"/>
                <w:color w:val="000000"/>
                <w:sz w:val="20"/>
                <w:szCs w:val="20"/>
                <w:u w:val="none"/>
              </w:rPr>
            </w:pPr>
          </w:p>
        </w:tc>
        <w:tc>
          <w:tcPr>
            <w:tcW w:w="63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35259">
            <w:pPr>
              <w:jc w:val="center"/>
              <w:rPr>
                <w:rFonts w:hint="eastAsia" w:ascii="宋体" w:hAnsi="宋体" w:eastAsia="宋体" w:cs="宋体"/>
                <w:i w:val="0"/>
                <w:iCs w:val="0"/>
                <w:color w:val="000000"/>
                <w:sz w:val="20"/>
                <w:szCs w:val="20"/>
                <w:u w:val="none"/>
              </w:rPr>
            </w:pPr>
          </w:p>
        </w:tc>
        <w:tc>
          <w:tcPr>
            <w:tcW w:w="5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4DE47">
            <w:pPr>
              <w:jc w:val="center"/>
              <w:rPr>
                <w:rFonts w:hint="eastAsia" w:ascii="宋体" w:hAnsi="宋体" w:eastAsia="宋体" w:cs="宋体"/>
                <w:i w:val="0"/>
                <w:iCs w:val="0"/>
                <w:color w:val="000000"/>
                <w:sz w:val="20"/>
                <w:szCs w:val="20"/>
                <w:u w:val="none"/>
              </w:rPr>
            </w:pPr>
          </w:p>
        </w:tc>
        <w:tc>
          <w:tcPr>
            <w:tcW w:w="126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B50C1">
            <w:pPr>
              <w:jc w:val="center"/>
              <w:rPr>
                <w:rFonts w:hint="eastAsia" w:ascii="宋体" w:hAnsi="宋体" w:eastAsia="宋体" w:cs="宋体"/>
                <w:i w:val="0"/>
                <w:iCs w:val="0"/>
                <w:color w:val="000000"/>
                <w:sz w:val="20"/>
                <w:szCs w:val="20"/>
                <w:u w:val="none"/>
              </w:rPr>
            </w:pPr>
          </w:p>
        </w:tc>
      </w:tr>
      <w:tr w14:paraId="72B62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1279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5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B2B3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317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D24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开展帮扶指导涵盖地（州）范围</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0EB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&gt;=8个</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E74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=8个</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01F7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88E1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6EDEE1">
            <w:pPr>
              <w:jc w:val="center"/>
              <w:rPr>
                <w:rFonts w:hint="eastAsia" w:ascii="宋体" w:hAnsi="宋体" w:eastAsia="宋体" w:cs="宋体"/>
                <w:i w:val="0"/>
                <w:iCs w:val="0"/>
                <w:color w:val="000000"/>
                <w:sz w:val="20"/>
                <w:szCs w:val="20"/>
                <w:u w:val="none"/>
              </w:rPr>
            </w:pPr>
          </w:p>
        </w:tc>
      </w:tr>
      <w:tr w14:paraId="4F53D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3BE816">
            <w:pPr>
              <w:jc w:val="center"/>
              <w:rPr>
                <w:rFonts w:hint="eastAsia" w:ascii="宋体" w:hAnsi="宋体" w:eastAsia="宋体" w:cs="宋体"/>
                <w:i w:val="0"/>
                <w:iCs w:val="0"/>
                <w:color w:val="000000"/>
                <w:sz w:val="20"/>
                <w:szCs w:val="20"/>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BF518">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E20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CA7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开展帮扶指导涵盖县（市）范围</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078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&gt;=16个</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609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=16个</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E2AA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929D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DF0E46">
            <w:pPr>
              <w:jc w:val="center"/>
              <w:rPr>
                <w:rFonts w:hint="eastAsia" w:ascii="宋体" w:hAnsi="宋体" w:eastAsia="宋体" w:cs="宋体"/>
                <w:i w:val="0"/>
                <w:iCs w:val="0"/>
                <w:color w:val="000000"/>
                <w:sz w:val="20"/>
                <w:szCs w:val="20"/>
                <w:u w:val="none"/>
              </w:rPr>
            </w:pPr>
          </w:p>
        </w:tc>
      </w:tr>
      <w:tr w14:paraId="3CA60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B9284">
            <w:pPr>
              <w:jc w:val="center"/>
              <w:rPr>
                <w:rFonts w:hint="eastAsia" w:ascii="宋体" w:hAnsi="宋体" w:eastAsia="宋体" w:cs="宋体"/>
                <w:i w:val="0"/>
                <w:iCs w:val="0"/>
                <w:color w:val="000000"/>
                <w:sz w:val="20"/>
                <w:szCs w:val="20"/>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82ABA">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BAD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0A8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开展帮扶指导次数</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CB9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&gt;=2次</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31F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=2次</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3B16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DDEF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14FF9F">
            <w:pPr>
              <w:jc w:val="center"/>
              <w:rPr>
                <w:rFonts w:hint="eastAsia" w:ascii="宋体" w:hAnsi="宋体" w:eastAsia="宋体" w:cs="宋体"/>
                <w:i w:val="0"/>
                <w:iCs w:val="0"/>
                <w:color w:val="000000"/>
                <w:sz w:val="20"/>
                <w:szCs w:val="20"/>
                <w:u w:val="none"/>
              </w:rPr>
            </w:pPr>
          </w:p>
        </w:tc>
      </w:tr>
      <w:tr w14:paraId="22FC9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15AEA">
            <w:pPr>
              <w:jc w:val="center"/>
              <w:rPr>
                <w:rFonts w:hint="eastAsia" w:ascii="宋体" w:hAnsi="宋体" w:eastAsia="宋体" w:cs="宋体"/>
                <w:i w:val="0"/>
                <w:iCs w:val="0"/>
                <w:color w:val="000000"/>
                <w:sz w:val="20"/>
                <w:szCs w:val="20"/>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85FA0">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275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76E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出具地（州）帮扶指导报告</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0DD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&gt;=8个</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3BE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=8个</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CC2D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AF36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52074C">
            <w:pPr>
              <w:jc w:val="center"/>
              <w:rPr>
                <w:rFonts w:hint="eastAsia" w:ascii="宋体" w:hAnsi="宋体" w:eastAsia="宋体" w:cs="宋体"/>
                <w:i w:val="0"/>
                <w:iCs w:val="0"/>
                <w:color w:val="000000"/>
                <w:sz w:val="20"/>
                <w:szCs w:val="20"/>
                <w:u w:val="none"/>
              </w:rPr>
            </w:pPr>
          </w:p>
        </w:tc>
      </w:tr>
      <w:tr w14:paraId="704D9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A7D707">
            <w:pPr>
              <w:jc w:val="center"/>
              <w:rPr>
                <w:rFonts w:hint="eastAsia" w:ascii="宋体" w:hAnsi="宋体" w:eastAsia="宋体" w:cs="宋体"/>
                <w:i w:val="0"/>
                <w:iCs w:val="0"/>
                <w:color w:val="000000"/>
                <w:sz w:val="20"/>
                <w:szCs w:val="20"/>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8CC286">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CE2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B1C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大中型灌区帮扶指导数量</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FA1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&gt;=4个</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E4B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=4个</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FE09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DC36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3937CC">
            <w:pPr>
              <w:jc w:val="center"/>
              <w:rPr>
                <w:rFonts w:hint="eastAsia" w:ascii="宋体" w:hAnsi="宋体" w:eastAsia="宋体" w:cs="宋体"/>
                <w:i w:val="0"/>
                <w:iCs w:val="0"/>
                <w:color w:val="000000"/>
                <w:sz w:val="20"/>
                <w:szCs w:val="20"/>
                <w:u w:val="none"/>
              </w:rPr>
            </w:pPr>
          </w:p>
        </w:tc>
      </w:tr>
      <w:tr w14:paraId="728BF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EE1C7">
            <w:pPr>
              <w:jc w:val="center"/>
              <w:rPr>
                <w:rFonts w:hint="eastAsia" w:ascii="宋体" w:hAnsi="宋体" w:eastAsia="宋体" w:cs="宋体"/>
                <w:i w:val="0"/>
                <w:iCs w:val="0"/>
                <w:color w:val="000000"/>
                <w:sz w:val="20"/>
                <w:szCs w:val="20"/>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63A10">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5DB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4A6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设备维修养护次数</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3D1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&gt;=2次</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269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=2次</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51AD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E1B0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92A15B">
            <w:pPr>
              <w:jc w:val="center"/>
              <w:rPr>
                <w:rFonts w:hint="eastAsia" w:ascii="宋体" w:hAnsi="宋体" w:eastAsia="宋体" w:cs="宋体"/>
                <w:i w:val="0"/>
                <w:iCs w:val="0"/>
                <w:color w:val="000000"/>
                <w:sz w:val="20"/>
                <w:szCs w:val="20"/>
                <w:u w:val="none"/>
              </w:rPr>
            </w:pPr>
          </w:p>
        </w:tc>
      </w:tr>
      <w:tr w14:paraId="631EC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49AA4">
            <w:pPr>
              <w:jc w:val="center"/>
              <w:rPr>
                <w:rFonts w:hint="eastAsia" w:ascii="宋体" w:hAnsi="宋体" w:eastAsia="宋体" w:cs="宋体"/>
                <w:i w:val="0"/>
                <w:iCs w:val="0"/>
                <w:color w:val="000000"/>
                <w:sz w:val="20"/>
                <w:szCs w:val="20"/>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E35C12">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9C8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30E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帮扶指导地（州）、县（市）覆盖率</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6B9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E6B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E5F6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A8EB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56ABFC">
            <w:pPr>
              <w:jc w:val="center"/>
              <w:rPr>
                <w:rFonts w:hint="eastAsia" w:ascii="宋体" w:hAnsi="宋体" w:eastAsia="宋体" w:cs="宋体"/>
                <w:i w:val="0"/>
                <w:iCs w:val="0"/>
                <w:color w:val="000000"/>
                <w:sz w:val="20"/>
                <w:szCs w:val="20"/>
                <w:u w:val="none"/>
              </w:rPr>
            </w:pPr>
          </w:p>
        </w:tc>
      </w:tr>
      <w:tr w14:paraId="5342C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9DE18">
            <w:pPr>
              <w:jc w:val="center"/>
              <w:rPr>
                <w:rFonts w:hint="eastAsia" w:ascii="宋体" w:hAnsi="宋体" w:eastAsia="宋体" w:cs="宋体"/>
                <w:i w:val="0"/>
                <w:iCs w:val="0"/>
                <w:color w:val="000000"/>
                <w:sz w:val="20"/>
                <w:szCs w:val="20"/>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D81B8">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D36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759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帮扶指导次数完成率</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F83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80C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5B35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B824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5D3A0D">
            <w:pPr>
              <w:jc w:val="center"/>
              <w:rPr>
                <w:rFonts w:hint="eastAsia" w:ascii="宋体" w:hAnsi="宋体" w:eastAsia="宋体" w:cs="宋体"/>
                <w:i w:val="0"/>
                <w:iCs w:val="0"/>
                <w:color w:val="000000"/>
                <w:sz w:val="20"/>
                <w:szCs w:val="20"/>
                <w:u w:val="none"/>
              </w:rPr>
            </w:pPr>
          </w:p>
        </w:tc>
      </w:tr>
      <w:tr w14:paraId="6513C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03AC70">
            <w:pPr>
              <w:jc w:val="center"/>
              <w:rPr>
                <w:rFonts w:hint="eastAsia" w:ascii="宋体" w:hAnsi="宋体" w:eastAsia="宋体" w:cs="宋体"/>
                <w:i w:val="0"/>
                <w:iCs w:val="0"/>
                <w:color w:val="000000"/>
                <w:sz w:val="20"/>
                <w:szCs w:val="20"/>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B40CA">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F59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6FA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帮扶指导报告出具率</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CC1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EDB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A2A2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ADF0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C1EF72">
            <w:pPr>
              <w:jc w:val="center"/>
              <w:rPr>
                <w:rFonts w:hint="eastAsia" w:ascii="宋体" w:hAnsi="宋体" w:eastAsia="宋体" w:cs="宋体"/>
                <w:i w:val="0"/>
                <w:iCs w:val="0"/>
                <w:color w:val="000000"/>
                <w:sz w:val="20"/>
                <w:szCs w:val="20"/>
                <w:u w:val="none"/>
              </w:rPr>
            </w:pPr>
          </w:p>
        </w:tc>
      </w:tr>
      <w:tr w14:paraId="34F30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663F64">
            <w:pPr>
              <w:jc w:val="center"/>
              <w:rPr>
                <w:rFonts w:hint="eastAsia" w:ascii="宋体" w:hAnsi="宋体" w:eastAsia="宋体" w:cs="宋体"/>
                <w:i w:val="0"/>
                <w:iCs w:val="0"/>
                <w:color w:val="000000"/>
                <w:sz w:val="20"/>
                <w:szCs w:val="20"/>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E37BAD">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743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F78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地（州）帮扶指导整改按时完成率</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887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DD1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7ABA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8CE8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D99F4B">
            <w:pPr>
              <w:jc w:val="center"/>
              <w:rPr>
                <w:rFonts w:hint="eastAsia" w:ascii="宋体" w:hAnsi="宋体" w:eastAsia="宋体" w:cs="宋体"/>
                <w:i w:val="0"/>
                <w:iCs w:val="0"/>
                <w:color w:val="000000"/>
                <w:sz w:val="20"/>
                <w:szCs w:val="20"/>
                <w:u w:val="none"/>
              </w:rPr>
            </w:pPr>
          </w:p>
        </w:tc>
      </w:tr>
      <w:tr w14:paraId="4DC92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D8B38">
            <w:pPr>
              <w:jc w:val="center"/>
              <w:rPr>
                <w:rFonts w:hint="eastAsia" w:ascii="宋体" w:hAnsi="宋体" w:eastAsia="宋体" w:cs="宋体"/>
                <w:i w:val="0"/>
                <w:iCs w:val="0"/>
                <w:color w:val="000000"/>
                <w:sz w:val="20"/>
                <w:szCs w:val="20"/>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0EA7C">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4DB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5C5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县（市）帮扶指导整改按时完成率</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3ED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BE9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673D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3E71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FD175C">
            <w:pPr>
              <w:jc w:val="center"/>
              <w:rPr>
                <w:rFonts w:hint="eastAsia" w:ascii="宋体" w:hAnsi="宋体" w:eastAsia="宋体" w:cs="宋体"/>
                <w:i w:val="0"/>
                <w:iCs w:val="0"/>
                <w:color w:val="000000"/>
                <w:sz w:val="20"/>
                <w:szCs w:val="20"/>
                <w:u w:val="none"/>
              </w:rPr>
            </w:pPr>
          </w:p>
        </w:tc>
      </w:tr>
      <w:tr w14:paraId="3AD9B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1E8747">
            <w:pPr>
              <w:jc w:val="center"/>
              <w:rPr>
                <w:rFonts w:hint="eastAsia" w:ascii="宋体" w:hAnsi="宋体" w:eastAsia="宋体" w:cs="宋体"/>
                <w:i w:val="0"/>
                <w:iCs w:val="0"/>
                <w:color w:val="000000"/>
                <w:sz w:val="20"/>
                <w:szCs w:val="20"/>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81D18">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BB8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39A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帮扶指导报告出具时间</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CC9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=10个工作日</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B75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=10个工作日</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6281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E1E4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46E269">
            <w:pPr>
              <w:jc w:val="center"/>
              <w:rPr>
                <w:rFonts w:hint="eastAsia" w:ascii="宋体" w:hAnsi="宋体" w:eastAsia="宋体" w:cs="宋体"/>
                <w:i w:val="0"/>
                <w:iCs w:val="0"/>
                <w:color w:val="000000"/>
                <w:sz w:val="20"/>
                <w:szCs w:val="20"/>
                <w:u w:val="none"/>
              </w:rPr>
            </w:pPr>
          </w:p>
        </w:tc>
      </w:tr>
      <w:tr w14:paraId="65664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F0AD8">
            <w:pPr>
              <w:jc w:val="center"/>
              <w:rPr>
                <w:rFonts w:hint="eastAsia" w:ascii="宋体" w:hAnsi="宋体" w:eastAsia="宋体" w:cs="宋体"/>
                <w:i w:val="0"/>
                <w:iCs w:val="0"/>
                <w:color w:val="000000"/>
                <w:sz w:val="20"/>
                <w:szCs w:val="20"/>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1374E">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C59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E5F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帮扶指导报告整改完成率</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5ED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D7D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DEAE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4C72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6D430C">
            <w:pPr>
              <w:jc w:val="center"/>
              <w:rPr>
                <w:rFonts w:hint="eastAsia" w:ascii="宋体" w:hAnsi="宋体" w:eastAsia="宋体" w:cs="宋体"/>
                <w:i w:val="0"/>
                <w:iCs w:val="0"/>
                <w:color w:val="000000"/>
                <w:sz w:val="20"/>
                <w:szCs w:val="20"/>
                <w:u w:val="none"/>
              </w:rPr>
            </w:pPr>
          </w:p>
        </w:tc>
      </w:tr>
      <w:tr w14:paraId="0670B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638EF">
            <w:pPr>
              <w:jc w:val="center"/>
              <w:rPr>
                <w:rFonts w:hint="eastAsia" w:ascii="宋体" w:hAnsi="宋体" w:eastAsia="宋体" w:cs="宋体"/>
                <w:i w:val="0"/>
                <w:iCs w:val="0"/>
                <w:color w:val="000000"/>
                <w:sz w:val="20"/>
                <w:szCs w:val="20"/>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7B3455">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7BA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C9A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设备维修养护完成率</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8DF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AC5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B948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6968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5AA644">
            <w:pPr>
              <w:jc w:val="center"/>
              <w:rPr>
                <w:rFonts w:hint="eastAsia" w:ascii="宋体" w:hAnsi="宋体" w:eastAsia="宋体" w:cs="宋体"/>
                <w:i w:val="0"/>
                <w:iCs w:val="0"/>
                <w:color w:val="000000"/>
                <w:sz w:val="20"/>
                <w:szCs w:val="20"/>
                <w:u w:val="none"/>
              </w:rPr>
            </w:pPr>
          </w:p>
        </w:tc>
      </w:tr>
      <w:tr w14:paraId="4064E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9A8FF">
            <w:pPr>
              <w:jc w:val="center"/>
              <w:rPr>
                <w:rFonts w:hint="eastAsia" w:ascii="宋体" w:hAnsi="宋体" w:eastAsia="宋体" w:cs="宋体"/>
                <w:i w:val="0"/>
                <w:iCs w:val="0"/>
                <w:color w:val="000000"/>
                <w:sz w:val="20"/>
                <w:szCs w:val="20"/>
                <w:u w:val="none"/>
              </w:rPr>
            </w:pPr>
          </w:p>
        </w:tc>
        <w:tc>
          <w:tcPr>
            <w:tcW w:w="5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5568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E43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717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差旅费</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AD6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&lt;=25.20万元</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C3E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=25.2万元</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0A4F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FFC9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B2AA22">
            <w:pPr>
              <w:jc w:val="center"/>
              <w:rPr>
                <w:rFonts w:hint="eastAsia" w:ascii="宋体" w:hAnsi="宋体" w:eastAsia="宋体" w:cs="宋体"/>
                <w:i w:val="0"/>
                <w:iCs w:val="0"/>
                <w:color w:val="000000"/>
                <w:sz w:val="20"/>
                <w:szCs w:val="20"/>
                <w:u w:val="none"/>
              </w:rPr>
            </w:pPr>
          </w:p>
        </w:tc>
      </w:tr>
      <w:tr w14:paraId="045F4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68BE0">
            <w:pPr>
              <w:jc w:val="center"/>
              <w:rPr>
                <w:rFonts w:hint="eastAsia" w:ascii="宋体" w:hAnsi="宋体" w:eastAsia="宋体" w:cs="宋体"/>
                <w:i w:val="0"/>
                <w:iCs w:val="0"/>
                <w:color w:val="000000"/>
                <w:sz w:val="20"/>
                <w:szCs w:val="20"/>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F79C0">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A57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343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办公设备购置及维修养护费</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017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&lt;=5.80万元</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E0F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=5.8万元</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5DC6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99E3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9466B5">
            <w:pPr>
              <w:jc w:val="center"/>
              <w:rPr>
                <w:rFonts w:hint="eastAsia" w:ascii="宋体" w:hAnsi="宋体" w:eastAsia="宋体" w:cs="宋体"/>
                <w:i w:val="0"/>
                <w:iCs w:val="0"/>
                <w:color w:val="000000"/>
                <w:sz w:val="20"/>
                <w:szCs w:val="20"/>
                <w:u w:val="none"/>
              </w:rPr>
            </w:pPr>
          </w:p>
        </w:tc>
      </w:tr>
      <w:tr w14:paraId="79724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7FBA8">
            <w:pPr>
              <w:jc w:val="center"/>
              <w:rPr>
                <w:rFonts w:hint="eastAsia" w:ascii="宋体" w:hAnsi="宋体" w:eastAsia="宋体" w:cs="宋体"/>
                <w:i w:val="0"/>
                <w:iCs w:val="0"/>
                <w:color w:val="000000"/>
                <w:sz w:val="20"/>
                <w:szCs w:val="20"/>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A2F9B4">
            <w:pPr>
              <w:jc w:val="center"/>
              <w:rPr>
                <w:rFonts w:hint="eastAsia" w:ascii="宋体" w:hAnsi="宋体" w:eastAsia="宋体" w:cs="宋体"/>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759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F00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业务咨询劳务费和资料费用</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6EE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&lt;=2万元</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FE8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=2万元</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88C5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F028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EA44BE">
            <w:pPr>
              <w:jc w:val="center"/>
              <w:rPr>
                <w:rFonts w:hint="eastAsia" w:ascii="宋体" w:hAnsi="宋体" w:eastAsia="宋体" w:cs="宋体"/>
                <w:i w:val="0"/>
                <w:iCs w:val="0"/>
                <w:color w:val="000000"/>
                <w:sz w:val="20"/>
                <w:szCs w:val="20"/>
                <w:u w:val="none"/>
              </w:rPr>
            </w:pPr>
          </w:p>
        </w:tc>
      </w:tr>
      <w:tr w14:paraId="1FED6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10A016">
            <w:pPr>
              <w:jc w:val="center"/>
              <w:rPr>
                <w:rFonts w:hint="eastAsia" w:ascii="宋体" w:hAnsi="宋体" w:eastAsia="宋体" w:cs="宋体"/>
                <w:i w:val="0"/>
                <w:iCs w:val="0"/>
                <w:color w:val="000000"/>
                <w:sz w:val="20"/>
                <w:szCs w:val="20"/>
                <w:u w:val="none"/>
              </w:rPr>
            </w:pP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655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211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864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检查结果公开率</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55F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2E4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80FB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6A71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1B6B1D">
            <w:pPr>
              <w:jc w:val="center"/>
              <w:rPr>
                <w:rFonts w:hint="eastAsia" w:ascii="宋体" w:hAnsi="宋体" w:eastAsia="宋体" w:cs="宋体"/>
                <w:i w:val="0"/>
                <w:iCs w:val="0"/>
                <w:color w:val="000000"/>
                <w:sz w:val="20"/>
                <w:szCs w:val="20"/>
                <w:u w:val="none"/>
              </w:rPr>
            </w:pPr>
          </w:p>
        </w:tc>
      </w:tr>
      <w:tr w14:paraId="78EF5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F4E86">
            <w:pPr>
              <w:jc w:val="center"/>
              <w:rPr>
                <w:rFonts w:hint="eastAsia" w:ascii="宋体" w:hAnsi="宋体" w:eastAsia="宋体" w:cs="宋体"/>
                <w:i w:val="0"/>
                <w:iCs w:val="0"/>
                <w:color w:val="000000"/>
                <w:sz w:val="20"/>
                <w:szCs w:val="20"/>
                <w:u w:val="none"/>
              </w:rPr>
            </w:pP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FCF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8AC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253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检查人员被投诉次数</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D9E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&lt;=8次</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DB2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=0次</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C651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9F32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DC8CA9">
            <w:pPr>
              <w:jc w:val="center"/>
              <w:rPr>
                <w:rFonts w:hint="eastAsia" w:ascii="宋体" w:hAnsi="宋体" w:eastAsia="宋体" w:cs="宋体"/>
                <w:i w:val="0"/>
                <w:iCs w:val="0"/>
                <w:color w:val="000000"/>
                <w:sz w:val="20"/>
                <w:szCs w:val="20"/>
                <w:u w:val="none"/>
              </w:rPr>
            </w:pPr>
          </w:p>
        </w:tc>
      </w:tr>
      <w:tr w14:paraId="6D09D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01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62B23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A298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0C2B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100.00分</w:t>
            </w:r>
          </w:p>
        </w:tc>
        <w:tc>
          <w:tcPr>
            <w:tcW w:w="1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70AAD1">
            <w:pPr>
              <w:jc w:val="center"/>
              <w:rPr>
                <w:rFonts w:hint="eastAsia" w:ascii="宋体" w:hAnsi="宋体" w:eastAsia="宋体" w:cs="宋体"/>
                <w:i w:val="0"/>
                <w:iCs w:val="0"/>
                <w:color w:val="000000"/>
                <w:sz w:val="20"/>
                <w:szCs w:val="20"/>
                <w:u w:val="none"/>
              </w:rPr>
            </w:pPr>
          </w:p>
        </w:tc>
      </w:tr>
    </w:tbl>
    <w:p w14:paraId="1FB88618">
      <w:pPr>
        <w:pStyle w:val="4"/>
        <w:ind w:left="0" w:leftChars="0" w:firstLine="0" w:firstLineChars="0"/>
      </w:pPr>
    </w:p>
    <w:p w14:paraId="65006CE5">
      <w:pPr>
        <w:pStyle w:val="4"/>
        <w:ind w:left="0" w:leftChars="0" w:firstLine="0" w:firstLineChars="0"/>
      </w:pPr>
    </w:p>
    <w:p w14:paraId="3037B339">
      <w:pPr>
        <w:pStyle w:val="4"/>
        <w:ind w:left="0" w:leftChars="0" w:firstLine="0" w:firstLineChars="0"/>
      </w:pPr>
    </w:p>
    <w:p w14:paraId="2FD57FC8">
      <w:pPr>
        <w:pStyle w:val="4"/>
        <w:ind w:left="0" w:leftChars="0" w:firstLine="0" w:firstLineChars="0"/>
      </w:pPr>
    </w:p>
    <w:p w14:paraId="6CEC26C9">
      <w:pPr>
        <w:pStyle w:val="4"/>
        <w:ind w:left="0" w:leftChars="0" w:firstLine="0" w:firstLineChars="0"/>
      </w:pPr>
    </w:p>
    <w:p w14:paraId="0445E568">
      <w:pPr>
        <w:pStyle w:val="4"/>
        <w:ind w:left="0" w:leftChars="0" w:firstLine="0" w:firstLineChars="0"/>
      </w:pPr>
    </w:p>
    <w:p w14:paraId="6D83723D">
      <w:pPr>
        <w:spacing w:line="540" w:lineRule="exact"/>
        <w:jc w:val="both"/>
        <w:rPr>
          <w:rFonts w:hint="eastAsia" w:ascii="方正小标宋_GBK" w:hAnsi="华文中宋" w:eastAsia="方正小标宋_GBK" w:cs="宋体"/>
          <w:b/>
          <w:kern w:val="0"/>
          <w:sz w:val="48"/>
          <w:szCs w:val="48"/>
        </w:rPr>
      </w:pPr>
    </w:p>
    <w:p w14:paraId="2585A064">
      <w:pP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br w:type="page"/>
      </w:r>
    </w:p>
    <w:p w14:paraId="73F3B11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481E5077">
      <w:pPr>
        <w:spacing w:line="540" w:lineRule="exact"/>
        <w:jc w:val="center"/>
        <w:rPr>
          <w:rFonts w:ascii="华文中宋" w:hAnsi="华文中宋" w:eastAsia="华文中宋" w:cs="宋体"/>
          <w:b/>
          <w:kern w:val="0"/>
          <w:sz w:val="52"/>
          <w:szCs w:val="52"/>
        </w:rPr>
      </w:pPr>
    </w:p>
    <w:p w14:paraId="75E5C66D">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hAnsi="宋体" w:eastAsia="仿宋_GB2312" w:cs="宋体"/>
          <w:kern w:val="0"/>
          <w:sz w:val="36"/>
          <w:szCs w:val="36"/>
          <w:lang w:val="en-US" w:eastAsia="zh-CN"/>
        </w:rPr>
        <w:t>2023</w:t>
      </w:r>
      <w:r>
        <w:rPr>
          <w:rFonts w:hint="eastAsia" w:hAnsi="宋体" w:eastAsia="仿宋_GB2312" w:cs="宋体"/>
          <w:kern w:val="0"/>
          <w:sz w:val="36"/>
          <w:szCs w:val="36"/>
        </w:rPr>
        <w:t>年度）</w:t>
      </w:r>
    </w:p>
    <w:p w14:paraId="68427FC4">
      <w:pPr>
        <w:spacing w:line="540" w:lineRule="exact"/>
        <w:jc w:val="center"/>
        <w:rPr>
          <w:rFonts w:hAnsi="宋体" w:eastAsia="仿宋_GB2312" w:cs="宋体"/>
          <w:kern w:val="0"/>
          <w:sz w:val="30"/>
          <w:szCs w:val="30"/>
        </w:rPr>
      </w:pPr>
    </w:p>
    <w:p w14:paraId="322F9B0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right" w:pos="7994"/>
        </w:tabs>
        <w:autoSpaceDE w:val="0"/>
        <w:autoSpaceDN w:val="0"/>
        <w:adjustRightInd w:val="0"/>
        <w:spacing w:line="800" w:lineRule="atLeast"/>
        <w:jc w:val="left"/>
        <w:rPr>
          <w:rFonts w:hint="eastAsia" w:hAnsi="宋体" w:eastAsia="仿宋_GB2312" w:cs="宋体"/>
          <w:kern w:val="0"/>
          <w:sz w:val="36"/>
          <w:szCs w:val="36"/>
        </w:rPr>
      </w:pPr>
    </w:p>
    <w:p w14:paraId="2BAC287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right" w:pos="7994"/>
        </w:tabs>
        <w:autoSpaceDE w:val="0"/>
        <w:autoSpaceDN w:val="0"/>
        <w:adjustRightInd w:val="0"/>
        <w:spacing w:line="800" w:lineRule="atLeast"/>
        <w:jc w:val="left"/>
        <w:rPr>
          <w:rFonts w:hint="eastAsia" w:ascii="宋体" w:hAnsi="宋体" w:cs="宋体"/>
          <w:b/>
          <w:bCs/>
          <w:kern w:val="0"/>
          <w:sz w:val="32"/>
          <w:szCs w:val="32"/>
        </w:rPr>
      </w:pPr>
      <w:r>
        <w:rPr>
          <w:rFonts w:hint="eastAsia" w:hAnsi="宋体" w:eastAsia="仿宋_GB2312" w:cs="宋体"/>
          <w:kern w:val="0"/>
          <w:sz w:val="36"/>
          <w:szCs w:val="36"/>
        </w:rPr>
        <w:t>项目名称：</w:t>
      </w:r>
      <w:r>
        <w:rPr>
          <w:rFonts w:hint="eastAsia" w:ascii="宋体" w:hAnsi="宋体" w:cs="宋体"/>
          <w:b/>
          <w:bCs/>
          <w:kern w:val="0"/>
          <w:sz w:val="32"/>
          <w:szCs w:val="32"/>
        </w:rPr>
        <w:t>自治区水利发展资金项目-水利灌溉管理专项</w:t>
      </w:r>
    </w:p>
    <w:p w14:paraId="236B725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spacing w:line="800" w:lineRule="atLeast"/>
        <w:ind w:left="2880" w:hanging="2880" w:hangingChars="800"/>
        <w:jc w:val="left"/>
        <w:rPr>
          <w:rFonts w:hint="eastAsia" w:ascii="宋体" w:hAnsi="宋体" w:cs="宋体"/>
          <w:b/>
          <w:bCs/>
          <w:kern w:val="0"/>
          <w:sz w:val="32"/>
          <w:szCs w:val="32"/>
        </w:rPr>
      </w:pPr>
      <w:r>
        <w:rPr>
          <w:rFonts w:hint="eastAsia" w:hAnsi="宋体" w:eastAsia="仿宋_GB2312" w:cs="宋体"/>
          <w:kern w:val="0"/>
          <w:sz w:val="36"/>
          <w:szCs w:val="36"/>
        </w:rPr>
        <w:t>实施单位（公章）：</w:t>
      </w:r>
      <w:r>
        <w:rPr>
          <w:rFonts w:hint="eastAsia" w:ascii="宋体" w:hAnsi="宋体" w:cs="宋体"/>
          <w:b/>
          <w:bCs/>
          <w:kern w:val="0"/>
          <w:sz w:val="32"/>
          <w:szCs w:val="32"/>
        </w:rPr>
        <w:t>新疆维吾尔自治区灌溉排水发展中心（新疆维吾尔自治区灌溉中心试验站）</w:t>
      </w:r>
    </w:p>
    <w:p w14:paraId="7DBD396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utoSpaceDE w:val="0"/>
        <w:autoSpaceDN w:val="0"/>
        <w:adjustRightInd w:val="0"/>
        <w:spacing w:line="800" w:lineRule="atLeast"/>
        <w:jc w:val="left"/>
        <w:rPr>
          <w:rFonts w:hint="eastAsia" w:ascii="宋体" w:hAnsi="宋体" w:cs="宋体"/>
          <w:b/>
          <w:bCs/>
          <w:color w:val="000000"/>
          <w:kern w:val="0"/>
          <w:sz w:val="32"/>
          <w:szCs w:val="32"/>
        </w:rPr>
      </w:pPr>
      <w:r>
        <w:rPr>
          <w:rFonts w:hint="eastAsia" w:hAnsi="宋体" w:eastAsia="仿宋_GB2312" w:cs="宋体"/>
          <w:kern w:val="0"/>
          <w:sz w:val="36"/>
          <w:szCs w:val="36"/>
        </w:rPr>
        <w:t>主管部门（公章）：</w:t>
      </w:r>
      <w:r>
        <w:rPr>
          <w:rFonts w:ascii="宋体" w:hAnsi="宋体" w:cs="宋体"/>
          <w:b/>
          <w:bCs/>
          <w:kern w:val="0"/>
          <w:sz w:val="32"/>
          <w:szCs w:val="32"/>
          <w:shd w:val="clear" w:color="auto" w:fill="FFFFFF"/>
        </w:rPr>
        <w:fldChar w:fldCharType="begin">
          <w:fldData xml:space="preserve">QQA2ADIARQBBAEYAQgA3ADkARAA2ADAANAAyADAARQBBAEUAMwAzAEUANwAxADcAOABCAEIAOABF
ADUAQwA4AA==
</w:fldData>
        </w:fldChar>
      </w:r>
      <w:r>
        <w:rPr>
          <w:rFonts w:ascii="宋体" w:hAnsi="宋体" w:cs="宋体"/>
          <w:b/>
          <w:bCs/>
          <w:kern w:val="0"/>
          <w:sz w:val="32"/>
          <w:szCs w:val="32"/>
          <w:shd w:val="clear" w:color="auto" w:fill="FFFFFF"/>
        </w:rPr>
        <w:instrText xml:space="preserve">Addin 部门名称</w:instrText>
      </w:r>
      <w:r>
        <w:rPr>
          <w:rFonts w:ascii="宋体" w:hAnsi="宋体" w:cs="宋体"/>
          <w:b/>
          <w:bCs/>
          <w:kern w:val="0"/>
          <w:sz w:val="32"/>
          <w:szCs w:val="32"/>
          <w:shd w:val="clear" w:color="auto" w:fill="FFFFFF"/>
        </w:rPr>
        <w:fldChar w:fldCharType="separate"/>
      </w:r>
      <w:r>
        <w:rPr>
          <w:rFonts w:hint="eastAsia" w:ascii="宋体" w:hAnsi="宋体" w:cs="宋体"/>
          <w:b/>
          <w:bCs/>
          <w:color w:val="000000"/>
          <w:kern w:val="0"/>
          <w:sz w:val="32"/>
          <w:szCs w:val="32"/>
          <w:shd w:val="clear" w:color="FFFFFF" w:fill="FFFFFF"/>
        </w:rPr>
        <w:t>【</w:t>
      </w:r>
      <w:r>
        <w:rPr>
          <w:rFonts w:ascii="宋体" w:hAnsi="宋体" w:cs="宋体"/>
          <w:b/>
          <w:bCs/>
          <w:color w:val="000000"/>
          <w:kern w:val="0"/>
          <w:sz w:val="32"/>
          <w:szCs w:val="32"/>
          <w:shd w:val="clear" w:color="FFFFFF" w:fill="FFFFFF"/>
        </w:rPr>
        <w:t>403】自治区水利厅</w:t>
      </w:r>
      <w:r>
        <w:rPr>
          <w:rFonts w:ascii="宋体" w:hAnsi="宋体" w:cs="宋体"/>
          <w:b/>
          <w:bCs/>
          <w:kern w:val="0"/>
          <w:sz w:val="32"/>
          <w:szCs w:val="32"/>
          <w:shd w:val="clear" w:color="auto" w:fill="FFFFFF"/>
        </w:rPr>
        <w:fldChar w:fldCharType="end"/>
      </w:r>
    </w:p>
    <w:p w14:paraId="5D5AC51E">
      <w:pPr>
        <w:spacing w:line="540" w:lineRule="exact"/>
        <w:rPr>
          <w:rFonts w:hint="eastAsia" w:hAnsi="宋体" w:eastAsia="仿宋_GB2312" w:cs="宋体"/>
          <w:kern w:val="0"/>
          <w:sz w:val="36"/>
          <w:szCs w:val="36"/>
        </w:rPr>
      </w:pPr>
    </w:p>
    <w:p w14:paraId="577A1742">
      <w:pPr>
        <w:spacing w:line="540" w:lineRule="exact"/>
        <w:rPr>
          <w:rFonts w:hint="eastAsia" w:ascii="宋体" w:hAnsi="宋体" w:cs="宋体"/>
          <w:b/>
          <w:bCs/>
          <w:kern w:val="0"/>
          <w:sz w:val="32"/>
          <w:szCs w:val="32"/>
          <w:lang w:val="en-US" w:eastAsia="zh-CN"/>
        </w:rPr>
      </w:pPr>
      <w:r>
        <w:rPr>
          <w:rFonts w:hint="eastAsia" w:hAnsi="宋体" w:eastAsia="仿宋_GB2312" w:cs="宋体"/>
          <w:kern w:val="0"/>
          <w:sz w:val="36"/>
          <w:szCs w:val="36"/>
        </w:rPr>
        <w:t>项目负责人（签章）：</w:t>
      </w:r>
      <w:r>
        <w:rPr>
          <w:rFonts w:hint="eastAsia" w:ascii="宋体" w:hAnsi="宋体" w:cs="宋体"/>
          <w:b/>
          <w:bCs/>
          <w:kern w:val="0"/>
          <w:sz w:val="32"/>
          <w:szCs w:val="32"/>
          <w:lang w:val="en-US" w:eastAsia="zh-CN"/>
        </w:rPr>
        <w:t>王忠</w:t>
      </w:r>
    </w:p>
    <w:p w14:paraId="0865C9F2">
      <w:pPr>
        <w:spacing w:line="540" w:lineRule="exact"/>
        <w:rPr>
          <w:rStyle w:val="14"/>
          <w:rFonts w:hint="default" w:ascii="楷体" w:hAnsi="楷体" w:eastAsia="仿宋_GB2312"/>
          <w:spacing w:val="-4"/>
          <w:sz w:val="32"/>
          <w:szCs w:val="32"/>
          <w:lang w:val="en-US" w:eastAsia="zh-CN"/>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2024年8月</w:t>
      </w:r>
    </w:p>
    <w:p w14:paraId="3CDFB76F">
      <w:pPr>
        <w:spacing w:line="540" w:lineRule="exact"/>
        <w:rPr>
          <w:rStyle w:val="14"/>
          <w:rFonts w:ascii="黑体" w:hAnsi="黑体" w:eastAsia="黑体"/>
          <w:b w:val="0"/>
          <w:spacing w:val="-4"/>
          <w:sz w:val="32"/>
          <w:szCs w:val="32"/>
        </w:rPr>
      </w:pPr>
    </w:p>
    <w:p w14:paraId="2E869066">
      <w:pPr>
        <w:spacing w:line="540" w:lineRule="exact"/>
        <w:ind w:firstLine="640"/>
        <w:rPr>
          <w:rStyle w:val="14"/>
          <w:rFonts w:ascii="黑体" w:hAnsi="黑体" w:eastAsia="黑体"/>
          <w:b w:val="0"/>
          <w:spacing w:val="-4"/>
          <w:sz w:val="32"/>
          <w:szCs w:val="32"/>
        </w:rPr>
      </w:pPr>
      <w:r>
        <w:rPr>
          <w:rStyle w:val="14"/>
          <w:rFonts w:hint="eastAsia" w:ascii="黑体" w:hAnsi="黑体" w:eastAsia="黑体"/>
          <w:b w:val="0"/>
          <w:spacing w:val="-4"/>
          <w:sz w:val="32"/>
          <w:szCs w:val="32"/>
        </w:rPr>
        <w:t>一、基本情况</w:t>
      </w:r>
    </w:p>
    <w:p w14:paraId="580E6DA0">
      <w:pPr>
        <w:spacing w:line="540" w:lineRule="exact"/>
        <w:ind w:firstLine="567"/>
        <w:rPr>
          <w:rStyle w:val="14"/>
          <w:rFonts w:hint="eastAsia" w:ascii="楷体" w:hAnsi="楷体" w:eastAsia="楷体"/>
          <w:spacing w:val="-4"/>
          <w:sz w:val="32"/>
          <w:szCs w:val="32"/>
        </w:rPr>
      </w:pPr>
      <w:r>
        <w:rPr>
          <w:rStyle w:val="14"/>
          <w:rFonts w:hint="eastAsia" w:ascii="楷体" w:hAnsi="楷体" w:eastAsia="楷体"/>
          <w:spacing w:val="-4"/>
          <w:sz w:val="32"/>
          <w:szCs w:val="32"/>
        </w:rPr>
        <w:t>（一）项目概况。包括项目背景、主要内容及实施情况、资金投入和使用情况等。</w:t>
      </w:r>
    </w:p>
    <w:p w14:paraId="6B4B509F">
      <w:pPr>
        <w:numPr>
          <w:ilvl w:val="0"/>
          <w:numId w:val="1"/>
        </w:numPr>
        <w:autoSpaceDE w:val="0"/>
        <w:autoSpaceDN w:val="0"/>
        <w:adjustRightInd w:val="0"/>
        <w:spacing w:line="560" w:lineRule="exac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项目背景及</w:t>
      </w:r>
      <w:r>
        <w:rPr>
          <w:rFonts w:hint="eastAsia" w:ascii="仿宋_GB2312" w:hAnsi="仿宋_GB2312" w:eastAsia="仿宋_GB2312" w:cs="仿宋_GB2312"/>
          <w:kern w:val="0"/>
          <w:sz w:val="32"/>
          <w:szCs w:val="32"/>
        </w:rPr>
        <w:t>申请的依据</w:t>
      </w:r>
    </w:p>
    <w:p w14:paraId="1209ABF4">
      <w:pPr>
        <w:spacing w:line="560" w:lineRule="exact"/>
        <w:ind w:firstLine="640" w:firstLineChars="200"/>
        <w:jc w:val="left"/>
        <w:rPr>
          <w:rFonts w:hint="eastAsia" w:ascii="仿宋_GB2312" w:hAnsi="仿宋_GB2312" w:eastAsia="仿宋_GB2312" w:cs="仿宋_GB2312"/>
          <w:kern w:val="0"/>
          <w:sz w:val="32"/>
          <w:szCs w:val="32"/>
          <w:highlight w:val="yellow"/>
        </w:rPr>
      </w:pPr>
      <w:r>
        <w:rPr>
          <w:rFonts w:hint="eastAsia" w:ascii="仿宋_GB2312" w:hAnsi="仿宋_GB2312" w:eastAsia="仿宋_GB2312" w:cs="仿宋_GB2312"/>
          <w:kern w:val="0"/>
          <w:sz w:val="32"/>
          <w:szCs w:val="32"/>
        </w:rPr>
        <w:t>1、根据水利部办公厅和发展改革委办公厅联合发布《关于开展“十四五”大型灌区续建配套与现代化改造实施方案编制工作的通知》（办农水〔2020〕56 号文），主要目标在“十四五”期间实施一批大型灌区续建配套与现代化改造，灌溉保证率达到设计以上水平，骨干灌排设施完好率达到90%以上，灌溉水利用系数达到0.55以上，灌区信息化覆盖率达到80%。</w:t>
      </w:r>
    </w:p>
    <w:p w14:paraId="602066ED">
      <w:pPr>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2、根据新疆自治区水利厅《关于开展自治区2020年大中型灌区续建配套与节水改造项目冬季自查、自纠工作的通知》（新水办〔2021〕32号文），为进一步规范我区大中型灌区等农田水利项目建设，圆满完成“十三五”建设任务，现开展大中型灌区项目“冬季攻势”，以突出问题自查、自纠方式开展。 </w:t>
      </w:r>
    </w:p>
    <w:p w14:paraId="43921403">
      <w:pPr>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根据新疆自治区水利厅《关于对2020年大中型灌区续建配套与现代化改造项目进行帮扶指导的通知》（新水办〔2021〕117号），进一步加强对“十四五”大中型灌区项目建设管理质量，保障“十四五”大中型灌区安全运行和持续发挥效益。</w:t>
      </w:r>
    </w:p>
    <w:p w14:paraId="1ECA949B">
      <w:pPr>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4、根据国家发改委和水利部《国家发展改革委 水利关于下达国家水网骨干工程专项2022年第二批中央预算内投资计划的通知》（发改投资〔2022〕487号），总体目标中指出“年度投资计划执行良好，保障建设质量和效益，有效控制概算，2022年完工项目可初步发挥效益”，加强对绩效目标如期保质保量实现，国家发展改革委将适时组织开展绩效评价。     </w:t>
      </w:r>
    </w:p>
    <w:p w14:paraId="3A27BBCF">
      <w:pPr>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根据新疆自治区水利厅《关于对2021-2022年大中型灌区续建配套与现代化改造项目进行帮扶指导的通知》（新水办〔2022〕122号），进一步加强对“十四五”大中型灌区项目建设质量和管理水平，促进灌区可持续发展效益。</w:t>
      </w:r>
    </w:p>
    <w:p w14:paraId="17F4DBFE">
      <w:pPr>
        <w:autoSpaceDE w:val="0"/>
        <w:autoSpaceDN w:val="0"/>
        <w:adjustRightInd w:val="0"/>
        <w:spacing w:line="520" w:lineRule="exact"/>
        <w:ind w:firstLine="800" w:firstLineChars="25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二、项目内容</w:t>
      </w:r>
      <w:r>
        <w:rPr>
          <w:rFonts w:hint="eastAsia" w:ascii="仿宋_GB2312" w:hAnsi="仿宋_GB2312" w:eastAsia="仿宋_GB2312" w:cs="仿宋_GB2312"/>
          <w:kern w:val="0"/>
          <w:sz w:val="32"/>
          <w:szCs w:val="32"/>
          <w:lang w:val="en-US" w:eastAsia="zh-CN"/>
        </w:rPr>
        <w:t>及实施情况</w:t>
      </w:r>
    </w:p>
    <w:p w14:paraId="6DDEBFF9">
      <w:pPr>
        <w:autoSpaceDE w:val="0"/>
        <w:autoSpaceDN w:val="0"/>
        <w:adjustRightInd w:val="0"/>
        <w:spacing w:line="520" w:lineRule="exact"/>
        <w:ind w:firstLine="800" w:firstLineChars="25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对全疆8个地州18个县市大、中型灌区进行现场调研、帮扶指导，要求各灌区要建立和健全工程项目监督检查和问责机制，把大中型灌区续建配套与节水改造作为水利行业强监管的重要内容，采取专项督查，对项目建设进度、工程质量、安全管理等进行督导，对督查发现的问题要求进行整改。因此，自治区灌排中心每年对上一年度已建大、中型灌区项目和当年度在建大、中型灌区项目进行帮扶指导，对项目法人、设计、监理、施工等进行检查，并汇总、分析，形成大中型灌区调研、帮扶指导报告资料汇编。</w:t>
      </w:r>
    </w:p>
    <w:p w14:paraId="3414E415">
      <w:pPr>
        <w:numPr>
          <w:ilvl w:val="0"/>
          <w:numId w:val="1"/>
        </w:numPr>
        <w:autoSpaceDE w:val="0"/>
        <w:autoSpaceDN w:val="0"/>
        <w:adjustRightInd w:val="0"/>
        <w:spacing w:line="520" w:lineRule="exact"/>
        <w:ind w:left="957" w:leftChars="0" w:hanging="432" w:firstLineChars="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资金投入和使用情况</w:t>
      </w:r>
    </w:p>
    <w:p w14:paraId="13578A79">
      <w:pPr>
        <w:numPr>
          <w:ilvl w:val="0"/>
          <w:numId w:val="0"/>
        </w:numPr>
        <w:autoSpaceDE w:val="0"/>
        <w:autoSpaceDN w:val="0"/>
        <w:adjustRightInd w:val="0"/>
        <w:spacing w:line="52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2023年将对我区8个地州、18个县市大、中型灌区续建配套与节水改造项目进行现场调研和帮扶指导工作，主要开展现场勘查和内业资料的查核，对项目存在的问题进行反馈：</w:t>
      </w:r>
    </w:p>
    <w:p w14:paraId="1DEA64F4">
      <w:pPr>
        <w:autoSpaceDE w:val="0"/>
        <w:autoSpaceDN w:val="0"/>
        <w:adjustRightInd w:val="0"/>
        <w:spacing w:line="520" w:lineRule="exact"/>
        <w:ind w:firstLine="800" w:firstLineChars="25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业务检查专项经费25.44万元。主要为：业务人员赴地州开展帮扶指导专项费用，需分两个组进行，南疆组和北疆、东疆组，每组成员6人，每个县市2—3天，200元/天*6人*3天*2组*9县共计6.48万元，住宿费：300元/天*6人*3天*2组*9县共计9.72万元、机票、火车票约1100元/人来回*6人*2组*7地（州）共计9万元；</w:t>
      </w:r>
    </w:p>
    <w:p w14:paraId="6FCC0368">
      <w:pPr>
        <w:autoSpaceDE w:val="0"/>
        <w:autoSpaceDN w:val="0"/>
        <w:adjustRightInd w:val="0"/>
        <w:spacing w:line="520" w:lineRule="exact"/>
        <w:ind w:firstLine="800" w:firstLineChars="25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2、劳务费用1万元。主要为：邀请具有专业能力的专家对人员能力提升进行授课、业务咨询劳务费用1万元。</w:t>
      </w:r>
    </w:p>
    <w:p w14:paraId="525EEB24">
      <w:pPr>
        <w:autoSpaceDE w:val="0"/>
        <w:autoSpaceDN w:val="0"/>
        <w:adjustRightInd w:val="0"/>
        <w:spacing w:line="520" w:lineRule="exact"/>
        <w:ind w:firstLine="800" w:firstLineChars="25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3、固定资产购置费2.8万元，会计档案柜5组*800元=0.4万元；技术资料档案柜30组*800元=2.4万元；</w:t>
      </w:r>
    </w:p>
    <w:p w14:paraId="4972B149">
      <w:pPr>
        <w:autoSpaceDE w:val="0"/>
        <w:autoSpaceDN w:val="0"/>
        <w:adjustRightInd w:val="0"/>
        <w:spacing w:line="520" w:lineRule="exact"/>
        <w:ind w:firstLine="800" w:firstLineChars="25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4、耗材1.5万元：打印纸25箱0.5万元、打（复）印硒鼓、墨盒1万元；</w:t>
      </w:r>
    </w:p>
    <w:p w14:paraId="1AA5323A">
      <w:pPr>
        <w:autoSpaceDE w:val="0"/>
        <w:autoSpaceDN w:val="0"/>
        <w:adjustRightInd w:val="0"/>
        <w:spacing w:line="520" w:lineRule="exact"/>
        <w:ind w:firstLine="800" w:firstLineChars="25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5、维修、维护费2.5万元：灌排中心档案室老旧改造，办公室维护2万元。维修电脑、打印机、复印机、网络维护费用0.5万元；</w:t>
      </w:r>
    </w:p>
    <w:p w14:paraId="257FC8A5">
      <w:pPr>
        <w:autoSpaceDE w:val="0"/>
        <w:autoSpaceDN w:val="0"/>
        <w:adjustRightInd w:val="0"/>
        <w:spacing w:line="520" w:lineRule="exact"/>
        <w:ind w:firstLine="800" w:firstLineChars="25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6、帮扶指导资料汇编出版费1万元；</w:t>
      </w:r>
    </w:p>
    <w:p w14:paraId="03550D81">
      <w:pPr>
        <w:spacing w:line="540" w:lineRule="exact"/>
        <w:ind w:firstLine="567"/>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本项目所需经费合计33万元。</w:t>
      </w:r>
    </w:p>
    <w:p w14:paraId="418C771C">
      <w:pPr>
        <w:numPr>
          <w:ilvl w:val="0"/>
          <w:numId w:val="1"/>
        </w:numPr>
        <w:spacing w:line="540" w:lineRule="exact"/>
        <w:ind w:left="957" w:leftChars="0" w:hanging="432" w:firstLineChars="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实际完成情况</w:t>
      </w:r>
    </w:p>
    <w:p w14:paraId="2CC7D847">
      <w:pPr>
        <w:numPr>
          <w:ilvl w:val="0"/>
          <w:numId w:val="0"/>
        </w:numPr>
        <w:spacing w:line="54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2023年完成8个地（州）、16个县（市）的大中型灌区项目的帮扶指导，对检查中存在的问题进行现场反馈交流，要求项目业主等相关单位整改落实。进一步保障大中型灌区运行，巩固拓展脱贫攻坚成果，保证粮食安全生产，持续发挥经济、社会及生态效益</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资金执行率100%。</w:t>
      </w:r>
    </w:p>
    <w:p w14:paraId="476317AF">
      <w:pPr>
        <w:numPr>
          <w:ilvl w:val="0"/>
          <w:numId w:val="0"/>
        </w:numPr>
        <w:spacing w:line="540" w:lineRule="exact"/>
        <w:rPr>
          <w:rStyle w:val="14"/>
          <w:rFonts w:hint="eastAsia" w:ascii="仿宋_GB2312" w:hAnsi="仿宋_GB2312" w:eastAsia="仿宋_GB2312" w:cs="仿宋_GB2312"/>
          <w:spacing w:val="-4"/>
          <w:sz w:val="32"/>
          <w:szCs w:val="32"/>
        </w:rPr>
      </w:pPr>
      <w:r>
        <w:rPr>
          <w:rStyle w:val="14"/>
          <w:rFonts w:hint="eastAsia" w:ascii="仿宋_GB2312" w:hAnsi="仿宋_GB2312" w:eastAsia="仿宋_GB2312" w:cs="仿宋_GB2312"/>
          <w:spacing w:val="-4"/>
          <w:sz w:val="32"/>
          <w:szCs w:val="32"/>
          <w:lang w:eastAsia="zh-CN"/>
        </w:rPr>
        <w:t>（二）</w:t>
      </w:r>
      <w:r>
        <w:rPr>
          <w:rStyle w:val="14"/>
          <w:rFonts w:hint="eastAsia" w:ascii="仿宋_GB2312" w:hAnsi="仿宋_GB2312" w:eastAsia="仿宋_GB2312" w:cs="仿宋_GB2312"/>
          <w:spacing w:val="-4"/>
          <w:sz w:val="32"/>
          <w:szCs w:val="32"/>
        </w:rPr>
        <w:t>项目绩效目标。包括总体目标和阶段性目标。</w:t>
      </w:r>
    </w:p>
    <w:p w14:paraId="62DA42D4">
      <w:pPr>
        <w:numPr>
          <w:ilvl w:val="0"/>
          <w:numId w:val="0"/>
        </w:numPr>
        <w:spacing w:line="540" w:lineRule="exact"/>
        <w:ind w:firstLine="640" w:firstLineChars="200"/>
        <w:rPr>
          <w:rStyle w:val="14"/>
          <w:rFonts w:hint="eastAsia" w:ascii="仿宋_GB2312" w:hAnsi="仿宋_GB2312" w:eastAsia="仿宋_GB2312" w:cs="仿宋_GB2312"/>
          <w:spacing w:val="-4"/>
          <w:sz w:val="32"/>
          <w:szCs w:val="32"/>
        </w:rPr>
      </w:pPr>
      <w:r>
        <w:rPr>
          <w:rFonts w:hint="eastAsia" w:ascii="仿宋_GB2312" w:hAnsi="仿宋_GB2312" w:eastAsia="仿宋_GB2312" w:cs="仿宋_GB2312"/>
          <w:kern w:val="0"/>
          <w:sz w:val="32"/>
          <w:szCs w:val="32"/>
          <w:lang w:val="en-US" w:eastAsia="zh-CN"/>
        </w:rPr>
        <w:t>确保2022年大中型灌区完工项目可初步发挥效益以及2023年大中型灌区项目绩效目标如期保质保量实现，加强灌区项目建设质量和管理水平，帮肤指导范围涵盖18个县（市）的大中型灌区项目、通过现场调研，资料数据的分析汇总完成《新疆2022年大中型灌区帮肤指导报告资料汇编》1本。2023年分两个阶段（第一阶段2022年5月-6月，第二阶段10月-11月）将对我区8个地州、18个县市大中型灌区续建配套与节水改造项目进行现场调研和帮扶指导工作，主要分两个组进行，南疆组和北疆、东疆组，对大中型灌区开展现场勘查和内业资料的核查，对项目存在的问题进行反馈，出具帮扶指导报告。</w:t>
      </w:r>
    </w:p>
    <w:p w14:paraId="1757ECC2">
      <w:pPr>
        <w:spacing w:line="540" w:lineRule="exact"/>
        <w:ind w:firstLine="624" w:firstLineChars="200"/>
        <w:rPr>
          <w:rStyle w:val="14"/>
          <w:rFonts w:ascii="黑体" w:hAnsi="黑体" w:eastAsia="黑体"/>
          <w:b w:val="0"/>
          <w:spacing w:val="-4"/>
          <w:sz w:val="32"/>
          <w:szCs w:val="32"/>
        </w:rPr>
      </w:pPr>
      <w:r>
        <w:rPr>
          <w:rStyle w:val="14"/>
          <w:rFonts w:hint="eastAsia" w:ascii="黑体" w:hAnsi="黑体" w:eastAsia="黑体"/>
          <w:b w:val="0"/>
          <w:spacing w:val="-4"/>
          <w:sz w:val="32"/>
          <w:szCs w:val="32"/>
        </w:rPr>
        <w:t>二、</w:t>
      </w:r>
      <w:r>
        <w:rPr>
          <w:rStyle w:val="14"/>
          <w:rFonts w:hint="eastAsia"/>
          <w:spacing w:val="-4"/>
          <w:sz w:val="32"/>
          <w:szCs w:val="32"/>
        </w:rPr>
        <w:t>绩效评价工作开展情况</w:t>
      </w:r>
    </w:p>
    <w:p w14:paraId="3A459803">
      <w:pPr>
        <w:spacing w:line="540" w:lineRule="exact"/>
        <w:ind w:firstLine="567" w:firstLineChars="181"/>
        <w:rPr>
          <w:rStyle w:val="14"/>
          <w:rFonts w:hint="eastAsia" w:ascii="楷体" w:hAnsi="楷体" w:eastAsia="楷体"/>
          <w:spacing w:val="-4"/>
          <w:sz w:val="32"/>
          <w:szCs w:val="32"/>
        </w:rPr>
      </w:pPr>
      <w:r>
        <w:rPr>
          <w:rStyle w:val="14"/>
          <w:rFonts w:hint="eastAsia" w:ascii="楷体" w:hAnsi="楷体" w:eastAsia="楷体"/>
          <w:spacing w:val="-4"/>
          <w:sz w:val="32"/>
          <w:szCs w:val="32"/>
        </w:rPr>
        <w:t>（一）绩效评价目的、对象和范围。</w:t>
      </w:r>
    </w:p>
    <w:p w14:paraId="15C70C87">
      <w:pPr>
        <w:numPr>
          <w:ilvl w:val="0"/>
          <w:numId w:val="0"/>
        </w:numPr>
        <w:spacing w:line="540" w:lineRule="exact"/>
        <w:ind w:firstLine="640" w:firstLineChars="200"/>
        <w:rPr>
          <w:rStyle w:val="14"/>
          <w:rFonts w:hint="eastAsia" w:ascii="仿宋_GB2312" w:hAnsi="仿宋_GB2312" w:eastAsia="仿宋_GB2312" w:cs="仿宋_GB2312"/>
          <w:spacing w:val="-4"/>
          <w:sz w:val="32"/>
          <w:szCs w:val="32"/>
        </w:rPr>
      </w:pPr>
      <w:r>
        <w:rPr>
          <w:rFonts w:hint="eastAsia" w:ascii="仿宋_GB2312" w:hAnsi="仿宋_GB2312" w:eastAsia="仿宋_GB2312" w:cs="仿宋_GB2312"/>
          <w:kern w:val="0"/>
          <w:sz w:val="32"/>
          <w:szCs w:val="32"/>
        </w:rPr>
        <w:t>帮扶指导工作采取以点带面、对重点地州进行了抽查，2023年至少完成8个地（州）、16个县（市）的大中型灌区项目的帮扶指导，对检查中存在的问题进行现场反馈交流，要求项目业主等相关单位整改落实。进一步保障大中型灌区运行，巩固拓展脱贫攻坚成果，保证粮食安全生产，持续发挥经济、社会及生态效益。</w:t>
      </w:r>
    </w:p>
    <w:p w14:paraId="46C75659">
      <w:pPr>
        <w:spacing w:line="540" w:lineRule="exact"/>
        <w:ind w:firstLine="567" w:firstLineChars="181"/>
        <w:rPr>
          <w:rStyle w:val="14"/>
          <w:rFonts w:hint="eastAsia" w:ascii="楷体" w:hAnsi="楷体" w:eastAsia="楷体"/>
          <w:spacing w:val="-4"/>
          <w:sz w:val="32"/>
          <w:szCs w:val="32"/>
        </w:rPr>
      </w:pPr>
      <w:r>
        <w:rPr>
          <w:rStyle w:val="14"/>
          <w:rFonts w:hint="eastAsia" w:ascii="楷体" w:hAnsi="楷体" w:eastAsia="楷体"/>
          <w:spacing w:val="-4"/>
          <w:sz w:val="32"/>
          <w:szCs w:val="32"/>
        </w:rPr>
        <w:t>（二）绩效评价原则、评价指标体系（附表说明）、评价方法、评价标准等。</w:t>
      </w:r>
    </w:p>
    <w:p w14:paraId="77CA325E">
      <w:pPr>
        <w:numPr>
          <w:ilvl w:val="0"/>
          <w:numId w:val="0"/>
        </w:numPr>
        <w:spacing w:line="54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数量指标</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开展帮扶指导涵盖县（市）范围≧</w:t>
      </w:r>
      <w:r>
        <w:rPr>
          <w:rFonts w:hint="eastAsia" w:ascii="仿宋_GB2312" w:hAnsi="仿宋_GB2312" w:eastAsia="仿宋_GB2312" w:cs="仿宋_GB2312"/>
          <w:kern w:val="0"/>
          <w:sz w:val="32"/>
          <w:szCs w:val="32"/>
          <w:lang w:val="en-US" w:eastAsia="zh-CN"/>
        </w:rPr>
        <w:t>16个。2、</w:t>
      </w:r>
      <w:r>
        <w:rPr>
          <w:rFonts w:hint="eastAsia" w:ascii="仿宋_GB2312" w:hAnsi="仿宋_GB2312" w:eastAsia="仿宋_GB2312" w:cs="仿宋_GB2312"/>
          <w:kern w:val="0"/>
          <w:sz w:val="32"/>
          <w:szCs w:val="32"/>
        </w:rPr>
        <w:t>设备维修养护次数≧</w:t>
      </w:r>
      <w:r>
        <w:rPr>
          <w:rFonts w:hint="eastAsia" w:ascii="仿宋_GB2312" w:hAnsi="仿宋_GB2312" w:eastAsia="仿宋_GB2312" w:cs="仿宋_GB2312"/>
          <w:kern w:val="0"/>
          <w:sz w:val="32"/>
          <w:szCs w:val="32"/>
          <w:lang w:val="en-US" w:eastAsia="zh-CN"/>
        </w:rPr>
        <w:t>2次。3、</w:t>
      </w:r>
      <w:r>
        <w:rPr>
          <w:rFonts w:hint="eastAsia" w:ascii="仿宋_GB2312" w:hAnsi="仿宋_GB2312" w:eastAsia="仿宋_GB2312" w:cs="仿宋_GB2312"/>
          <w:kern w:val="0"/>
          <w:sz w:val="32"/>
          <w:szCs w:val="32"/>
        </w:rPr>
        <w:t>大中型灌区帮扶指导数量≧</w:t>
      </w:r>
      <w:r>
        <w:rPr>
          <w:rFonts w:hint="eastAsia" w:ascii="仿宋_GB2312" w:hAnsi="仿宋_GB2312" w:eastAsia="仿宋_GB2312" w:cs="仿宋_GB2312"/>
          <w:kern w:val="0"/>
          <w:sz w:val="32"/>
          <w:szCs w:val="32"/>
          <w:lang w:val="en-US" w:eastAsia="zh-CN"/>
        </w:rPr>
        <w:t>4个。4、</w:t>
      </w:r>
      <w:r>
        <w:rPr>
          <w:rFonts w:hint="eastAsia" w:ascii="仿宋_GB2312" w:hAnsi="仿宋_GB2312" w:eastAsia="仿宋_GB2312" w:cs="仿宋_GB2312"/>
          <w:kern w:val="0"/>
          <w:sz w:val="32"/>
          <w:szCs w:val="32"/>
        </w:rPr>
        <w:t>开展帮扶指导涵盖地（州）范围≧</w:t>
      </w:r>
      <w:r>
        <w:rPr>
          <w:rFonts w:hint="eastAsia" w:ascii="仿宋_GB2312" w:hAnsi="仿宋_GB2312" w:eastAsia="仿宋_GB2312" w:cs="仿宋_GB2312"/>
          <w:kern w:val="0"/>
          <w:sz w:val="32"/>
          <w:szCs w:val="32"/>
          <w:lang w:val="en-US" w:eastAsia="zh-CN"/>
        </w:rPr>
        <w:t>8个。5、</w:t>
      </w:r>
      <w:r>
        <w:rPr>
          <w:rFonts w:hint="eastAsia" w:ascii="仿宋_GB2312" w:hAnsi="仿宋_GB2312" w:eastAsia="仿宋_GB2312" w:cs="仿宋_GB2312"/>
          <w:kern w:val="0"/>
          <w:sz w:val="32"/>
          <w:szCs w:val="32"/>
        </w:rPr>
        <w:t>开展帮扶指导次数≧</w:t>
      </w:r>
      <w:r>
        <w:rPr>
          <w:rFonts w:hint="eastAsia" w:ascii="仿宋_GB2312" w:hAnsi="仿宋_GB2312" w:eastAsia="仿宋_GB2312" w:cs="仿宋_GB2312"/>
          <w:kern w:val="0"/>
          <w:sz w:val="32"/>
          <w:szCs w:val="32"/>
          <w:lang w:val="en-US" w:eastAsia="zh-CN"/>
        </w:rPr>
        <w:t>2次。6、</w:t>
      </w:r>
      <w:r>
        <w:rPr>
          <w:rFonts w:hint="eastAsia" w:ascii="仿宋_GB2312" w:hAnsi="仿宋_GB2312" w:eastAsia="仿宋_GB2312" w:cs="仿宋_GB2312"/>
          <w:kern w:val="0"/>
          <w:sz w:val="32"/>
          <w:szCs w:val="32"/>
        </w:rPr>
        <w:t>出具地（州）帮扶指导报告≧</w:t>
      </w:r>
      <w:r>
        <w:rPr>
          <w:rFonts w:hint="eastAsia" w:ascii="仿宋_GB2312" w:hAnsi="仿宋_GB2312" w:eastAsia="仿宋_GB2312" w:cs="仿宋_GB2312"/>
          <w:kern w:val="0"/>
          <w:sz w:val="32"/>
          <w:szCs w:val="32"/>
          <w:lang w:val="en-US" w:eastAsia="zh-CN"/>
        </w:rPr>
        <w:t>8个。质量指标：1、帮扶指导地（州）、县（市）覆盖率≧80%。2、</w:t>
      </w:r>
      <w:r>
        <w:rPr>
          <w:rFonts w:hint="eastAsia" w:ascii="仿宋_GB2312" w:hAnsi="仿宋_GB2312" w:eastAsia="仿宋_GB2312" w:cs="仿宋_GB2312"/>
          <w:kern w:val="0"/>
          <w:sz w:val="32"/>
          <w:szCs w:val="32"/>
        </w:rPr>
        <w:t>帮扶指导次数完成率≧</w:t>
      </w:r>
      <w:r>
        <w:rPr>
          <w:rFonts w:hint="eastAsia" w:ascii="仿宋_GB2312" w:hAnsi="仿宋_GB2312" w:eastAsia="仿宋_GB2312" w:cs="仿宋_GB2312"/>
          <w:kern w:val="0"/>
          <w:sz w:val="32"/>
          <w:szCs w:val="32"/>
          <w:lang w:val="en-US" w:eastAsia="zh-CN"/>
        </w:rPr>
        <w:t>80%。3、</w:t>
      </w:r>
      <w:r>
        <w:rPr>
          <w:rFonts w:hint="eastAsia" w:ascii="仿宋_GB2312" w:hAnsi="仿宋_GB2312" w:eastAsia="仿宋_GB2312" w:cs="仿宋_GB2312"/>
          <w:kern w:val="0"/>
          <w:sz w:val="32"/>
          <w:szCs w:val="32"/>
        </w:rPr>
        <w:t>帮扶指导报告出具率≧</w:t>
      </w:r>
      <w:r>
        <w:rPr>
          <w:rFonts w:hint="eastAsia" w:ascii="仿宋_GB2312" w:hAnsi="仿宋_GB2312" w:eastAsia="仿宋_GB2312" w:cs="仿宋_GB2312"/>
          <w:kern w:val="0"/>
          <w:sz w:val="32"/>
          <w:szCs w:val="32"/>
          <w:lang w:val="en-US" w:eastAsia="zh-CN"/>
        </w:rPr>
        <w:t>80%。</w:t>
      </w:r>
      <w:r>
        <w:rPr>
          <w:rFonts w:hint="eastAsia" w:ascii="仿宋_GB2312" w:hAnsi="仿宋_GB2312" w:eastAsia="仿宋_GB2312" w:cs="仿宋_GB2312"/>
          <w:kern w:val="0"/>
          <w:sz w:val="32"/>
          <w:szCs w:val="32"/>
        </w:rPr>
        <w:t>时效指标</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地（州）帮扶指导整改按时完</w:t>
      </w:r>
      <w:r>
        <w:rPr>
          <w:rFonts w:hint="eastAsia" w:ascii="仿宋_GB2312" w:hAnsi="仿宋_GB2312" w:eastAsia="仿宋_GB2312" w:cs="仿宋_GB2312"/>
          <w:kern w:val="0"/>
          <w:sz w:val="32"/>
          <w:szCs w:val="32"/>
          <w:lang w:eastAsia="zh-CN"/>
        </w:rPr>
        <w:t>成率≧</w:t>
      </w:r>
      <w:r>
        <w:rPr>
          <w:rFonts w:hint="eastAsia" w:ascii="仿宋_GB2312" w:hAnsi="仿宋_GB2312" w:eastAsia="仿宋_GB2312" w:cs="仿宋_GB2312"/>
          <w:kern w:val="0"/>
          <w:sz w:val="32"/>
          <w:szCs w:val="32"/>
          <w:lang w:val="en-US" w:eastAsia="zh-CN"/>
        </w:rPr>
        <w:t>80%。2、</w:t>
      </w:r>
      <w:r>
        <w:rPr>
          <w:rFonts w:hint="eastAsia" w:ascii="仿宋_GB2312" w:hAnsi="仿宋_GB2312" w:eastAsia="仿宋_GB2312" w:cs="仿宋_GB2312"/>
          <w:kern w:val="0"/>
          <w:sz w:val="32"/>
          <w:szCs w:val="32"/>
        </w:rPr>
        <w:t>县（市）帮扶指导整改按时完</w:t>
      </w:r>
      <w:r>
        <w:rPr>
          <w:rFonts w:hint="eastAsia" w:ascii="仿宋_GB2312" w:hAnsi="仿宋_GB2312" w:eastAsia="仿宋_GB2312" w:cs="仿宋_GB2312"/>
          <w:kern w:val="0"/>
          <w:sz w:val="32"/>
          <w:szCs w:val="32"/>
          <w:lang w:eastAsia="zh-CN"/>
        </w:rPr>
        <w:t>成率≧</w:t>
      </w:r>
      <w:r>
        <w:rPr>
          <w:rFonts w:hint="eastAsia" w:ascii="仿宋_GB2312" w:hAnsi="仿宋_GB2312" w:eastAsia="仿宋_GB2312" w:cs="仿宋_GB2312"/>
          <w:kern w:val="0"/>
          <w:sz w:val="32"/>
          <w:szCs w:val="32"/>
          <w:lang w:val="en-US" w:eastAsia="zh-CN"/>
        </w:rPr>
        <w:t>80%。3、</w:t>
      </w:r>
      <w:r>
        <w:rPr>
          <w:rFonts w:hint="eastAsia" w:ascii="仿宋_GB2312" w:hAnsi="仿宋_GB2312" w:eastAsia="仿宋_GB2312" w:cs="仿宋_GB2312"/>
          <w:kern w:val="0"/>
          <w:sz w:val="32"/>
          <w:szCs w:val="32"/>
        </w:rPr>
        <w:t>帮扶指导报告出具时间</w:t>
      </w:r>
      <w:r>
        <w:rPr>
          <w:rFonts w:hint="eastAsia" w:ascii="仿宋_GB2312" w:hAnsi="仿宋_GB2312" w:eastAsia="仿宋_GB2312" w:cs="仿宋_GB2312"/>
          <w:kern w:val="0"/>
          <w:sz w:val="32"/>
          <w:szCs w:val="32"/>
          <w:lang w:val="en-US" w:eastAsia="zh-CN"/>
        </w:rPr>
        <w:t>=10个工作日。4、</w:t>
      </w:r>
      <w:r>
        <w:rPr>
          <w:rFonts w:hint="eastAsia" w:ascii="仿宋_GB2312" w:hAnsi="仿宋_GB2312" w:eastAsia="仿宋_GB2312" w:cs="仿宋_GB2312"/>
          <w:kern w:val="0"/>
          <w:sz w:val="32"/>
          <w:szCs w:val="32"/>
        </w:rPr>
        <w:t>帮扶指导报告整改完成率≧</w:t>
      </w:r>
      <w:r>
        <w:rPr>
          <w:rFonts w:hint="eastAsia" w:ascii="仿宋_GB2312" w:hAnsi="仿宋_GB2312" w:eastAsia="仿宋_GB2312" w:cs="仿宋_GB2312"/>
          <w:kern w:val="0"/>
          <w:sz w:val="32"/>
          <w:szCs w:val="32"/>
          <w:lang w:val="en-US" w:eastAsia="zh-CN"/>
        </w:rPr>
        <w:t>80%。5、</w:t>
      </w:r>
      <w:r>
        <w:rPr>
          <w:rFonts w:hint="eastAsia" w:ascii="仿宋_GB2312" w:hAnsi="仿宋_GB2312" w:eastAsia="仿宋_GB2312" w:cs="仿宋_GB2312"/>
          <w:kern w:val="0"/>
          <w:sz w:val="32"/>
          <w:szCs w:val="32"/>
        </w:rPr>
        <w:t>设备维修养护完成率≧</w:t>
      </w:r>
      <w:r>
        <w:rPr>
          <w:rFonts w:hint="eastAsia" w:ascii="仿宋_GB2312" w:hAnsi="仿宋_GB2312" w:eastAsia="仿宋_GB2312" w:cs="仿宋_GB2312"/>
          <w:kern w:val="0"/>
          <w:sz w:val="32"/>
          <w:szCs w:val="32"/>
          <w:lang w:val="en-US" w:eastAsia="zh-CN"/>
        </w:rPr>
        <w:t>80%。</w:t>
      </w:r>
      <w:r>
        <w:rPr>
          <w:rFonts w:hint="eastAsia" w:ascii="仿宋_GB2312" w:hAnsi="仿宋_GB2312" w:eastAsia="仿宋_GB2312" w:cs="仿宋_GB2312"/>
          <w:kern w:val="0"/>
          <w:sz w:val="32"/>
          <w:szCs w:val="32"/>
        </w:rPr>
        <w:t>经济成本指标</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差旅费≦</w:t>
      </w:r>
      <w:r>
        <w:rPr>
          <w:rFonts w:hint="eastAsia" w:ascii="仿宋_GB2312" w:hAnsi="仿宋_GB2312" w:eastAsia="仿宋_GB2312" w:cs="仿宋_GB2312"/>
          <w:kern w:val="0"/>
          <w:sz w:val="32"/>
          <w:szCs w:val="32"/>
          <w:lang w:val="en-US" w:eastAsia="zh-CN"/>
        </w:rPr>
        <w:t>25.5万元。2、</w:t>
      </w:r>
      <w:r>
        <w:rPr>
          <w:rFonts w:hint="eastAsia" w:ascii="仿宋_GB2312" w:hAnsi="仿宋_GB2312" w:eastAsia="仿宋_GB2312" w:cs="仿宋_GB2312"/>
          <w:kern w:val="0"/>
          <w:sz w:val="32"/>
          <w:szCs w:val="32"/>
        </w:rPr>
        <w:t>办公设备购置及维修养护费≦</w:t>
      </w:r>
      <w:r>
        <w:rPr>
          <w:rFonts w:hint="eastAsia" w:ascii="仿宋_GB2312" w:hAnsi="仿宋_GB2312" w:eastAsia="仿宋_GB2312" w:cs="仿宋_GB2312"/>
          <w:kern w:val="0"/>
          <w:sz w:val="32"/>
          <w:szCs w:val="32"/>
          <w:lang w:val="en-US" w:eastAsia="zh-CN"/>
        </w:rPr>
        <w:t>5.8万元。3、</w:t>
      </w:r>
      <w:r>
        <w:rPr>
          <w:rFonts w:hint="eastAsia" w:ascii="仿宋_GB2312" w:hAnsi="仿宋_GB2312" w:eastAsia="仿宋_GB2312" w:cs="仿宋_GB2312"/>
          <w:kern w:val="0"/>
          <w:sz w:val="32"/>
          <w:szCs w:val="32"/>
        </w:rPr>
        <w:t>业务咨询劳务费和资料费用≦</w:t>
      </w:r>
      <w:r>
        <w:rPr>
          <w:rFonts w:hint="eastAsia" w:ascii="仿宋_GB2312" w:hAnsi="仿宋_GB2312" w:eastAsia="仿宋_GB2312" w:cs="仿宋_GB2312"/>
          <w:kern w:val="0"/>
          <w:sz w:val="32"/>
          <w:szCs w:val="32"/>
          <w:lang w:val="en-US" w:eastAsia="zh-CN"/>
        </w:rPr>
        <w:t>2万元。</w:t>
      </w:r>
      <w:r>
        <w:rPr>
          <w:rFonts w:hint="eastAsia" w:ascii="仿宋_GB2312" w:hAnsi="仿宋_GB2312" w:eastAsia="仿宋_GB2312" w:cs="仿宋_GB2312"/>
          <w:kern w:val="0"/>
          <w:sz w:val="32"/>
          <w:szCs w:val="32"/>
        </w:rPr>
        <w:t>效益指标</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检查结果公开率≧</w:t>
      </w:r>
      <w:r>
        <w:rPr>
          <w:rFonts w:hint="eastAsia" w:ascii="仿宋_GB2312" w:hAnsi="仿宋_GB2312" w:eastAsia="仿宋_GB2312" w:cs="仿宋_GB2312"/>
          <w:kern w:val="0"/>
          <w:sz w:val="32"/>
          <w:szCs w:val="32"/>
          <w:lang w:val="en-US" w:eastAsia="zh-CN"/>
        </w:rPr>
        <w:t>80%。</w:t>
      </w:r>
      <w:r>
        <w:rPr>
          <w:rFonts w:hint="eastAsia" w:ascii="仿宋_GB2312" w:hAnsi="仿宋_GB2312" w:eastAsia="仿宋_GB2312" w:cs="仿宋_GB2312"/>
          <w:kern w:val="0"/>
          <w:sz w:val="32"/>
          <w:szCs w:val="32"/>
        </w:rPr>
        <w:t>满意度指标</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检查人员被投诉次数≦</w:t>
      </w:r>
      <w:r>
        <w:rPr>
          <w:rFonts w:hint="eastAsia" w:ascii="仿宋_GB2312" w:hAnsi="仿宋_GB2312" w:eastAsia="仿宋_GB2312" w:cs="仿宋_GB2312"/>
          <w:kern w:val="0"/>
          <w:sz w:val="32"/>
          <w:szCs w:val="32"/>
          <w:lang w:val="en-US" w:eastAsia="zh-CN"/>
        </w:rPr>
        <w:t>8次</w:t>
      </w:r>
    </w:p>
    <w:p w14:paraId="1E442176">
      <w:pPr>
        <w:spacing w:line="540" w:lineRule="exact"/>
        <w:ind w:firstLine="627" w:firstLineChars="200"/>
        <w:rPr>
          <w:rStyle w:val="14"/>
          <w:rFonts w:hint="eastAsia" w:ascii="楷体" w:hAnsi="楷体" w:eastAsia="楷体"/>
          <w:spacing w:val="-4"/>
          <w:sz w:val="32"/>
          <w:szCs w:val="32"/>
        </w:rPr>
      </w:pPr>
      <w:r>
        <w:rPr>
          <w:rStyle w:val="14"/>
          <w:rFonts w:hint="eastAsia" w:ascii="楷体" w:hAnsi="楷体" w:eastAsia="楷体"/>
          <w:spacing w:val="-4"/>
          <w:sz w:val="32"/>
          <w:szCs w:val="32"/>
        </w:rPr>
        <w:t>（三）绩效评价工作过程。</w:t>
      </w:r>
    </w:p>
    <w:p w14:paraId="7C67A8FF">
      <w:pPr>
        <w:numPr>
          <w:ilvl w:val="0"/>
          <w:numId w:val="0"/>
        </w:numPr>
        <w:spacing w:line="540" w:lineRule="exact"/>
        <w:ind w:firstLine="640" w:firstLineChars="200"/>
        <w:rPr>
          <w:rStyle w:val="14"/>
          <w:rFonts w:hint="eastAsia" w:ascii="仿宋_GB2312" w:hAnsi="仿宋_GB2312" w:eastAsia="仿宋_GB2312" w:cs="仿宋_GB2312"/>
          <w:spacing w:val="-4"/>
          <w:sz w:val="32"/>
          <w:szCs w:val="32"/>
        </w:rPr>
      </w:pPr>
      <w:r>
        <w:rPr>
          <w:rFonts w:hint="eastAsia" w:ascii="仿宋_GB2312" w:hAnsi="仿宋_GB2312" w:eastAsia="仿宋_GB2312" w:cs="仿宋_GB2312"/>
          <w:kern w:val="0"/>
          <w:sz w:val="32"/>
          <w:szCs w:val="32"/>
        </w:rPr>
        <w:t>社会效益指标：通过灌区项目建成后，灌区内农业水利生产条件将得到很大提高，实现节水灌溉，降低农业成本，增加农民收入，促进灌区经济发展和人民生活水平提高；经济效益指标：灌区项目实施，通过渠道防渗改造后产生的节水效益及作物适时灌溉产生的增产效益，提高了项目区内灌溉水的利用率，改善了灌区灌溉条件，提高了现有灌区的灌溉保证率。可持续影响指标：通过灌区项目建成后，有效提升了灌区社会经济系统运行的稳定性，促进了资源利用、社会经济系统运行、污染防治及生态维护之间的协调，可持续。</w:t>
      </w:r>
    </w:p>
    <w:p w14:paraId="227AE50E">
      <w:pPr>
        <w:spacing w:line="540" w:lineRule="exact"/>
        <w:ind w:firstLine="640"/>
        <w:rPr>
          <w:rStyle w:val="14"/>
          <w:rFonts w:ascii="黑体" w:hAnsi="黑体" w:eastAsia="黑体"/>
          <w:b w:val="0"/>
          <w:spacing w:val="-4"/>
          <w:sz w:val="32"/>
          <w:szCs w:val="32"/>
        </w:rPr>
      </w:pPr>
      <w:r>
        <w:rPr>
          <w:rStyle w:val="14"/>
          <w:rFonts w:hint="eastAsia" w:ascii="黑体" w:hAnsi="黑体" w:eastAsia="黑体"/>
          <w:b w:val="0"/>
          <w:spacing w:val="-4"/>
          <w:sz w:val="32"/>
          <w:szCs w:val="32"/>
        </w:rPr>
        <w:t>三、</w:t>
      </w:r>
      <w:r>
        <w:rPr>
          <w:rStyle w:val="14"/>
          <w:rFonts w:hint="eastAsia"/>
          <w:spacing w:val="-4"/>
          <w:sz w:val="32"/>
          <w:szCs w:val="32"/>
        </w:rPr>
        <w:t>综合评价情况及评价结论</w:t>
      </w:r>
    </w:p>
    <w:p w14:paraId="71DC489A">
      <w:pPr>
        <w:numPr>
          <w:ilvl w:val="0"/>
          <w:numId w:val="0"/>
        </w:numPr>
        <w:spacing w:line="540" w:lineRule="exact"/>
        <w:ind w:firstLine="640" w:firstLineChars="200"/>
        <w:rPr>
          <w:rStyle w:val="14"/>
          <w:rFonts w:hint="eastAsia" w:ascii="仿宋_GB2312" w:hAnsi="仿宋_GB2312" w:eastAsia="仿宋_GB2312" w:cs="仿宋_GB2312"/>
          <w:spacing w:val="-4"/>
          <w:sz w:val="32"/>
          <w:szCs w:val="32"/>
        </w:rPr>
      </w:pPr>
      <w:r>
        <w:rPr>
          <w:rFonts w:hint="eastAsia" w:ascii="仿宋_GB2312" w:hAnsi="仿宋_GB2312" w:eastAsia="仿宋_GB2312" w:cs="仿宋_GB2312"/>
          <w:kern w:val="0"/>
          <w:sz w:val="32"/>
          <w:szCs w:val="32"/>
        </w:rPr>
        <w:t>按照国家部委关于“十四五”大中型灌区建设续建配套与现代化改造的要求，加大全疆大中型灌区项目的监督检查力度，稳步推进项目建设，提升灌区项目建设质量和管理水平。进一步保障大中型灌区运行，巩固拓展脱贫攻坚成果，保证粮食安全生产，持续发挥经济、社会及生态效益。</w:t>
      </w:r>
    </w:p>
    <w:p w14:paraId="178EAC60">
      <w:pPr>
        <w:spacing w:line="540" w:lineRule="exact"/>
        <w:ind w:firstLine="640"/>
        <w:rPr>
          <w:rStyle w:val="14"/>
          <w:rFonts w:ascii="黑体" w:hAnsi="黑体" w:eastAsia="黑体"/>
        </w:rPr>
      </w:pPr>
      <w:r>
        <w:rPr>
          <w:rStyle w:val="14"/>
          <w:rFonts w:hint="eastAsia" w:ascii="黑体" w:hAnsi="黑体" w:eastAsia="黑体"/>
          <w:b w:val="0"/>
          <w:spacing w:val="-4"/>
          <w:sz w:val="32"/>
          <w:szCs w:val="32"/>
        </w:rPr>
        <w:t>四、</w:t>
      </w:r>
      <w:r>
        <w:rPr>
          <w:rStyle w:val="14"/>
          <w:rFonts w:hint="eastAsia"/>
          <w:spacing w:val="-4"/>
          <w:sz w:val="32"/>
          <w:szCs w:val="32"/>
        </w:rPr>
        <w:t>绩效评价指标分析</w:t>
      </w:r>
    </w:p>
    <w:p w14:paraId="434624F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4316828C">
      <w:pPr>
        <w:numPr>
          <w:ilvl w:val="0"/>
          <w:numId w:val="0"/>
        </w:numPr>
        <w:spacing w:line="54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2023年完成8个地（州）、16个县（市）的大中型灌区项目的帮扶指导，对检查中存在的问题进行现场反馈交流，要求项目业主等相关单位整改落实。进一步保障大中型灌区运行，巩固拓展脱贫攻坚成果，保证粮食安全生产，持续发挥经济、社会及生态效益</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资金执行率100%。</w:t>
      </w:r>
    </w:p>
    <w:p w14:paraId="002881B0">
      <w:pPr>
        <w:spacing w:line="540" w:lineRule="exact"/>
        <w:ind w:firstLine="627" w:firstLineChars="200"/>
        <w:rPr>
          <w:rFonts w:hint="eastAsia" w:ascii="楷体" w:hAnsi="楷体" w:eastAsia="楷体"/>
          <w:b/>
          <w:spacing w:val="-4"/>
          <w:sz w:val="32"/>
          <w:szCs w:val="32"/>
        </w:rPr>
      </w:pPr>
      <w:r>
        <w:rPr>
          <w:rFonts w:hint="eastAsia" w:ascii="楷体" w:hAnsi="楷体" w:eastAsia="楷体"/>
          <w:b/>
          <w:spacing w:val="-4"/>
          <w:sz w:val="32"/>
          <w:szCs w:val="32"/>
        </w:rPr>
        <w:t>（二）项目过程情况。</w:t>
      </w:r>
    </w:p>
    <w:p w14:paraId="134DE9CE">
      <w:pPr>
        <w:numPr>
          <w:ilvl w:val="0"/>
          <w:numId w:val="0"/>
        </w:numPr>
        <w:spacing w:line="54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2023年完成8个地（州）、16个县（市）的大中型灌区项目的帮扶指导，对检查中存在的问题进行现场反馈交流，要求项目业主等相关单位整改落实。进一步保障大中型灌区运行，巩固拓展脱贫攻坚成果，保证粮食安全生产，持续发挥经济、社会及生态效益</w:t>
      </w:r>
      <w:r>
        <w:rPr>
          <w:rFonts w:hint="eastAsia" w:ascii="仿宋_GB2312" w:hAnsi="仿宋_GB2312" w:eastAsia="仿宋_GB2312" w:cs="仿宋_GB2312"/>
          <w:kern w:val="0"/>
          <w:sz w:val="32"/>
          <w:szCs w:val="32"/>
          <w:lang w:eastAsia="zh-CN"/>
        </w:rPr>
        <w:t>。</w:t>
      </w:r>
    </w:p>
    <w:p w14:paraId="1FE454E4">
      <w:pPr>
        <w:spacing w:line="540" w:lineRule="exact"/>
        <w:ind w:firstLine="313" w:firstLineChars="100"/>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（三）项目产出情况。</w:t>
      </w:r>
    </w:p>
    <w:p w14:paraId="49C0F317">
      <w:pPr>
        <w:numPr>
          <w:ilvl w:val="0"/>
          <w:numId w:val="0"/>
        </w:numPr>
        <w:spacing w:line="540" w:lineRule="exact"/>
        <w:ind w:firstLine="320" w:firstLineChars="100"/>
        <w:rPr>
          <w:rStyle w:val="14"/>
          <w:rFonts w:hint="eastAsia" w:ascii="仿宋_GB2312" w:hAnsi="仿宋_GB2312" w:eastAsia="仿宋_GB2312" w:cs="仿宋_GB2312"/>
          <w:spacing w:val="-4"/>
          <w:sz w:val="32"/>
          <w:szCs w:val="32"/>
        </w:rPr>
      </w:pPr>
      <w:r>
        <w:rPr>
          <w:rFonts w:hint="eastAsia" w:ascii="仿宋_GB2312" w:hAnsi="仿宋_GB2312" w:eastAsia="仿宋_GB2312" w:cs="仿宋_GB2312"/>
          <w:kern w:val="0"/>
          <w:sz w:val="32"/>
          <w:szCs w:val="32"/>
          <w:lang w:val="en-US" w:eastAsia="zh-CN"/>
        </w:rPr>
        <w:t>所有项目绩效指标均已达到预期值。资金执行率100%。</w:t>
      </w:r>
    </w:p>
    <w:p w14:paraId="6282E18E">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（四）项目效益情况。</w:t>
      </w:r>
    </w:p>
    <w:p w14:paraId="3EBE1289">
      <w:pPr>
        <w:numPr>
          <w:ilvl w:val="0"/>
          <w:numId w:val="0"/>
        </w:numPr>
        <w:spacing w:line="540" w:lineRule="exact"/>
        <w:ind w:firstLine="960" w:firstLineChars="300"/>
        <w:rPr>
          <w:rStyle w:val="14"/>
          <w:rFonts w:hint="eastAsia" w:ascii="仿宋_GB2312" w:hAnsi="仿宋_GB2312" w:eastAsia="仿宋_GB2312" w:cs="仿宋_GB2312"/>
          <w:spacing w:val="-4"/>
          <w:sz w:val="32"/>
          <w:szCs w:val="32"/>
        </w:rPr>
      </w:pPr>
      <w:r>
        <w:rPr>
          <w:rFonts w:hint="eastAsia" w:ascii="仿宋_GB2312" w:hAnsi="仿宋_GB2312" w:eastAsia="仿宋_GB2312" w:cs="仿宋_GB2312"/>
          <w:kern w:val="0"/>
          <w:sz w:val="32"/>
          <w:szCs w:val="32"/>
        </w:rPr>
        <w:t>社会效益指标：通过灌区项目建成后，灌区内农业水利生产条件将得到很大提高，实现节水灌溉，降低农业成本，增加农民收入，促进灌区经济发展和人民生活水平提高；经济效益指标：灌区项目实施，通过渠道防渗改造后产生的节水效益及作物适时灌溉产生的增产效益，提高了项目区内灌溉水的利用率，改善了灌区灌溉条件，提高了现有灌区的灌溉保证率。可持续影响指标：通过灌区项目建成后，有效提升了灌区社会经济系统运行的稳定性，促进了资源利用、社会经济系统运行、污染防治及生态维护之间的协调，可持续。</w:t>
      </w:r>
    </w:p>
    <w:p w14:paraId="7354105C">
      <w:pPr>
        <w:spacing w:line="540" w:lineRule="exact"/>
        <w:ind w:firstLine="624" w:firstLineChars="200"/>
        <w:rPr>
          <w:rStyle w:val="14"/>
          <w:rFonts w:ascii="黑体" w:hAnsi="黑体" w:eastAsia="黑体"/>
          <w:spacing w:val="-4"/>
          <w:sz w:val="32"/>
          <w:szCs w:val="32"/>
        </w:rPr>
      </w:pPr>
      <w:r>
        <w:rPr>
          <w:rStyle w:val="14"/>
          <w:rFonts w:hint="eastAsia" w:ascii="黑体" w:hAnsi="黑体" w:eastAsia="黑体"/>
          <w:b w:val="0"/>
          <w:spacing w:val="-4"/>
          <w:sz w:val="32"/>
          <w:szCs w:val="32"/>
        </w:rPr>
        <w:t>五、</w:t>
      </w:r>
      <w:r>
        <w:rPr>
          <w:rStyle w:val="14"/>
          <w:rFonts w:ascii="黑体" w:hAnsi="黑体" w:eastAsia="黑体"/>
          <w:b w:val="0"/>
          <w:spacing w:val="-4"/>
          <w:sz w:val="32"/>
          <w:szCs w:val="32"/>
        </w:rPr>
        <w:t>主要经验及做法、存在的问题及原因分析</w:t>
      </w:r>
    </w:p>
    <w:p w14:paraId="29E40892">
      <w:pPr>
        <w:numPr>
          <w:ilvl w:val="0"/>
          <w:numId w:val="0"/>
        </w:numPr>
        <w:spacing w:line="540" w:lineRule="exact"/>
        <w:ind w:firstLine="960" w:firstLineChars="300"/>
        <w:rPr>
          <w:rStyle w:val="14"/>
          <w:rFonts w:hint="eastAsia" w:ascii="仿宋_GB2312" w:hAnsi="仿宋_GB2312" w:eastAsia="仿宋_GB2312" w:cs="仿宋_GB2312"/>
          <w:spacing w:val="-4"/>
          <w:sz w:val="32"/>
          <w:szCs w:val="32"/>
        </w:rPr>
      </w:pPr>
      <w:r>
        <w:rPr>
          <w:rFonts w:hint="eastAsia" w:ascii="仿宋_GB2312" w:hAnsi="仿宋_GB2312" w:eastAsia="仿宋_GB2312" w:cs="仿宋_GB2312"/>
          <w:kern w:val="0"/>
          <w:sz w:val="32"/>
          <w:szCs w:val="32"/>
        </w:rPr>
        <w:t>通过灌区项目建成后，灌区内农业水利生产条件将得到很大提高，实现节水灌溉，降低农业成本，增加农民收入，促进灌区经济发展和人民生活水平提高</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灌区项目实施，通过渠道防渗改造后产生的节水效益及作物适时灌溉产生的增产效益，提高了项目区内灌溉水的利用率，改善了灌区灌溉条件，提高了现有灌区的灌溉保证率。通过灌区项目建成后，有效提升了灌区社会经济系统运行的稳定性，促进了资源利用、社会经济系统运行、污染防治及生态维护之间的协调，可持续。</w:t>
      </w:r>
    </w:p>
    <w:p w14:paraId="77B6B7CF">
      <w:pPr>
        <w:ind w:firstLine="312" w:firstLineChars="100"/>
        <w:rPr>
          <w:rStyle w:val="14"/>
          <w:rFonts w:hint="eastAsia" w:ascii="黑体" w:hAnsi="黑体" w:eastAsia="黑体" w:cs="黑体"/>
          <w:b w:val="0"/>
          <w:spacing w:val="-4"/>
          <w:sz w:val="32"/>
          <w:szCs w:val="32"/>
        </w:rPr>
      </w:pPr>
      <w:r>
        <w:rPr>
          <w:rStyle w:val="14"/>
          <w:rFonts w:hint="eastAsia" w:ascii="黑体" w:hAnsi="黑体" w:eastAsia="黑体" w:cs="黑体"/>
          <w:b w:val="0"/>
          <w:spacing w:val="-4"/>
          <w:sz w:val="32"/>
          <w:szCs w:val="32"/>
        </w:rPr>
        <w:t>六、有关建议</w:t>
      </w:r>
    </w:p>
    <w:p w14:paraId="05F1B50F">
      <w:pPr>
        <w:numPr>
          <w:ilvl w:val="0"/>
          <w:numId w:val="0"/>
        </w:numPr>
        <w:spacing w:line="540" w:lineRule="exact"/>
        <w:ind w:firstLine="960" w:firstLineChars="3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无。</w:t>
      </w:r>
    </w:p>
    <w:p w14:paraId="27A60677">
      <w:pPr>
        <w:spacing w:line="540" w:lineRule="exact"/>
        <w:ind w:firstLine="567"/>
        <w:rPr>
          <w:rStyle w:val="14"/>
          <w:rFonts w:hint="eastAsia" w:ascii="黑体" w:hAnsi="黑体" w:eastAsia="黑体" w:cs="黑体"/>
          <w:b w:val="0"/>
          <w:spacing w:val="-4"/>
          <w:sz w:val="32"/>
          <w:szCs w:val="32"/>
        </w:rPr>
      </w:pPr>
      <w:r>
        <w:rPr>
          <w:rStyle w:val="14"/>
          <w:rFonts w:hint="eastAsia" w:ascii="黑体" w:hAnsi="黑体" w:eastAsia="黑体" w:cs="黑体"/>
          <w:b w:val="0"/>
          <w:spacing w:val="-4"/>
          <w:sz w:val="32"/>
          <w:szCs w:val="32"/>
        </w:rPr>
        <w:t>七、其他需要说明的问题</w:t>
      </w:r>
    </w:p>
    <w:p w14:paraId="7BE945B9">
      <w:pPr>
        <w:spacing w:line="540" w:lineRule="exact"/>
        <w:ind w:firstLine="1280" w:firstLineChars="400"/>
        <w:rPr>
          <w:rStyle w:val="14"/>
          <w:rFonts w:hint="eastAsia" w:ascii="仿宋_GB2312" w:hAnsi="仿宋_GB2312" w:eastAsia="仿宋_GB2312" w:cs="仿宋_GB2312"/>
          <w:spacing w:val="-4"/>
          <w:sz w:val="32"/>
          <w:szCs w:val="32"/>
          <w:lang w:eastAsia="zh-CN"/>
        </w:rPr>
      </w:pPr>
      <w:r>
        <w:rPr>
          <w:rFonts w:hint="eastAsia" w:ascii="仿宋_GB2312" w:hAnsi="仿宋_GB2312" w:eastAsia="仿宋_GB2312" w:cs="仿宋_GB2312"/>
          <w:kern w:val="0"/>
          <w:sz w:val="32"/>
          <w:szCs w:val="32"/>
          <w:lang w:eastAsia="zh-CN"/>
        </w:rPr>
        <w:t>无</w:t>
      </w:r>
    </w:p>
    <w:p w14:paraId="6EED7E1C">
      <w:pPr>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30375FB4">
      <w:pPr>
        <w:ind w:firstLine="1280" w:firstLineChars="400"/>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无</w:t>
      </w:r>
    </w:p>
    <w:p w14:paraId="427FDFA6">
      <w:pPr>
        <w:jc w:val="center"/>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t>第三部分 专业名词解释</w:t>
      </w:r>
      <w:bookmarkEnd w:id="30"/>
      <w:bookmarkEnd w:id="31"/>
    </w:p>
    <w:p w14:paraId="78650D8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995F18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2CC97A4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3378726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060C09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584FF38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324B78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0CCCFA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D6BEA4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706458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B57A76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94556A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E00F71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D81B3C0">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03E519F8">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756BA8BC">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4372F083">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44BE5FD4">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30FE9C94">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5E234001">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3BC4A229">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176265F9">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52143C3A">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06B45211">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603AD9B7">
      <w:pPr>
        <w:ind w:firstLine="640" w:firstLineChars="200"/>
        <w:rPr>
          <w:rFonts w:ascii="仿宋_GB2312" w:eastAsia="仿宋_GB2312"/>
          <w:sz w:val="32"/>
          <w:szCs w:val="32"/>
        </w:rPr>
      </w:pPr>
    </w:p>
    <w:p w14:paraId="3DC513FB">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42FF3">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C0EC972">
                          <w:pPr>
                            <w:pStyle w:val="7"/>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bl05M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K&#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m5dOTIAQAAmQMAAA4AAAAAAAAAAQAgAAAAHgEAAGRycy9lMm9Eb2Mu&#10;eG1sUEsFBgAAAAAGAAYAWQEAAFgFAAAAAA==&#10;">
              <v:fill on="f" focussize="0,0"/>
              <v:stroke on="f"/>
              <v:imagedata o:title=""/>
              <o:lock v:ext="edit" aspectratio="f"/>
              <v:textbox inset="0mm,0mm,0mm,0mm" style="mso-fit-shape-to-text:t;">
                <w:txbxContent>
                  <w:p w14:paraId="0C0EC972">
                    <w:pPr>
                      <w:pStyle w:val="7"/>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0C729E"/>
    <w:multiLevelType w:val="multilevel"/>
    <w:tmpl w:val="1E0C729E"/>
    <w:lvl w:ilvl="0" w:tentative="0">
      <w:start w:val="1"/>
      <w:numFmt w:val="japaneseCounting"/>
      <w:lvlText w:val="%1、"/>
      <w:lvlJc w:val="left"/>
      <w:pPr>
        <w:ind w:left="957" w:hanging="432"/>
      </w:pPr>
      <w:rPr>
        <w:rFonts w:hint="default"/>
      </w:rPr>
    </w:lvl>
    <w:lvl w:ilvl="1" w:tentative="0">
      <w:start w:val="1"/>
      <w:numFmt w:val="lowerLetter"/>
      <w:lvlText w:val="%2)"/>
      <w:lvlJc w:val="left"/>
      <w:pPr>
        <w:ind w:left="1365" w:hanging="420"/>
      </w:pPr>
    </w:lvl>
    <w:lvl w:ilvl="2" w:tentative="0">
      <w:start w:val="1"/>
      <w:numFmt w:val="lowerRoman"/>
      <w:lvlText w:val="%3."/>
      <w:lvlJc w:val="right"/>
      <w:pPr>
        <w:ind w:left="1785" w:hanging="420"/>
      </w:pPr>
    </w:lvl>
    <w:lvl w:ilvl="3" w:tentative="0">
      <w:start w:val="1"/>
      <w:numFmt w:val="decimal"/>
      <w:lvlText w:val="%4."/>
      <w:lvlJc w:val="left"/>
      <w:pPr>
        <w:ind w:left="2205" w:hanging="420"/>
      </w:pPr>
    </w:lvl>
    <w:lvl w:ilvl="4" w:tentative="0">
      <w:start w:val="1"/>
      <w:numFmt w:val="lowerLetter"/>
      <w:lvlText w:val="%5)"/>
      <w:lvlJc w:val="left"/>
      <w:pPr>
        <w:ind w:left="2625" w:hanging="420"/>
      </w:pPr>
    </w:lvl>
    <w:lvl w:ilvl="5" w:tentative="0">
      <w:start w:val="1"/>
      <w:numFmt w:val="lowerRoman"/>
      <w:lvlText w:val="%6."/>
      <w:lvlJc w:val="right"/>
      <w:pPr>
        <w:ind w:left="3045" w:hanging="420"/>
      </w:pPr>
    </w:lvl>
    <w:lvl w:ilvl="6" w:tentative="0">
      <w:start w:val="1"/>
      <w:numFmt w:val="decimal"/>
      <w:lvlText w:val="%7."/>
      <w:lvlJc w:val="left"/>
      <w:pPr>
        <w:ind w:left="3465" w:hanging="420"/>
      </w:pPr>
    </w:lvl>
    <w:lvl w:ilvl="7" w:tentative="0">
      <w:start w:val="1"/>
      <w:numFmt w:val="lowerLetter"/>
      <w:lvlText w:val="%8)"/>
      <w:lvlJc w:val="left"/>
      <w:pPr>
        <w:ind w:left="3885" w:hanging="420"/>
      </w:pPr>
    </w:lvl>
    <w:lvl w:ilvl="8" w:tentative="0">
      <w:start w:val="1"/>
      <w:numFmt w:val="lowerRoman"/>
      <w:lvlText w:val="%9."/>
      <w:lvlJc w:val="right"/>
      <w:pPr>
        <w:ind w:left="430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5Y2YzMjVlOTNlZGU2MzA4YjliZTY0OWExMjlkZTEifQ=="/>
    <w:docVar w:name="KSO_WPS_MARK_KEY" w:val="41ee2a61-2d54-4f93-83be-afdb9a40d732"/>
  </w:docVars>
  <w:rsids>
    <w:rsidRoot w:val="00C64101"/>
    <w:rsid w:val="00213C59"/>
    <w:rsid w:val="003210CE"/>
    <w:rsid w:val="00584B45"/>
    <w:rsid w:val="00853410"/>
    <w:rsid w:val="00B70D59"/>
    <w:rsid w:val="00C64101"/>
    <w:rsid w:val="00F52A8D"/>
    <w:rsid w:val="019404F8"/>
    <w:rsid w:val="01C26E13"/>
    <w:rsid w:val="02BD3108"/>
    <w:rsid w:val="02F73D26"/>
    <w:rsid w:val="034D4FEF"/>
    <w:rsid w:val="035D1785"/>
    <w:rsid w:val="039F47CE"/>
    <w:rsid w:val="03A430C7"/>
    <w:rsid w:val="03E05CE8"/>
    <w:rsid w:val="03F973EE"/>
    <w:rsid w:val="043E5B56"/>
    <w:rsid w:val="04C04386"/>
    <w:rsid w:val="04D96608"/>
    <w:rsid w:val="04E9501D"/>
    <w:rsid w:val="04FA68C4"/>
    <w:rsid w:val="053F5AE6"/>
    <w:rsid w:val="057C0B0F"/>
    <w:rsid w:val="05EF4B48"/>
    <w:rsid w:val="05F76ECA"/>
    <w:rsid w:val="06792773"/>
    <w:rsid w:val="07093795"/>
    <w:rsid w:val="0721638A"/>
    <w:rsid w:val="07804730"/>
    <w:rsid w:val="079052BE"/>
    <w:rsid w:val="07D63618"/>
    <w:rsid w:val="08145C21"/>
    <w:rsid w:val="08422688"/>
    <w:rsid w:val="085854ED"/>
    <w:rsid w:val="0879188F"/>
    <w:rsid w:val="08A0354D"/>
    <w:rsid w:val="08CD4C49"/>
    <w:rsid w:val="08D27605"/>
    <w:rsid w:val="08E21A57"/>
    <w:rsid w:val="09114954"/>
    <w:rsid w:val="095A5B83"/>
    <w:rsid w:val="096466E3"/>
    <w:rsid w:val="0968304D"/>
    <w:rsid w:val="09AF3D17"/>
    <w:rsid w:val="0A026946"/>
    <w:rsid w:val="0A7809B7"/>
    <w:rsid w:val="0A7B4867"/>
    <w:rsid w:val="0A840954"/>
    <w:rsid w:val="0A9928ED"/>
    <w:rsid w:val="0AF35A84"/>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3A26DF"/>
    <w:rsid w:val="0F78534A"/>
    <w:rsid w:val="0F89358A"/>
    <w:rsid w:val="0F8C6D51"/>
    <w:rsid w:val="105B0B5E"/>
    <w:rsid w:val="112E58D0"/>
    <w:rsid w:val="11731CAC"/>
    <w:rsid w:val="119500A0"/>
    <w:rsid w:val="11C0733B"/>
    <w:rsid w:val="11D50D17"/>
    <w:rsid w:val="120E0809"/>
    <w:rsid w:val="127F665A"/>
    <w:rsid w:val="12F7068C"/>
    <w:rsid w:val="14207DC0"/>
    <w:rsid w:val="14B932DA"/>
    <w:rsid w:val="14D02DA7"/>
    <w:rsid w:val="14EA03E5"/>
    <w:rsid w:val="15001098"/>
    <w:rsid w:val="150A66AF"/>
    <w:rsid w:val="154C1139"/>
    <w:rsid w:val="154F7972"/>
    <w:rsid w:val="158C5B77"/>
    <w:rsid w:val="160D1149"/>
    <w:rsid w:val="163563C0"/>
    <w:rsid w:val="164315EF"/>
    <w:rsid w:val="16557DFE"/>
    <w:rsid w:val="16573B76"/>
    <w:rsid w:val="167268FB"/>
    <w:rsid w:val="16770D0A"/>
    <w:rsid w:val="16D50C50"/>
    <w:rsid w:val="16E120E1"/>
    <w:rsid w:val="17385A05"/>
    <w:rsid w:val="173B3901"/>
    <w:rsid w:val="176747F9"/>
    <w:rsid w:val="17954A6E"/>
    <w:rsid w:val="1795735A"/>
    <w:rsid w:val="17A75568"/>
    <w:rsid w:val="180059E9"/>
    <w:rsid w:val="184510FD"/>
    <w:rsid w:val="190648B0"/>
    <w:rsid w:val="19071D6C"/>
    <w:rsid w:val="19D26CD4"/>
    <w:rsid w:val="19E60D19"/>
    <w:rsid w:val="1A3E3450"/>
    <w:rsid w:val="1AD807E5"/>
    <w:rsid w:val="1B39345B"/>
    <w:rsid w:val="1B413396"/>
    <w:rsid w:val="1BFB2A1F"/>
    <w:rsid w:val="1C015D4A"/>
    <w:rsid w:val="1C290ED5"/>
    <w:rsid w:val="1C317E4F"/>
    <w:rsid w:val="1C472464"/>
    <w:rsid w:val="1D22799A"/>
    <w:rsid w:val="1D506B65"/>
    <w:rsid w:val="1D5C1A72"/>
    <w:rsid w:val="1DAB6A18"/>
    <w:rsid w:val="1DAF458D"/>
    <w:rsid w:val="1E086ACE"/>
    <w:rsid w:val="1E62130A"/>
    <w:rsid w:val="1E97358B"/>
    <w:rsid w:val="1EAA4A5F"/>
    <w:rsid w:val="1EE869A7"/>
    <w:rsid w:val="1FA15E62"/>
    <w:rsid w:val="1FED69B6"/>
    <w:rsid w:val="2064678E"/>
    <w:rsid w:val="20C067BC"/>
    <w:rsid w:val="20DC1AB9"/>
    <w:rsid w:val="20DD6197"/>
    <w:rsid w:val="212631E0"/>
    <w:rsid w:val="21A53757"/>
    <w:rsid w:val="221236C6"/>
    <w:rsid w:val="22D7662C"/>
    <w:rsid w:val="23326B7F"/>
    <w:rsid w:val="2380045B"/>
    <w:rsid w:val="23BC04D2"/>
    <w:rsid w:val="23EF1892"/>
    <w:rsid w:val="246B4C91"/>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AF86AE8"/>
    <w:rsid w:val="2BB94DBF"/>
    <w:rsid w:val="2C5B5AC4"/>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3348B4"/>
    <w:rsid w:val="30862F5F"/>
    <w:rsid w:val="30CB71E3"/>
    <w:rsid w:val="314029C9"/>
    <w:rsid w:val="31C63837"/>
    <w:rsid w:val="31C82E39"/>
    <w:rsid w:val="324C4353"/>
    <w:rsid w:val="32601BAD"/>
    <w:rsid w:val="329F6389"/>
    <w:rsid w:val="3389023A"/>
    <w:rsid w:val="33CB74FA"/>
    <w:rsid w:val="343642F2"/>
    <w:rsid w:val="343F3010"/>
    <w:rsid w:val="345D0A00"/>
    <w:rsid w:val="34713BFD"/>
    <w:rsid w:val="34C13589"/>
    <w:rsid w:val="353369E3"/>
    <w:rsid w:val="35E00D72"/>
    <w:rsid w:val="368F0CB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C3314D"/>
    <w:rsid w:val="39DA0497"/>
    <w:rsid w:val="3A893816"/>
    <w:rsid w:val="3A893B6D"/>
    <w:rsid w:val="3AD1763A"/>
    <w:rsid w:val="3B6716E3"/>
    <w:rsid w:val="3B6C6B2D"/>
    <w:rsid w:val="3C242659"/>
    <w:rsid w:val="3C96719C"/>
    <w:rsid w:val="3CA72BE8"/>
    <w:rsid w:val="3CF37F8C"/>
    <w:rsid w:val="3D137554"/>
    <w:rsid w:val="3D5275AC"/>
    <w:rsid w:val="3DCC2473"/>
    <w:rsid w:val="3DD86A9B"/>
    <w:rsid w:val="3DE8490B"/>
    <w:rsid w:val="3DEB0883"/>
    <w:rsid w:val="3E2527BF"/>
    <w:rsid w:val="3E40290A"/>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0580E"/>
    <w:rsid w:val="434E6957"/>
    <w:rsid w:val="43BA0E31"/>
    <w:rsid w:val="43C15147"/>
    <w:rsid w:val="43E14DD2"/>
    <w:rsid w:val="43F800E9"/>
    <w:rsid w:val="443A7E4B"/>
    <w:rsid w:val="452F5B3A"/>
    <w:rsid w:val="454E7FD2"/>
    <w:rsid w:val="45C92A5B"/>
    <w:rsid w:val="45D1274E"/>
    <w:rsid w:val="46061BDC"/>
    <w:rsid w:val="461404F8"/>
    <w:rsid w:val="46413018"/>
    <w:rsid w:val="464B7E04"/>
    <w:rsid w:val="468041AA"/>
    <w:rsid w:val="468123C6"/>
    <w:rsid w:val="46901EEE"/>
    <w:rsid w:val="469C74D2"/>
    <w:rsid w:val="47445515"/>
    <w:rsid w:val="474B4782"/>
    <w:rsid w:val="47D90D14"/>
    <w:rsid w:val="48387FB0"/>
    <w:rsid w:val="483A6114"/>
    <w:rsid w:val="488727DB"/>
    <w:rsid w:val="48994A26"/>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D10231"/>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5040B"/>
    <w:rsid w:val="56BD550C"/>
    <w:rsid w:val="56E07045"/>
    <w:rsid w:val="56FF28AF"/>
    <w:rsid w:val="57460AC2"/>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76092E"/>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7687F"/>
    <w:rsid w:val="66085536"/>
    <w:rsid w:val="66105BF7"/>
    <w:rsid w:val="66150023"/>
    <w:rsid w:val="6628010D"/>
    <w:rsid w:val="669B4528"/>
    <w:rsid w:val="66CC12D7"/>
    <w:rsid w:val="66D41416"/>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787310"/>
    <w:rsid w:val="6BFD799F"/>
    <w:rsid w:val="6C4A2E5A"/>
    <w:rsid w:val="6C6972D4"/>
    <w:rsid w:val="6C8138D0"/>
    <w:rsid w:val="6CEF0725"/>
    <w:rsid w:val="6D4B2604"/>
    <w:rsid w:val="6D8030E4"/>
    <w:rsid w:val="6E0E35C4"/>
    <w:rsid w:val="6E0F7A08"/>
    <w:rsid w:val="6E11379E"/>
    <w:rsid w:val="6E3947F5"/>
    <w:rsid w:val="6E9C74ED"/>
    <w:rsid w:val="6EF72976"/>
    <w:rsid w:val="6F795A80"/>
    <w:rsid w:val="6F7C1D2E"/>
    <w:rsid w:val="6F8E0407"/>
    <w:rsid w:val="6FDD069F"/>
    <w:rsid w:val="7020326A"/>
    <w:rsid w:val="702B4D16"/>
    <w:rsid w:val="70AA6621"/>
    <w:rsid w:val="7111480F"/>
    <w:rsid w:val="71261F49"/>
    <w:rsid w:val="712E6956"/>
    <w:rsid w:val="71473612"/>
    <w:rsid w:val="714D068C"/>
    <w:rsid w:val="71504F32"/>
    <w:rsid w:val="7152309F"/>
    <w:rsid w:val="71883383"/>
    <w:rsid w:val="718F7F65"/>
    <w:rsid w:val="727B234E"/>
    <w:rsid w:val="72D068C7"/>
    <w:rsid w:val="72E42ED8"/>
    <w:rsid w:val="730218E9"/>
    <w:rsid w:val="7339611F"/>
    <w:rsid w:val="735F4CB9"/>
    <w:rsid w:val="73674C62"/>
    <w:rsid w:val="73845865"/>
    <w:rsid w:val="739B6D9E"/>
    <w:rsid w:val="73BC1D76"/>
    <w:rsid w:val="73F642AB"/>
    <w:rsid w:val="73FB6630"/>
    <w:rsid w:val="748D790E"/>
    <w:rsid w:val="749820CC"/>
    <w:rsid w:val="74CE04EC"/>
    <w:rsid w:val="74E76DCD"/>
    <w:rsid w:val="75172863"/>
    <w:rsid w:val="751D7C0A"/>
    <w:rsid w:val="75722D56"/>
    <w:rsid w:val="75DB5477"/>
    <w:rsid w:val="75FC6AC3"/>
    <w:rsid w:val="7616619B"/>
    <w:rsid w:val="76660D7C"/>
    <w:rsid w:val="766C5968"/>
    <w:rsid w:val="769B65E6"/>
    <w:rsid w:val="76BE0C8F"/>
    <w:rsid w:val="76CD53B2"/>
    <w:rsid w:val="770719AC"/>
    <w:rsid w:val="776526CC"/>
    <w:rsid w:val="77A262E1"/>
    <w:rsid w:val="77B13C33"/>
    <w:rsid w:val="77ED6F44"/>
    <w:rsid w:val="77F45548"/>
    <w:rsid w:val="78380F8C"/>
    <w:rsid w:val="784E7CA6"/>
    <w:rsid w:val="78574801"/>
    <w:rsid w:val="7873527F"/>
    <w:rsid w:val="78C26873"/>
    <w:rsid w:val="790A6425"/>
    <w:rsid w:val="790E2D96"/>
    <w:rsid w:val="791B54B2"/>
    <w:rsid w:val="795A0A34"/>
    <w:rsid w:val="797339C3"/>
    <w:rsid w:val="797C0647"/>
    <w:rsid w:val="79D57D57"/>
    <w:rsid w:val="79F00650"/>
    <w:rsid w:val="7A6242BF"/>
    <w:rsid w:val="7A794513"/>
    <w:rsid w:val="7AE952D2"/>
    <w:rsid w:val="7C7248A0"/>
    <w:rsid w:val="7C976D69"/>
    <w:rsid w:val="7CD752DA"/>
    <w:rsid w:val="7CDE40AB"/>
    <w:rsid w:val="7CF057E2"/>
    <w:rsid w:val="7D1548B5"/>
    <w:rsid w:val="7D80622C"/>
    <w:rsid w:val="7DB36601"/>
    <w:rsid w:val="7DC501C1"/>
    <w:rsid w:val="7DF84014"/>
    <w:rsid w:val="7E207949"/>
    <w:rsid w:val="7E5C0A47"/>
    <w:rsid w:val="7E670C75"/>
    <w:rsid w:val="7EE24272"/>
    <w:rsid w:val="7EEA6053"/>
    <w:rsid w:val="7F487C04"/>
    <w:rsid w:val="7F590AE3"/>
    <w:rsid w:val="7FB45F21"/>
    <w:rsid w:val="7FE57088"/>
    <w:rsid w:val="7FF37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样式1"/>
    <w:basedOn w:val="3"/>
    <w:next w:val="4"/>
    <w:qFormat/>
    <w:uiPriority w:val="0"/>
    <w:pPr>
      <w:jc w:val="left"/>
    </w:pPr>
    <w:rPr>
      <w:rFonts w:ascii="Calibri" w:hAnsi="Calibri" w:eastAsia="仿宋_GB2312"/>
      <w:sz w:val="32"/>
    </w:rPr>
  </w:style>
  <w:style w:type="paragraph" w:styleId="3">
    <w:name w:val="Title"/>
    <w:basedOn w:val="1"/>
    <w:next w:val="1"/>
    <w:qFormat/>
    <w:uiPriority w:val="0"/>
    <w:pPr>
      <w:spacing w:line="480" w:lineRule="auto"/>
      <w:jc w:val="center"/>
      <w:outlineLvl w:val="0"/>
    </w:pPr>
    <w:rPr>
      <w:rFonts w:ascii="Cambria" w:hAnsi="Cambria" w:cs="Times New Roman"/>
      <w:b/>
      <w:bCs/>
      <w:sz w:val="32"/>
      <w:szCs w:val="32"/>
    </w:rPr>
  </w:style>
  <w:style w:type="paragraph" w:customStyle="1" w:styleId="4">
    <w:name w:val="样式2"/>
    <w:basedOn w:val="1"/>
    <w:qFormat/>
    <w:uiPriority w:val="0"/>
    <w:pPr>
      <w:ind w:firstLine="200" w:firstLineChars="200"/>
    </w:pPr>
    <w:rPr>
      <w:rFonts w:eastAsia="仿宋_GB2312"/>
      <w:sz w:val="32"/>
    </w:rPr>
  </w:style>
  <w:style w:type="paragraph" w:styleId="5">
    <w:name w:val="annotation text"/>
    <w:basedOn w:val="1"/>
    <w:qFormat/>
    <w:uiPriority w:val="0"/>
    <w:pPr>
      <w:jc w:val="left"/>
    </w:p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pPr>
      <w:spacing w:before="100" w:beforeAutospacing="1" w:after="100" w:afterAutospacing="1"/>
      <w:jc w:val="left"/>
    </w:pPr>
    <w:rPr>
      <w:kern w:val="0"/>
      <w:sz w:val="24"/>
    </w:rPr>
  </w:style>
  <w:style w:type="character" w:styleId="14">
    <w:name w:val="Strong"/>
    <w:basedOn w:val="13"/>
    <w:qFormat/>
    <w:uiPriority w:val="0"/>
    <w:rPr>
      <w:b/>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7">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25</Pages>
  <Words>10603</Words>
  <Characters>11578</Characters>
  <Lines>55</Lines>
  <Paragraphs>15</Paragraphs>
  <TotalTime>2</TotalTime>
  <ScaleCrop>false</ScaleCrop>
  <LinksUpToDate>false</LinksUpToDate>
  <CharactersWithSpaces>11600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2024-08-20T10:58:00Z</dcterms:created>
  <dc:creator>GXR</dc:creator>
  <cp:lastModifiedBy>仙人掌</cp:lastModifiedBy>
  <dcterms:modified xsi:type="dcterms:W3CDTF">2024-09-06T10:33:04Z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DE12516432AA4AFCB0AADE2960EC2C9C_13</vt:lpwstr>
  </property>
</Properties>
</file>