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新疆维吾尔自治区水环境监测中心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jc w:val="center"/>
        <w:textAlignment w:val="auto"/>
        <w:outlineLvl w:val="9"/>
        <w:rPr>
          <w:rFonts w:ascii="仿宋" w:hAnsi="仿宋" w:eastAsia="仿宋" w:cs="仿宋"/>
          <w:i w:val="0"/>
          <w:caps w:val="0"/>
          <w:color w:val="000000"/>
          <w:spacing w:val="0"/>
          <w:sz w:val="31"/>
          <w:szCs w:val="31"/>
        </w:rPr>
      </w:pPr>
      <w:bookmarkStart w:id="0" w:name="_Toc29374"/>
      <w:bookmarkStart w:id="1" w:name="_Toc3092"/>
      <w:r>
        <w:rPr>
          <w:rFonts w:hint="eastAsia" w:ascii="黑体" w:hAnsi="宋体" w:eastAsia="黑体" w:cs="黑体"/>
          <w:i w:val="0"/>
          <w:caps w:val="0"/>
          <w:color w:val="000000"/>
          <w:spacing w:val="0"/>
          <w:sz w:val="31"/>
          <w:szCs w:val="31"/>
        </w:rPr>
        <w:t>第一部分 单位概况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一、主要职能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ascii="仿宋_GB2312" w:hAnsi="仿宋" w:eastAsia="仿宋_GB2312" w:cs="仿宋_GB2312"/>
          <w:i w:val="0"/>
          <w:caps w:val="0"/>
          <w:color w:val="000000"/>
          <w:spacing w:val="0"/>
          <w:sz w:val="31"/>
          <w:szCs w:val="31"/>
        </w:rPr>
        <w:t>新疆维吾尔自治区水环境监测中心是全额拨款事业单位，预算管理级次为三级，隶属新疆维吾尔自治区水文局。单位于</w:t>
      </w:r>
      <w:r>
        <w:rPr>
          <w:rFonts w:hint="eastAsia" w:ascii="仿宋_GB2312" w:hAnsi="仿宋" w:eastAsia="仿宋_GB2312" w:cs="仿宋_GB2312"/>
          <w:i w:val="0"/>
          <w:caps w:val="0"/>
          <w:color w:val="000000"/>
          <w:spacing w:val="0"/>
          <w:sz w:val="31"/>
          <w:szCs w:val="31"/>
        </w:rPr>
        <w:t>2017年9月通过国家资质认定评审，是新疆维吾尔自治区水利部门水环境监测和调查评价的技术主管部门。主要负责全疆水环境监测的业务管理和技术指导，包括站网布设、样品采集及运送、样品的预处理、监测分析、资料整理汇编、水资源质量分析与评价、水质数据库建设、突发污染事故调查监测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二、机构设置及人员情况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新疆维吾尔自治区水环境监测中心2023年度实有人数20人，其中：在职人员12人，离休人员0人，退休人员8人。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_GB2312" w:hAnsi="仿宋" w:eastAsia="仿宋_GB2312" w:cs="仿宋_GB2312"/>
          <w:i w:val="0"/>
          <w:caps w:val="0"/>
          <w:color w:val="000000"/>
          <w:spacing w:val="0"/>
          <w:sz w:val="31"/>
          <w:szCs w:val="31"/>
        </w:rPr>
      </w:pPr>
      <w:r>
        <w:rPr>
          <w:rFonts w:hint="eastAsia" w:ascii="仿宋_GB2312" w:hAnsi="仿宋" w:eastAsia="仿宋_GB2312" w:cs="仿宋_GB2312"/>
          <w:i w:val="0"/>
          <w:caps w:val="0"/>
          <w:color w:val="000000"/>
          <w:spacing w:val="0"/>
          <w:sz w:val="31"/>
          <w:szCs w:val="31"/>
          <w:lang w:eastAsia="zh-CN"/>
        </w:rPr>
        <w:t>单位</w:t>
      </w:r>
      <w:r>
        <w:rPr>
          <w:rFonts w:hint="eastAsia" w:ascii="仿宋_GB2312" w:hAnsi="仿宋" w:eastAsia="仿宋_GB2312" w:cs="仿宋_GB2312"/>
          <w:i w:val="0"/>
          <w:caps w:val="0"/>
          <w:color w:val="000000"/>
          <w:spacing w:val="0"/>
          <w:sz w:val="31"/>
          <w:szCs w:val="31"/>
        </w:rPr>
        <w:t>无下属预算单位，下设2个科室，分别是：综合科和分析测试科。</w:t>
      </w:r>
    </w:p>
    <w:bookmarkEnd w:id="0"/>
    <w:bookmarkEnd w:id="1"/>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jc w:val="center"/>
        <w:textAlignment w:val="auto"/>
        <w:outlineLvl w:val="9"/>
        <w:rPr>
          <w:rFonts w:ascii="仿宋" w:hAnsi="仿宋" w:eastAsia="仿宋" w:cs="仿宋"/>
          <w:i w:val="0"/>
          <w:caps w:val="0"/>
          <w:color w:val="000000"/>
          <w:spacing w:val="0"/>
          <w:sz w:val="31"/>
          <w:szCs w:val="31"/>
        </w:rPr>
      </w:pPr>
      <w:bookmarkStart w:id="2" w:name="_Toc3250"/>
      <w:bookmarkStart w:id="3" w:name="_Toc24143"/>
      <w:r>
        <w:rPr>
          <w:rFonts w:ascii="黑体" w:hAnsi="宋体" w:eastAsia="黑体" w:cs="黑体"/>
          <w:i w:val="0"/>
          <w:caps w:val="0"/>
          <w:color w:val="000000"/>
          <w:spacing w:val="0"/>
          <w:sz w:val="31"/>
          <w:szCs w:val="31"/>
        </w:rPr>
        <w:t>第</w:t>
      </w:r>
      <w:r>
        <w:rPr>
          <w:rFonts w:hint="eastAsia" w:ascii="黑体" w:hAnsi="宋体" w:eastAsia="黑体" w:cs="黑体"/>
          <w:i w:val="0"/>
          <w:caps w:val="0"/>
          <w:color w:val="000000"/>
          <w:spacing w:val="0"/>
          <w:sz w:val="31"/>
          <w:szCs w:val="31"/>
        </w:rPr>
        <w:t>二部分 部门决算情况说明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一、收入支出决算总体情况说明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ascii="仿宋_GB2312" w:hAnsi="仿宋" w:eastAsia="仿宋_GB2312" w:cs="仿宋_GB2312"/>
          <w:i w:val="0"/>
          <w:caps w:val="0"/>
          <w:color w:val="000000"/>
          <w:spacing w:val="0"/>
          <w:sz w:val="31"/>
          <w:szCs w:val="31"/>
        </w:rPr>
        <w:t>2023年度</w:t>
      </w:r>
      <w:r>
        <w:rPr>
          <w:rFonts w:hint="eastAsia" w:ascii="仿宋_GB2312" w:hAnsi="仿宋" w:eastAsia="仿宋_GB2312" w:cs="仿宋_GB2312"/>
          <w:i w:val="0"/>
          <w:caps w:val="0"/>
          <w:color w:val="000000"/>
          <w:spacing w:val="0"/>
          <w:sz w:val="31"/>
          <w:szCs w:val="31"/>
        </w:rPr>
        <w:t>收入总计452.01万元，其中：本年收入合计423.72万元，使用非财政拨款结余23.03万元，年初结转和结余5.27万元。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2023年度支出总计452.01万元，其中：本年支出合计450.35万元，结余分配0.00万元，年末结转和结余1.67万元。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_GB2312" w:eastAsia="仿宋_GB2312"/>
          <w:color w:val="auto"/>
          <w:spacing w:val="0"/>
          <w:sz w:val="32"/>
          <w:szCs w:val="32"/>
          <w:highlight w:val="none"/>
          <w:lang w:val="en-US" w:eastAsia="zh-CN"/>
        </w:rPr>
      </w:pPr>
      <w:r>
        <w:rPr>
          <w:rFonts w:hint="eastAsia" w:ascii="仿宋_GB2312" w:hAnsi="仿宋" w:eastAsia="仿宋_GB2312" w:cs="仿宋_GB2312"/>
          <w:i w:val="0"/>
          <w:caps w:val="0"/>
          <w:color w:val="000000"/>
          <w:spacing w:val="0"/>
          <w:sz w:val="31"/>
          <w:szCs w:val="31"/>
        </w:rPr>
        <w:t>收入支出总体与上年相比，减少71.66万元，下降13.68%，主要原因是：</w:t>
      </w:r>
      <w:r>
        <w:rPr>
          <w:rFonts w:hint="eastAsia" w:ascii="仿宋_GB2312" w:eastAsia="仿宋_GB2312"/>
          <w:color w:val="auto"/>
          <w:spacing w:val="0"/>
          <w:sz w:val="32"/>
          <w:szCs w:val="32"/>
          <w:highlight w:val="none"/>
          <w:lang w:val="en-US" w:eastAsia="zh-CN"/>
        </w:rPr>
        <w:t>2023年较上年经营收入减少。</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二、收入决算情况说明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本年收入423.72万元，其中：财政拨款收入368.51万元，占86.97%；上级补助收入0.00万元；事业收入0.00万元；经营收入49.50万元，占11.68%；附属单位上缴收入0.00万元；其他收入5.71万元，占1.35%。</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三、支出决算情况说明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本年支出450.35万元，其中：基本支出281.85万元，占62.58%；项目支出119.00万元，占26.42%；上缴上级支出0.00万元；经营支出49.50万元，占10.99%；对附属单位补助支出0.00万元。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四、财政拨款收入支出决算总体情况说明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2023年度财政拨款收入总计373.78万元，其中：年初财政拨款结转和结余5.27万元，本年财政拨款收入368.51万元。财政拨款支出总计373.78万元，其中：年末财政拨款结转和结余0.00万元，本年财政拨款支出373.78万元。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财政拨款收入支出总体与上年相比,增加46.13万元，增</w:t>
      </w:r>
      <w:r>
        <w:rPr>
          <w:rFonts w:hint="eastAsia" w:ascii="仿宋_GB2312" w:hAnsi="仿宋" w:eastAsia="仿宋_GB2312" w:cs="仿宋_GB2312"/>
          <w:i w:val="0"/>
          <w:caps w:val="0"/>
          <w:color w:val="000000"/>
          <w:spacing w:val="0"/>
          <w:sz w:val="31"/>
          <w:szCs w:val="31"/>
          <w:lang w:eastAsia="zh-CN"/>
        </w:rPr>
        <w:t>长</w:t>
      </w:r>
      <w:r>
        <w:rPr>
          <w:rFonts w:hint="eastAsia" w:ascii="仿宋_GB2312" w:hAnsi="仿宋" w:eastAsia="仿宋_GB2312" w:cs="仿宋_GB2312"/>
          <w:i w:val="0"/>
          <w:caps w:val="0"/>
          <w:color w:val="000000"/>
          <w:spacing w:val="0"/>
          <w:sz w:val="31"/>
          <w:szCs w:val="31"/>
        </w:rPr>
        <w:t>14.08%,主要原因是：主要是人员调入、人员调资人员经费增加，新增自治区水利发展资金项目，经费增加。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与年初预算相比，年初预算数311.37万元，决算数373.78万元，预决算差异率20.04%，主要原因是：基本支出方面，人员工资，绩效奖金等调增；本年由博州水文勘测局调入1人，人员经费增加；项目支出方面，本年新增待分配项目（自治区水利发展资金），经费增加42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五、一般公共预算财政拨款支出决算情况说明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（一）一般公共预算财政拨款支出决算总体情况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一般公共预算财政拨款支出373.78万元，占本年支出合计的83.00%。与上年相比，增加51.40万元，增长15.94%,主要原因是：本年由博州水文勘测局调入1人，人员经费增加；本年新增自治区水利发展资金项目，项目经费增加42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20" w:firstLineChars="200"/>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与年初预算相比，年初预算数311.37万元，决算数373.78万元，预决算差异率20.04%，主要原因是：基本支出方面，人员工资，绩效奖金等调增；本年由博州水文勘测局调入1人，人员经费增加；项目支出方面，本年新增待分配项目（自治区水利发展资金），经费增加42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（二）一般公共预算财政拨款支出决算结构情况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1.社会保障和就业支出（类）36.64万元，占9.80%；</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2.卫生健康支出（类）18.85万元，占5.04%；</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3.农林水支出（类）302.69万元，占80.98%；</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4.住房保障支出（类）15.60万元，占4.17%；</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（三）一般公共预算财政拨款支出决算具体情况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1.农林水支出（类）水利（款）水质监测（项）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183.69</w:t>
      </w:r>
      <w:r>
        <w:rPr>
          <w:rFonts w:hint="eastAsia" w:ascii="仿宋_GB2312" w:hAnsi="仿宋" w:eastAsia="仿宋_GB2312" w:cs="仿宋_GB2312"/>
          <w:i w:val="0"/>
          <w:caps w:val="0"/>
          <w:color w:val="000000"/>
          <w:spacing w:val="0"/>
          <w:sz w:val="31"/>
          <w:szCs w:val="31"/>
        </w:rPr>
        <w:t>万元，比上年决算增加8.67万元，增长4.96%，主要原因是：本年由博州水文勘测局调入1人，人员经费增加。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2.卫生健康支出（类）行政事业单位医疗（款）事业单位医疗（项）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9.75</w:t>
      </w:r>
      <w:r>
        <w:rPr>
          <w:rFonts w:hint="eastAsia" w:ascii="仿宋_GB2312" w:hAnsi="仿宋" w:eastAsia="仿宋_GB2312" w:cs="仿宋_GB2312"/>
          <w:i w:val="0"/>
          <w:caps w:val="0"/>
          <w:color w:val="000000"/>
          <w:spacing w:val="0"/>
          <w:sz w:val="31"/>
          <w:szCs w:val="31"/>
        </w:rPr>
        <w:t>万元，比上年决算减少0.74万元，下降7.03%，主要原因是：根据医保缴费比例的调整，缴纳医保费用有所变化。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3.卫生健康支出（类）行政事业单位医疗（款）公务员医疗补助（项）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9.10</w:t>
      </w:r>
      <w:r>
        <w:rPr>
          <w:rFonts w:hint="eastAsia" w:ascii="仿宋_GB2312" w:hAnsi="仿宋" w:eastAsia="仿宋_GB2312" w:cs="仿宋_GB2312"/>
          <w:i w:val="0"/>
          <w:caps w:val="0"/>
          <w:color w:val="000000"/>
          <w:spacing w:val="0"/>
          <w:sz w:val="31"/>
          <w:szCs w:val="31"/>
        </w:rPr>
        <w:t>万元，比上年决算增加0.94万元，增长11.57%，主要原因是：本年由博州水文勘测局调入1人，人员经费增加。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4.住房保障支出（类）住房改革支出（款）住房公积金（项）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15.60</w:t>
      </w:r>
      <w:r>
        <w:rPr>
          <w:rFonts w:hint="eastAsia" w:ascii="仿宋_GB2312" w:hAnsi="仿宋" w:eastAsia="仿宋_GB2312" w:cs="仿宋_GB2312"/>
          <w:i w:val="0"/>
          <w:caps w:val="0"/>
          <w:color w:val="000000"/>
          <w:spacing w:val="0"/>
          <w:sz w:val="31"/>
          <w:szCs w:val="31"/>
        </w:rPr>
        <w:t>万元，比上年决算增加1.02万元，增长6.97%，主要原因是：本年由博州水文勘测局调入1人，人员经费增加。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5.社会保障和就业支出（类）行政事业单位养老支出（款）事业单位离退休（项）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15.84</w:t>
      </w:r>
      <w:r>
        <w:rPr>
          <w:rFonts w:hint="eastAsia" w:ascii="仿宋_GB2312" w:hAnsi="仿宋" w:eastAsia="仿宋_GB2312" w:cs="仿宋_GB2312"/>
          <w:i w:val="0"/>
          <w:caps w:val="0"/>
          <w:color w:val="000000"/>
          <w:spacing w:val="0"/>
          <w:sz w:val="31"/>
          <w:szCs w:val="31"/>
        </w:rPr>
        <w:t>万元，比上年决算减少9.24万元，下降36.85%，主要原因是：本年度退休人员医疗费由社保部门统筹缴纳，单位不再缴纳退休人员医疗费，退休人员费用减少。</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6.农林水支出（类）水利（款）水资源节约管理与保护（项）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119.00</w:t>
      </w:r>
      <w:r>
        <w:rPr>
          <w:rFonts w:hint="eastAsia" w:ascii="仿宋_GB2312" w:hAnsi="仿宋" w:eastAsia="仿宋_GB2312" w:cs="仿宋_GB2312"/>
          <w:i w:val="0"/>
          <w:caps w:val="0"/>
          <w:color w:val="000000"/>
          <w:spacing w:val="0"/>
          <w:sz w:val="31"/>
          <w:szCs w:val="31"/>
        </w:rPr>
        <w:t>万元，比上年决算增加50.16万元，增长72.85%，主要原因是：本年新增待分配项目（自治区水利发展资金），项目经费增加。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7.社会保障和就业支出（类）行政事业单位养老支出（款）机关事业单位基本养老保险缴费支出（项）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20.80</w:t>
      </w:r>
      <w:r>
        <w:rPr>
          <w:rFonts w:hint="eastAsia" w:ascii="仿宋_GB2312" w:hAnsi="仿宋" w:eastAsia="仿宋_GB2312" w:cs="仿宋_GB2312"/>
          <w:i w:val="0"/>
          <w:caps w:val="0"/>
          <w:color w:val="000000"/>
          <w:spacing w:val="0"/>
          <w:sz w:val="31"/>
          <w:szCs w:val="31"/>
        </w:rPr>
        <w:t>万元，比上年决算增加1.36万元，增长6.97%，主要原因是：本年由博州水文勘测局调入1人，人员经费增加。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8.农林水支出（类）水利（款）水文测报（项）</w:t>
      </w:r>
      <w:r>
        <w:rPr>
          <w:rFonts w:hint="default" w:ascii="Times New Roman" w:hAnsi="Times New Roman" w:eastAsia="仿宋_GB2312"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支出决算数为</w:t>
      </w:r>
      <w:r>
        <w:rPr>
          <w:rFonts w:hint="default" w:ascii="Times New Roman" w:hAnsi="Times New Roman" w:eastAsia="仿宋_GB2312" w:cs="Times New Roman"/>
          <w:i w:val="0"/>
          <w:caps w:val="0"/>
          <w:color w:val="000000"/>
          <w:spacing w:val="0"/>
          <w:sz w:val="31"/>
          <w:szCs w:val="31"/>
        </w:rPr>
        <w:t>0.00</w:t>
      </w:r>
      <w:r>
        <w:rPr>
          <w:rFonts w:hint="eastAsia" w:ascii="仿宋_GB2312" w:hAnsi="仿宋" w:eastAsia="仿宋_GB2312" w:cs="仿宋_GB2312"/>
          <w:i w:val="0"/>
          <w:caps w:val="0"/>
          <w:color w:val="000000"/>
          <w:spacing w:val="0"/>
          <w:sz w:val="31"/>
          <w:szCs w:val="31"/>
        </w:rPr>
        <w:t>万元，比上年决算减少0.77万元，下降100%，主要原因是：因财政项目整合该款项调整至其他项目。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六、一般公共预算财政拨款基本支出决算情况说明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一般公共预算财政拨款基本支出254.78万元，其中：人员经费241.45万元，包括：基本工资、津贴补贴、奖金、绩效工资、机关事业单位基本养老保险缴费、职工基本医疗保险缴费、公务员医疗补助缴费、其他社会保障缴费、住房公积金、其他工资福利支出、退休费、其他对个人和家庭的补助。</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公用经费13.33万元，包括：办公费、邮电费、差旅费、工会经费、福利费、公务用车运行维护费、其他交通费用、其他商品和服务支出。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七、财政拨款“三公”经费支出决算情况说明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财政拨款“三公”经费支出3.60万元，比上年增加2.00万元，增长125.00%,主要原因是：本年年初我单位调入一辆特种专业技术车，车辆使用费用增加。其中：因公出国（境）费支出0.00万元，占0.00%，比上年增加0.00万元，增长0.00%,主要原因是：我单位无因公出国（境）事项；公务用车购置及运行维护费支出3.60万元，占100.00%，比上年增加2.00万元，增长125.00%,主要原因是：本年年初我单位调入一辆特种专业技术车，车辆管理费用增加；公务接待费支出0.00万元，占0.00%，比上年增加0.00万元，增长0.00%,主要原因是：我单位无公务接待事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具体情况如下：</w:t>
      </w:r>
    </w:p>
    <w:p>
      <w:pPr>
        <w:keepNext w:val="0"/>
        <w:keepLines w:val="0"/>
        <w:pageBreakBefore w:val="0"/>
        <w:widowControl w:val="0"/>
        <w:kinsoku/>
        <w:wordWrap/>
        <w:overflowPunct/>
        <w:topLinePunct w:val="0"/>
        <w:bidi w:val="0"/>
        <w:adjustRightInd/>
        <w:snapToGrid/>
        <w:spacing w:line="240" w:lineRule="auto"/>
        <w:ind w:firstLine="620" w:firstLineChars="200"/>
        <w:textAlignment w:val="auto"/>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因公出国（境）费支出0.00万元，</w:t>
      </w:r>
      <w:r>
        <w:rPr>
          <w:rFonts w:hint="eastAsia" w:ascii="仿宋_GB2312" w:eastAsia="仿宋_GB2312"/>
          <w:sz w:val="32"/>
          <w:szCs w:val="32"/>
          <w:highlight w:val="none"/>
        </w:rPr>
        <w:t>开支内容包括</w:t>
      </w:r>
      <w:r>
        <w:rPr>
          <w:rFonts w:hint="eastAsia" w:ascii="仿宋_GB2312" w:eastAsia="仿宋_GB2312"/>
          <w:sz w:val="32"/>
          <w:szCs w:val="32"/>
          <w:highlight w:val="none"/>
          <w:lang w:val="en-US" w:eastAsia="zh-CN"/>
        </w:rPr>
        <w:t>我单位无因公出国（</w:t>
      </w:r>
      <w:r>
        <w:rPr>
          <w:rFonts w:hint="eastAsia" w:ascii="仿宋_GB2312" w:hAnsi="仿宋" w:eastAsia="仿宋_GB2312" w:cs="仿宋_GB2312"/>
          <w:i w:val="0"/>
          <w:caps w:val="0"/>
          <w:color w:val="000000"/>
          <w:spacing w:val="0"/>
          <w:sz w:val="31"/>
          <w:szCs w:val="31"/>
        </w:rPr>
        <w:t>境</w:t>
      </w:r>
      <w:r>
        <w:rPr>
          <w:rFonts w:hint="eastAsia" w:ascii="仿宋_GB2312" w:eastAsia="仿宋_GB2312"/>
          <w:sz w:val="32"/>
          <w:szCs w:val="32"/>
          <w:highlight w:val="none"/>
          <w:lang w:val="en-US" w:eastAsia="zh-CN"/>
        </w:rPr>
        <w:t>）费</w:t>
      </w:r>
      <w:r>
        <w:rPr>
          <w:rFonts w:hint="eastAsia" w:ascii="仿宋_GB2312" w:hAnsi="仿宋" w:eastAsia="仿宋_GB2312" w:cs="仿宋_GB2312"/>
          <w:i w:val="0"/>
          <w:caps w:val="0"/>
          <w:color w:val="000000"/>
          <w:spacing w:val="0"/>
          <w:sz w:val="31"/>
          <w:szCs w:val="31"/>
          <w:lang w:eastAsia="zh-CN"/>
        </w:rPr>
        <w:t>支出。</w:t>
      </w:r>
      <w:r>
        <w:rPr>
          <w:rFonts w:hint="eastAsia" w:ascii="仿宋_GB2312" w:hAnsi="仿宋" w:eastAsia="仿宋_GB2312" w:cs="仿宋_GB2312"/>
          <w:i w:val="0"/>
          <w:caps w:val="0"/>
          <w:color w:val="000000"/>
          <w:spacing w:val="0"/>
          <w:sz w:val="31"/>
          <w:szCs w:val="31"/>
        </w:rPr>
        <w:t>单位全年安排的因公出国（境）团组0个，因公出国（境）0人次。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用车购置及运行维护费3.60万元，其中：公务用车购置费0.00万元，公务用车运行维护费3.60万元。公务用车运行维护费开支内容包括车辆保险、车辆维修及保养、车辆燃油等费用。公务用车购置数0辆，公务用车保有量1辆。国有资产占用情况中固定资产车辆2辆，与公务用车保有量差异原因是：本年年初我单位调入一辆特种专业技术车。</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公务接待费0.00万元，</w:t>
      </w:r>
      <w:r>
        <w:rPr>
          <w:rFonts w:hint="eastAsia" w:ascii="仿宋_GB2312" w:eastAsia="仿宋_GB2312"/>
          <w:sz w:val="32"/>
          <w:szCs w:val="32"/>
          <w:highlight w:val="none"/>
        </w:rPr>
        <w:t>开支内容包括</w:t>
      </w:r>
      <w:r>
        <w:rPr>
          <w:rFonts w:hint="eastAsia" w:ascii="仿宋_GB2312" w:eastAsia="仿宋_GB2312"/>
          <w:sz w:val="32"/>
          <w:szCs w:val="32"/>
          <w:highlight w:val="none"/>
          <w:lang w:val="en-US" w:eastAsia="zh-CN"/>
        </w:rPr>
        <w:t>我单位无</w:t>
      </w:r>
      <w:r>
        <w:rPr>
          <w:rFonts w:hint="eastAsia" w:ascii="仿宋_GB2312" w:hAnsi="仿宋" w:eastAsia="仿宋_GB2312" w:cs="仿宋_GB2312"/>
          <w:i w:val="0"/>
          <w:caps w:val="0"/>
          <w:color w:val="000000"/>
          <w:spacing w:val="0"/>
          <w:sz w:val="31"/>
          <w:szCs w:val="31"/>
          <w:lang w:eastAsia="zh-CN"/>
        </w:rPr>
        <w:t>公务接待</w:t>
      </w:r>
      <w:r>
        <w:rPr>
          <w:rFonts w:hint="eastAsia" w:ascii="仿宋_GB2312" w:hAnsi="仿宋" w:eastAsia="仿宋_GB2312" w:cs="仿宋_GB2312"/>
          <w:i w:val="0"/>
          <w:caps w:val="0"/>
          <w:color w:val="000000"/>
          <w:spacing w:val="0"/>
          <w:sz w:val="31"/>
          <w:szCs w:val="31"/>
          <w:lang w:val="en-US" w:eastAsia="zh-CN"/>
        </w:rPr>
        <w:t>支出</w:t>
      </w:r>
      <w:bookmarkStart w:id="20" w:name="_GoBack"/>
      <w:bookmarkEnd w:id="20"/>
      <w:r>
        <w:rPr>
          <w:rFonts w:hint="eastAsia" w:ascii="仿宋_GB2312" w:hAnsi="仿宋" w:eastAsia="仿宋_GB2312" w:cs="仿宋_GB2312"/>
          <w:i w:val="0"/>
          <w:caps w:val="0"/>
          <w:color w:val="000000"/>
          <w:spacing w:val="0"/>
          <w:sz w:val="31"/>
          <w:szCs w:val="31"/>
        </w:rPr>
        <w:t>。单位全年安排的国内公务接待0批次，0人次。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与全年预算相比,财政拨款“三公”经费支出全年预算数3.60万元，决算数3.60万元，预决算差异率0.00%，主要原因是：严格按照年初预算执行。其中：因公出国（境）费全年预算数0.00万元，决算数0.00万元，预决算差异率0.00%，主要原因是：我单位无因公出国（境）事项；公务用车购置费全年预算数0.00万元，决算数0.00万元，预决算差异率0.00%，主要原因是：我单位车辆编制2辆，实有车辆2辆。已满编；公务用车运行费全年预算数3.60万元，决算数3.60万元，预决算差异率0.00%，主要原因是：严格按照年初预算执行；公务接待费全年预算数0.00万元，决算数0.00万元，预决算差异率0.00%，主要原因是：我单位无公务接待事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八、政府性基金预算财政拨款收入支出决算情况说明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我单位本年度无政府性基金预算财政拨款收入、支出及结转和结余，政府性基金预算财政拨款收入、支出决算表为空表。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九、国有资本经营预算财政拨款收入支出决算情况说明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我单位本年度无国有资本经营预算财政拨款收入、支出及结转和结余，国有资本经营预算财政拨款收入、支出决算表为空表。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十、其他重要事项的情况说明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（一）机关运行经费支出情况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2023年度新疆维吾尔自治区水环境监测中心（事业单位）公用经费支出13.33万元，比上年增加0.38万元，增长</w:t>
      </w:r>
      <w:r>
        <w:rPr>
          <w:rFonts w:hint="default" w:ascii="Times New Roman" w:hAnsi="Times New Roman" w:eastAsia="仿宋_GB2312" w:cs="Times New Roman"/>
          <w:i w:val="0"/>
          <w:caps w:val="0"/>
          <w:color w:val="000000"/>
          <w:spacing w:val="0"/>
          <w:sz w:val="31"/>
          <w:szCs w:val="31"/>
        </w:rPr>
        <w:t>2.93%</w:t>
      </w:r>
      <w:r>
        <w:rPr>
          <w:rFonts w:hint="eastAsia" w:ascii="仿宋_GB2312" w:hAnsi="仿宋" w:eastAsia="仿宋_GB2312" w:cs="仿宋_GB2312"/>
          <w:i w:val="0"/>
          <w:caps w:val="0"/>
          <w:color w:val="000000"/>
          <w:spacing w:val="0"/>
          <w:sz w:val="31"/>
          <w:szCs w:val="31"/>
        </w:rPr>
        <w:t>，主要原因是：主要是今年由博州水文勘测局调入1人，公用经费增加。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（二）政府采购情况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2023年度政府采购支出总额45.36万元，其中：政府采购货物支出17.86万元、政府采购工程支出</w:t>
      </w:r>
      <w:r>
        <w:rPr>
          <w:rFonts w:hint="default" w:ascii="Times New Roman" w:hAnsi="Times New Roman" w:eastAsia="仿宋_GB2312" w:cs="Times New Roman"/>
          <w:i w:val="0"/>
          <w:caps w:val="0"/>
          <w:color w:val="000000"/>
          <w:spacing w:val="0"/>
          <w:sz w:val="31"/>
          <w:szCs w:val="31"/>
        </w:rPr>
        <w:t>0.00</w:t>
      </w:r>
      <w:r>
        <w:rPr>
          <w:rFonts w:hint="eastAsia" w:ascii="仿宋_GB2312" w:hAnsi="仿宋" w:eastAsia="仿宋_GB2312" w:cs="仿宋_GB2312"/>
          <w:i w:val="0"/>
          <w:caps w:val="0"/>
          <w:color w:val="000000"/>
          <w:spacing w:val="0"/>
          <w:sz w:val="31"/>
          <w:szCs w:val="31"/>
        </w:rPr>
        <w:t>万元、政府采购服务支出</w:t>
      </w:r>
      <w:r>
        <w:rPr>
          <w:rFonts w:hint="default" w:ascii="Times New Roman" w:hAnsi="Times New Roman" w:eastAsia="仿宋_GB2312" w:cs="Times New Roman"/>
          <w:i w:val="0"/>
          <w:caps w:val="0"/>
          <w:color w:val="000000"/>
          <w:spacing w:val="0"/>
          <w:sz w:val="31"/>
          <w:szCs w:val="31"/>
        </w:rPr>
        <w:t>27.50</w:t>
      </w:r>
      <w:r>
        <w:rPr>
          <w:rFonts w:hint="eastAsia" w:ascii="仿宋_GB2312" w:hAnsi="仿宋" w:eastAsia="仿宋_GB2312" w:cs="仿宋_GB2312"/>
          <w:i w:val="0"/>
          <w:caps w:val="0"/>
          <w:color w:val="000000"/>
          <w:spacing w:val="0"/>
          <w:sz w:val="31"/>
          <w:szCs w:val="31"/>
        </w:rPr>
        <w:t>万元。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授予中小企业合同金额45.08万元，占政府采购支出总额的</w:t>
      </w:r>
      <w:r>
        <w:rPr>
          <w:rFonts w:hint="default" w:ascii="Times New Roman" w:hAnsi="Times New Roman" w:eastAsia="仿宋_GB2312" w:cs="Times New Roman"/>
          <w:i w:val="0"/>
          <w:caps w:val="0"/>
          <w:color w:val="000000"/>
          <w:spacing w:val="0"/>
          <w:sz w:val="31"/>
          <w:szCs w:val="31"/>
        </w:rPr>
        <w:t>99.38</w:t>
      </w:r>
      <w:r>
        <w:rPr>
          <w:rFonts w:hint="default" w:ascii="Times New Roman" w:hAnsi="Times New Roman" w:eastAsia="仿宋"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，其中：授予小微企业合同金额45.08万元，占政府采购支出总额的</w:t>
      </w:r>
      <w:r>
        <w:rPr>
          <w:rFonts w:hint="default" w:ascii="Times New Roman" w:hAnsi="Times New Roman" w:eastAsia="仿宋_GB2312" w:cs="Times New Roman"/>
          <w:i w:val="0"/>
          <w:caps w:val="0"/>
          <w:color w:val="000000"/>
          <w:spacing w:val="0"/>
          <w:sz w:val="31"/>
          <w:szCs w:val="31"/>
        </w:rPr>
        <w:t>99.38</w:t>
      </w:r>
      <w:r>
        <w:rPr>
          <w:rFonts w:hint="default" w:ascii="Times New Roman" w:hAnsi="Times New Roman" w:eastAsia="仿宋" w:cs="Times New Roman"/>
          <w:i w:val="0"/>
          <w:caps w:val="0"/>
          <w:color w:val="000000"/>
          <w:spacing w:val="0"/>
          <w:sz w:val="31"/>
          <w:szCs w:val="31"/>
        </w:rPr>
        <w:t>%</w:t>
      </w:r>
      <w:r>
        <w:rPr>
          <w:rFonts w:hint="eastAsia" w:ascii="仿宋_GB2312" w:hAnsi="仿宋" w:eastAsia="仿宋_GB2312" w:cs="仿宋_GB2312"/>
          <w:i w:val="0"/>
          <w:caps w:val="0"/>
          <w:color w:val="000000"/>
          <w:spacing w:val="0"/>
          <w:sz w:val="31"/>
          <w:szCs w:val="31"/>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（三）国有资产占用情况说明</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黑体" w:hAnsi="宋体" w:eastAsia="黑体" w:cs="黑体"/>
          <w:i w:val="0"/>
          <w:caps w:val="0"/>
          <w:color w:val="000000"/>
          <w:spacing w:val="0"/>
          <w:sz w:val="31"/>
          <w:szCs w:val="31"/>
        </w:rPr>
      </w:pPr>
      <w:r>
        <w:rPr>
          <w:rFonts w:hint="eastAsia" w:ascii="仿宋_GB2312" w:hAnsi="仿宋" w:eastAsia="仿宋_GB2312" w:cs="仿宋_GB2312"/>
          <w:i w:val="0"/>
          <w:caps w:val="0"/>
          <w:color w:val="000000"/>
          <w:spacing w:val="0"/>
          <w:sz w:val="31"/>
          <w:szCs w:val="31"/>
        </w:rPr>
        <w:t>截至2023年12月</w:t>
      </w:r>
      <w:r>
        <w:rPr>
          <w:rFonts w:hint="default" w:ascii="Times New Roman" w:hAnsi="Times New Roman" w:eastAsia="仿宋_GB2312" w:cs="Times New Roman"/>
          <w:i w:val="0"/>
          <w:caps w:val="0"/>
          <w:color w:val="000000"/>
          <w:spacing w:val="0"/>
          <w:sz w:val="31"/>
          <w:szCs w:val="31"/>
        </w:rPr>
        <w:t>31</w:t>
      </w:r>
      <w:r>
        <w:rPr>
          <w:rFonts w:hint="eastAsia" w:ascii="仿宋_GB2312" w:hAnsi="仿宋" w:eastAsia="仿宋_GB2312" w:cs="仿宋_GB2312"/>
          <w:i w:val="0"/>
          <w:caps w:val="0"/>
          <w:color w:val="000000"/>
          <w:spacing w:val="0"/>
          <w:sz w:val="31"/>
          <w:szCs w:val="31"/>
        </w:rPr>
        <w:t>日，固定资产原值793.86万元，房屋0.0平方米，价值</w:t>
      </w:r>
      <w:r>
        <w:rPr>
          <w:rFonts w:hint="default" w:ascii="Times New Roman" w:hAnsi="Times New Roman" w:eastAsia="仿宋_GB2312" w:cs="Times New Roman"/>
          <w:i w:val="0"/>
          <w:caps w:val="0"/>
          <w:color w:val="000000"/>
          <w:spacing w:val="0"/>
          <w:sz w:val="31"/>
          <w:szCs w:val="31"/>
        </w:rPr>
        <w:t>0.00</w:t>
      </w:r>
      <w:r>
        <w:rPr>
          <w:rFonts w:hint="eastAsia" w:ascii="仿宋_GB2312" w:hAnsi="仿宋" w:eastAsia="仿宋_GB2312" w:cs="仿宋_GB2312"/>
          <w:i w:val="0"/>
          <w:caps w:val="0"/>
          <w:color w:val="000000"/>
          <w:spacing w:val="0"/>
          <w:sz w:val="31"/>
          <w:szCs w:val="31"/>
        </w:rPr>
        <w:t>万元。车辆</w:t>
      </w:r>
      <w:r>
        <w:rPr>
          <w:rFonts w:hint="default" w:ascii="Times New Roman" w:hAnsi="Times New Roman" w:eastAsia="仿宋_GB2312" w:cs="Times New Roman"/>
          <w:i w:val="0"/>
          <w:caps w:val="0"/>
          <w:color w:val="000000"/>
          <w:spacing w:val="0"/>
          <w:sz w:val="31"/>
          <w:szCs w:val="31"/>
        </w:rPr>
        <w:t>2</w:t>
      </w:r>
      <w:r>
        <w:rPr>
          <w:rFonts w:hint="eastAsia" w:ascii="仿宋_GB2312" w:hAnsi="仿宋" w:eastAsia="仿宋_GB2312" w:cs="仿宋_GB2312"/>
          <w:i w:val="0"/>
          <w:caps w:val="0"/>
          <w:color w:val="000000"/>
          <w:spacing w:val="0"/>
          <w:sz w:val="31"/>
          <w:szCs w:val="31"/>
        </w:rPr>
        <w:t>辆，价值</w:t>
      </w:r>
      <w:r>
        <w:rPr>
          <w:rFonts w:hint="default" w:ascii="Times New Roman" w:hAnsi="Times New Roman" w:eastAsia="仿宋_GB2312" w:cs="Times New Roman"/>
          <w:i w:val="0"/>
          <w:caps w:val="0"/>
          <w:color w:val="000000"/>
          <w:spacing w:val="0"/>
          <w:sz w:val="31"/>
          <w:szCs w:val="31"/>
        </w:rPr>
        <w:t>139.23</w:t>
      </w:r>
      <w:r>
        <w:rPr>
          <w:rFonts w:hint="eastAsia" w:ascii="仿宋_GB2312" w:hAnsi="仿宋" w:eastAsia="仿宋_GB2312" w:cs="仿宋_GB2312"/>
          <w:i w:val="0"/>
          <w:caps w:val="0"/>
          <w:color w:val="000000"/>
          <w:spacing w:val="0"/>
          <w:sz w:val="31"/>
          <w:szCs w:val="31"/>
        </w:rPr>
        <w:t>万元，其中：副部（省）级及以上领导用车</w:t>
      </w:r>
      <w:r>
        <w:rPr>
          <w:rFonts w:hint="default" w:ascii="Times New Roman" w:hAnsi="Times New Roman" w:eastAsia="仿宋_GB2312" w:cs="Times New Roman"/>
          <w:i w:val="0"/>
          <w:caps w:val="0"/>
          <w:color w:val="000000"/>
          <w:spacing w:val="0"/>
          <w:sz w:val="31"/>
          <w:szCs w:val="31"/>
        </w:rPr>
        <w:t>0</w:t>
      </w:r>
      <w:r>
        <w:rPr>
          <w:rFonts w:hint="eastAsia" w:ascii="仿宋_GB2312" w:hAnsi="仿宋" w:eastAsia="仿宋_GB2312" w:cs="仿宋_GB2312"/>
          <w:i w:val="0"/>
          <w:caps w:val="0"/>
          <w:color w:val="000000"/>
          <w:spacing w:val="0"/>
          <w:sz w:val="31"/>
          <w:szCs w:val="31"/>
        </w:rPr>
        <w:t>辆、主要负责人用车0辆、机要通信用车</w:t>
      </w:r>
      <w:r>
        <w:rPr>
          <w:rFonts w:hint="default" w:ascii="Times New Roman" w:hAnsi="Times New Roman" w:eastAsia="仿宋_GB2312" w:cs="Times New Roman"/>
          <w:i w:val="0"/>
          <w:caps w:val="0"/>
          <w:color w:val="000000"/>
          <w:spacing w:val="0"/>
          <w:sz w:val="31"/>
          <w:szCs w:val="31"/>
        </w:rPr>
        <w:t>0</w:t>
      </w:r>
      <w:r>
        <w:rPr>
          <w:rFonts w:hint="eastAsia" w:ascii="仿宋_GB2312" w:hAnsi="仿宋" w:eastAsia="仿宋_GB2312" w:cs="仿宋_GB2312"/>
          <w:i w:val="0"/>
          <w:caps w:val="0"/>
          <w:color w:val="000000"/>
          <w:spacing w:val="0"/>
          <w:sz w:val="31"/>
          <w:szCs w:val="31"/>
        </w:rPr>
        <w:t>辆、应急保障用车</w:t>
      </w:r>
      <w:r>
        <w:rPr>
          <w:rFonts w:hint="default" w:ascii="Times New Roman" w:hAnsi="Times New Roman" w:eastAsia="仿宋_GB2312" w:cs="Times New Roman"/>
          <w:i w:val="0"/>
          <w:caps w:val="0"/>
          <w:color w:val="000000"/>
          <w:spacing w:val="0"/>
          <w:sz w:val="31"/>
          <w:szCs w:val="31"/>
        </w:rPr>
        <w:t>0</w:t>
      </w:r>
      <w:r>
        <w:rPr>
          <w:rFonts w:hint="eastAsia" w:ascii="仿宋_GB2312" w:hAnsi="仿宋" w:eastAsia="仿宋_GB2312" w:cs="仿宋_GB2312"/>
          <w:i w:val="0"/>
          <w:caps w:val="0"/>
          <w:color w:val="000000"/>
          <w:spacing w:val="0"/>
          <w:sz w:val="31"/>
          <w:szCs w:val="31"/>
        </w:rPr>
        <w:t>辆、执法执勤用车</w:t>
      </w:r>
      <w:r>
        <w:rPr>
          <w:rFonts w:hint="default" w:ascii="Times New Roman" w:hAnsi="Times New Roman" w:eastAsia="仿宋_GB2312" w:cs="Times New Roman"/>
          <w:i w:val="0"/>
          <w:caps w:val="0"/>
          <w:color w:val="000000"/>
          <w:spacing w:val="0"/>
          <w:sz w:val="31"/>
          <w:szCs w:val="31"/>
        </w:rPr>
        <w:t>0</w:t>
      </w:r>
      <w:r>
        <w:rPr>
          <w:rFonts w:hint="eastAsia" w:ascii="仿宋_GB2312" w:hAnsi="仿宋" w:eastAsia="仿宋_GB2312" w:cs="仿宋_GB2312"/>
          <w:i w:val="0"/>
          <w:caps w:val="0"/>
          <w:color w:val="000000"/>
          <w:spacing w:val="0"/>
          <w:sz w:val="31"/>
          <w:szCs w:val="31"/>
        </w:rPr>
        <w:t>辆、特种专业技术用车</w:t>
      </w:r>
      <w:r>
        <w:rPr>
          <w:rFonts w:hint="default" w:ascii="Times New Roman" w:hAnsi="Times New Roman" w:eastAsia="仿宋_GB2312" w:cs="Times New Roman"/>
          <w:i w:val="0"/>
          <w:caps w:val="0"/>
          <w:color w:val="000000"/>
          <w:spacing w:val="0"/>
          <w:sz w:val="31"/>
          <w:szCs w:val="31"/>
        </w:rPr>
        <w:t>1</w:t>
      </w:r>
      <w:r>
        <w:rPr>
          <w:rFonts w:hint="eastAsia" w:ascii="仿宋_GB2312" w:hAnsi="仿宋" w:eastAsia="仿宋_GB2312" w:cs="仿宋_GB2312"/>
          <w:i w:val="0"/>
          <w:caps w:val="0"/>
          <w:color w:val="000000"/>
          <w:spacing w:val="0"/>
          <w:sz w:val="31"/>
          <w:szCs w:val="31"/>
        </w:rPr>
        <w:t>辆、离退休干部服务用车0辆、其他用车</w:t>
      </w:r>
      <w:r>
        <w:rPr>
          <w:rFonts w:hint="default" w:ascii="Times New Roman" w:hAnsi="Times New Roman" w:eastAsia="仿宋_GB2312" w:cs="Times New Roman"/>
          <w:i w:val="0"/>
          <w:caps w:val="0"/>
          <w:color w:val="000000"/>
          <w:spacing w:val="0"/>
          <w:sz w:val="31"/>
          <w:szCs w:val="31"/>
        </w:rPr>
        <w:t>1</w:t>
      </w:r>
      <w:r>
        <w:rPr>
          <w:rFonts w:hint="eastAsia" w:ascii="仿宋_GB2312" w:hAnsi="仿宋" w:eastAsia="仿宋_GB2312" w:cs="仿宋_GB2312"/>
          <w:i w:val="0"/>
          <w:caps w:val="0"/>
          <w:color w:val="000000"/>
          <w:spacing w:val="0"/>
          <w:sz w:val="31"/>
          <w:szCs w:val="31"/>
        </w:rPr>
        <w:t>辆，其他用车主要是：一般公务用车；单价100万元（含）以上设备（不含车辆）</w:t>
      </w:r>
      <w:r>
        <w:rPr>
          <w:rFonts w:hint="default" w:ascii="Times New Roman" w:hAnsi="Times New Roman" w:eastAsia="仿宋_GB2312" w:cs="Times New Roman"/>
          <w:i w:val="0"/>
          <w:caps w:val="0"/>
          <w:color w:val="000000"/>
          <w:spacing w:val="0"/>
          <w:sz w:val="31"/>
          <w:szCs w:val="31"/>
        </w:rPr>
        <w:t>0</w:t>
      </w:r>
      <w:r>
        <w:rPr>
          <w:rFonts w:hint="eastAsia" w:ascii="仿宋_GB2312" w:hAnsi="仿宋" w:eastAsia="仿宋_GB2312" w:cs="仿宋_GB2312"/>
          <w:i w:val="0"/>
          <w:caps w:val="0"/>
          <w:color w:val="000000"/>
          <w:spacing w:val="0"/>
          <w:sz w:val="31"/>
          <w:szCs w:val="31"/>
        </w:rPr>
        <w:t>台。</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黑体" w:hAnsi="宋体" w:eastAsia="黑体" w:cs="黑体"/>
          <w:i w:val="0"/>
          <w:caps w:val="0"/>
          <w:color w:val="000000"/>
          <w:spacing w:val="0"/>
          <w:sz w:val="31"/>
          <w:szCs w:val="31"/>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黑体" w:hAnsi="宋体" w:eastAsia="黑体" w:cs="黑体"/>
          <w:i w:val="0"/>
          <w:caps w:val="0"/>
          <w:color w:val="000000"/>
          <w:spacing w:val="0"/>
          <w:sz w:val="31"/>
          <w:szCs w:val="31"/>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十一、预算绩效的情况说明</w:t>
      </w:r>
    </w:p>
    <w:p>
      <w:pPr>
        <w:keepNext w:val="0"/>
        <w:keepLines w:val="0"/>
        <w:pageBreakBefore w:val="0"/>
        <w:widowControl w:val="0"/>
        <w:kinsoku/>
        <w:wordWrap/>
        <w:overflowPunct/>
        <w:topLinePunct w:val="0"/>
        <w:bidi w:val="0"/>
        <w:adjustRightInd/>
        <w:snapToGrid/>
        <w:spacing w:line="240" w:lineRule="auto"/>
        <w:ind w:firstLine="620" w:firstLineChars="200"/>
        <w:textAlignment w:val="auto"/>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根据预算绩效管理要求，我单位2023年度预算绩效管理整体支出绩效自评表0个，全年预算总额0万元，实际执行总额0万元，我单位整体支出绩效自评表由主管部门编报并公开。预算绩效评价项目2个，全年预算数231万元，全年执行数149.52万元。预算绩效管理取得的成效：一是依法管理、依法行事的理念得到进一步的巩固。实施绩效管理，明确工作任务，建立绩效指标，实施绩效考核，为依法管理奠定了基础；二是讲究资金使用效益的理念得到深化。我单位制定了内部控制制度、梳理了单位项目工作内容和工作流程，使资金使用更加明晰，资金使用效果显著提升。发现的问题及原因：一是预算绩效指标的设立还需不断优化和量化；二是财务管理成效的定性定量指标要不断地更新，特别是我们公益性事业单位，要细化出财务管理成效的考核指标；下一步改进措施：一是要认真编制和审核预算绩效指标，让指标紧贴工作任务，让指标可执行可考核；二是加强宣传、培训，以业务工作为出发点，积极推进单位全面参与预算编制工作，实施全面科学的预算绩效管理。</w:t>
      </w:r>
      <w:r>
        <w:rPr>
          <w:rFonts w:hint="eastAsia" w:ascii="仿宋_GB2312" w:eastAsia="仿宋_GB2312"/>
          <w:sz w:val="32"/>
          <w:szCs w:val="32"/>
          <w:highlight w:val="none"/>
          <w:lang w:eastAsia="zh-CN"/>
        </w:rPr>
        <w:t>具体</w:t>
      </w:r>
      <w:r>
        <w:rPr>
          <w:rFonts w:hint="eastAsia" w:ascii="仿宋_GB2312" w:eastAsia="仿宋_GB2312"/>
          <w:sz w:val="32"/>
          <w:szCs w:val="32"/>
          <w:highlight w:val="none"/>
        </w:rPr>
        <w:t>项目自评情况附绩效自评表</w:t>
      </w:r>
      <w:r>
        <w:rPr>
          <w:rFonts w:hint="eastAsia" w:ascii="仿宋_GB2312" w:eastAsia="仿宋_GB2312"/>
          <w:sz w:val="32"/>
          <w:szCs w:val="32"/>
          <w:highlight w:val="none"/>
          <w:lang w:val="en-US" w:eastAsia="zh-CN"/>
        </w:rPr>
        <w:t>及自评报告</w:t>
      </w:r>
      <w:r>
        <w:rPr>
          <w:rFonts w:hint="eastAsia" w:ascii="仿宋_GB2312" w:eastAsia="仿宋_GB2312"/>
          <w:sz w:val="32"/>
          <w:szCs w:val="32"/>
          <w:highlight w:val="none"/>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rPr>
        <w:t>十二、其他需说明的事项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5"/>
        <w:jc w:val="left"/>
        <w:textAlignment w:val="auto"/>
        <w:outlineLvl w:val="9"/>
        <w:rPr>
          <w:rFonts w:hint="eastAsia" w:ascii="仿宋" w:hAnsi="仿宋" w:eastAsia="仿宋_GB2312" w:cs="仿宋"/>
          <w:i w:val="0"/>
          <w:caps w:val="0"/>
          <w:color w:val="000000"/>
          <w:spacing w:val="0"/>
          <w:sz w:val="31"/>
          <w:szCs w:val="31"/>
          <w:lang w:val="en-US" w:eastAsia="zh-CN"/>
        </w:rPr>
      </w:pPr>
      <w:r>
        <w:rPr>
          <w:rFonts w:hint="eastAsia" w:ascii="仿宋_GB2312" w:hAnsi="仿宋" w:eastAsia="仿宋_GB2312" w:cs="仿宋_GB2312"/>
          <w:i w:val="0"/>
          <w:caps w:val="0"/>
          <w:color w:val="000000"/>
          <w:spacing w:val="0"/>
          <w:sz w:val="31"/>
          <w:szCs w:val="31"/>
        </w:rPr>
        <w:t>本单位无其他需说明事项</w:t>
      </w:r>
      <w:r>
        <w:rPr>
          <w:rFonts w:hint="eastAsia" w:ascii="仿宋_GB2312" w:hAnsi="仿宋" w:eastAsia="仿宋_GB2312" w:cs="仿宋_GB2312"/>
          <w:i w:val="0"/>
          <w:caps w:val="0"/>
          <w:color w:val="000000"/>
          <w:spacing w:val="0"/>
          <w:sz w:val="31"/>
          <w:szCs w:val="31"/>
          <w:lang w:eastAsia="zh-CN"/>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eastAsia" w:ascii="仿宋" w:hAnsi="仿宋" w:eastAsia="仿宋" w:cs="仿宋"/>
          <w:i w:val="0"/>
          <w:caps w:val="0"/>
          <w:color w:val="000000"/>
          <w:spacing w:val="0"/>
          <w:sz w:val="31"/>
          <w:szCs w:val="31"/>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2"/>
      <w:bookmarkEnd w:id="3"/>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 w:name="_Toc2183"/>
      <w:bookmarkStart w:id="5" w:name="_Toc6062"/>
      <w:r>
        <w:rPr>
          <w:rFonts w:hint="eastAsia" w:ascii="黑体" w:hAnsi="黑体" w:eastAsia="仿宋_GB2312" w:cs="宋体"/>
          <w:bCs/>
          <w:color w:val="auto"/>
          <w:kern w:val="0"/>
          <w:sz w:val="32"/>
          <w:szCs w:val="32"/>
          <w:highlight w:val="none"/>
        </w:rPr>
        <w:t>一、《收入支出决算总表》</w:t>
      </w:r>
      <w:bookmarkEnd w:id="4"/>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6" w:name="_Toc24532"/>
      <w:bookmarkStart w:id="7" w:name="_Toc30364"/>
      <w:r>
        <w:rPr>
          <w:rFonts w:hint="eastAsia" w:ascii="黑体" w:hAnsi="黑体" w:eastAsia="仿宋_GB2312" w:cs="宋体"/>
          <w:bCs/>
          <w:color w:val="auto"/>
          <w:kern w:val="0"/>
          <w:sz w:val="32"/>
          <w:szCs w:val="32"/>
          <w:highlight w:val="none"/>
        </w:rPr>
        <w:t>二、《收入决算表》</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8" w:name="_Toc21304"/>
      <w:bookmarkStart w:id="9" w:name="_Toc32434"/>
      <w:r>
        <w:rPr>
          <w:rFonts w:hint="eastAsia" w:ascii="黑体" w:hAnsi="黑体" w:eastAsia="仿宋_GB2312" w:cs="宋体"/>
          <w:bCs/>
          <w:color w:val="auto"/>
          <w:kern w:val="0"/>
          <w:sz w:val="32"/>
          <w:szCs w:val="32"/>
          <w:highlight w:val="none"/>
        </w:rPr>
        <w:t>三、《支出决算表》</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0" w:name="_Toc28786"/>
      <w:bookmarkStart w:id="11" w:name="_Toc14238"/>
      <w:r>
        <w:rPr>
          <w:rFonts w:hint="eastAsia" w:ascii="黑体" w:hAnsi="黑体" w:eastAsia="仿宋_GB2312" w:cs="宋体"/>
          <w:bCs/>
          <w:color w:val="auto"/>
          <w:kern w:val="0"/>
          <w:sz w:val="32"/>
          <w:szCs w:val="32"/>
          <w:highlight w:val="none"/>
        </w:rPr>
        <w:t>四、《财政拨款收入支出决算总表》</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2" w:name="_Toc14869"/>
      <w:bookmarkStart w:id="13" w:name="_Toc10347"/>
      <w:r>
        <w:rPr>
          <w:rFonts w:hint="eastAsia" w:ascii="黑体" w:hAnsi="黑体" w:eastAsia="仿宋_GB2312" w:cs="宋体"/>
          <w:bCs/>
          <w:color w:val="auto"/>
          <w:kern w:val="0"/>
          <w:sz w:val="32"/>
          <w:szCs w:val="32"/>
          <w:highlight w:val="none"/>
        </w:rPr>
        <w:t>五、《一般公共预算财政拨款支出决算表》</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4" w:name="_Toc5626"/>
      <w:bookmarkStart w:id="15" w:name="_Toc8884"/>
      <w:r>
        <w:rPr>
          <w:rFonts w:hint="eastAsia" w:ascii="黑体" w:hAnsi="黑体" w:eastAsia="仿宋_GB2312" w:cs="宋体"/>
          <w:bCs/>
          <w:color w:val="auto"/>
          <w:kern w:val="0"/>
          <w:sz w:val="32"/>
          <w:szCs w:val="32"/>
          <w:highlight w:val="none"/>
        </w:rPr>
        <w:t>六、《一般公共预算财政拨款基本支出决算表》</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16" w:name="_Toc32663"/>
      <w:bookmarkStart w:id="17" w:name="_Toc29106"/>
      <w:r>
        <w:rPr>
          <w:rFonts w:hint="eastAsia" w:ascii="黑体" w:hAnsi="黑体" w:eastAsia="仿宋_GB2312" w:cs="宋体"/>
          <w:bCs/>
          <w:color w:val="auto"/>
          <w:kern w:val="0"/>
          <w:sz w:val="32"/>
          <w:szCs w:val="32"/>
          <w:highlight w:val="none"/>
        </w:rPr>
        <w:t>《财政拨款“三公”经费支出决算表》</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8" w:name="_Toc7643"/>
      <w:bookmarkStart w:id="19" w:name="_Toc5453"/>
      <w:r>
        <w:rPr>
          <w:rFonts w:hint="eastAsia" w:ascii="黑体" w:hAnsi="黑体" w:eastAsia="仿宋_GB2312" w:cs="宋体"/>
          <w:bCs/>
          <w:color w:val="auto"/>
          <w:kern w:val="0"/>
          <w:sz w:val="32"/>
          <w:szCs w:val="32"/>
          <w:highlight w:val="none"/>
        </w:rPr>
        <w:t>八、《政府性基金预算财政拨款收入支出决算表》</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DejaVu Sans">
    <w:altName w:val="Segoe Print"/>
    <w:panose1 w:val="020B0603030804020204"/>
    <w:charset w:val="00"/>
    <w:family w:val="auto"/>
    <w:pitch w:val="default"/>
    <w:sig w:usb0="00000000" w:usb1="00000000" w:usb2="0A246029" w:usb3="0400200C" w:csb0="600001FF" w:csb1="DFFF0000"/>
  </w:font>
  <w:font w:name="方正书宋_GBK">
    <w:altName w:val="微软雅黑"/>
    <w:panose1 w:val="02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Liberation Serif">
    <w:altName w:val="Times New Roman"/>
    <w:panose1 w:val="020206030504050203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DEACA8"/>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3FFE2DD2"/>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FB77B"/>
    <w:rsid w:val="4C200F7A"/>
    <w:rsid w:val="4CEE3180"/>
    <w:rsid w:val="4D0F4AF6"/>
    <w:rsid w:val="4DB2533E"/>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3DB4AE1"/>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ED4FB6"/>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AFEA85"/>
    <w:rsid w:val="76BE0C8F"/>
    <w:rsid w:val="76CD53B2"/>
    <w:rsid w:val="770719AC"/>
    <w:rsid w:val="776526CC"/>
    <w:rsid w:val="77A262E1"/>
    <w:rsid w:val="77B13C33"/>
    <w:rsid w:val="77ED6F44"/>
    <w:rsid w:val="77F45548"/>
    <w:rsid w:val="77FFA876"/>
    <w:rsid w:val="784E7CA6"/>
    <w:rsid w:val="78574801"/>
    <w:rsid w:val="7873527F"/>
    <w:rsid w:val="790A6425"/>
    <w:rsid w:val="790E2D96"/>
    <w:rsid w:val="791B54B2"/>
    <w:rsid w:val="795A0A34"/>
    <w:rsid w:val="797339C3"/>
    <w:rsid w:val="79D57D57"/>
    <w:rsid w:val="79F00650"/>
    <w:rsid w:val="7A6242BF"/>
    <w:rsid w:val="7A794513"/>
    <w:rsid w:val="7AE952D2"/>
    <w:rsid w:val="7B0C14FB"/>
    <w:rsid w:val="7C5E2524"/>
    <w:rsid w:val="7C7248A0"/>
    <w:rsid w:val="7C7E198E"/>
    <w:rsid w:val="7C976D69"/>
    <w:rsid w:val="7CD752DA"/>
    <w:rsid w:val="7CDE40AB"/>
    <w:rsid w:val="7CF057E2"/>
    <w:rsid w:val="7D1548B5"/>
    <w:rsid w:val="7DF84014"/>
    <w:rsid w:val="7E207949"/>
    <w:rsid w:val="7E4D5D36"/>
    <w:rsid w:val="7E5C0A47"/>
    <w:rsid w:val="7E670C75"/>
    <w:rsid w:val="7EE24272"/>
    <w:rsid w:val="7EEA6053"/>
    <w:rsid w:val="7F487C04"/>
    <w:rsid w:val="7FB45F21"/>
    <w:rsid w:val="7FE57088"/>
    <w:rsid w:val="7FF37FA3"/>
    <w:rsid w:val="7FFF52FD"/>
    <w:rsid w:val="D7EF5562"/>
    <w:rsid w:val="F39B97C0"/>
    <w:rsid w:val="F7B7D6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0</TotalTime>
  <ScaleCrop>false</ScaleCrop>
  <LinksUpToDate>false</LinksUpToDate>
  <CharactersWithSpaces>20937</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GXR</dc:creator>
  <cp:lastModifiedBy>安琴</cp:lastModifiedBy>
  <dcterms:modified xsi:type="dcterms:W3CDTF">2024-09-03T09:50:21Z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D624B15633CD43C8BF9435464A96BF70</vt:lpwstr>
  </property>
</Properties>
</file>