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ascii="黑体" w:hAnsi="黑体" w:eastAsia="黑体"/>
          <w:color w:val="auto"/>
          <w:sz w:val="32"/>
          <w:szCs w:val="32"/>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lang w:val="en-US" w:eastAsia="zh-CN"/>
        </w:rPr>
      </w:pPr>
      <w:r>
        <w:rPr>
          <w:rFonts w:hint="eastAsia" w:ascii="方正小标宋_GBK" w:hAnsi="宋体" w:eastAsia="方正小标宋_GBK"/>
          <w:color w:val="auto"/>
          <w:sz w:val="44"/>
          <w:szCs w:val="44"/>
          <w:highlight w:val="none"/>
          <w:lang w:val="en-US" w:eastAsia="zh-CN"/>
        </w:rPr>
        <w:t>新疆维吾尔自治区水文局</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lang w:eastAsia="zh-CN"/>
        </w:rPr>
        <w:t xml:space="preserve"> 2023年度</w:t>
      </w:r>
      <w:r>
        <w:rPr>
          <w:rFonts w:hint="eastAsia" w:ascii="方正小标宋_GBK" w:hAnsi="宋体" w:eastAsia="方正小标宋_GBK"/>
          <w:color w:val="auto"/>
          <w:sz w:val="44"/>
          <w:szCs w:val="44"/>
          <w:highlight w:val="none"/>
        </w:rPr>
        <w:t>部门决算</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t>公开说明</w:t>
      </w:r>
    </w:p>
    <w:p>
      <w:pPr>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color w:val="auto"/>
          <w:kern w:val="0"/>
          <w:sz w:val="32"/>
          <w:szCs w:val="32"/>
          <w:highlight w:val="none"/>
        </w:rPr>
      </w:pPr>
      <w:r>
        <w:rPr>
          <w:rFonts w:hint="eastAsia" w:ascii="仿宋_GB2312" w:hAnsi="仿宋_GB2312" w:eastAsia="仿宋_GB2312" w:cs="仿宋_GB2312"/>
          <w:b/>
          <w:bCs w:val="0"/>
          <w:color w:val="auto"/>
          <w:kern w:val="0"/>
          <w:sz w:val="36"/>
          <w:szCs w:val="36"/>
          <w:highlight w:val="none"/>
        </w:rPr>
        <w:t>目  录</w:t>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TOC \o "1-3" \n  \h \u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_Toc32314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 xml:space="preserve">第一部分 </w:t>
      </w:r>
      <w:r>
        <w:rPr>
          <w:rFonts w:hint="eastAsia" w:ascii="仿宋_GB2312" w:hAnsi="仿宋_GB2312" w:eastAsia="仿宋_GB2312" w:cs="仿宋_GB2312"/>
          <w:b/>
          <w:bCs/>
          <w:color w:val="auto"/>
          <w:sz w:val="32"/>
          <w:szCs w:val="32"/>
          <w:highlight w:val="none"/>
          <w:lang w:eastAsia="zh-CN"/>
        </w:rPr>
        <w:t>部门</w:t>
      </w:r>
      <w:r>
        <w:rPr>
          <w:rFonts w:hint="eastAsia" w:ascii="仿宋_GB2312" w:hAnsi="仿宋_GB2312" w:eastAsia="仿宋_GB2312" w:cs="仿宋_GB2312"/>
          <w:b/>
          <w:bCs/>
          <w:color w:val="auto"/>
          <w:sz w:val="32"/>
          <w:szCs w:val="32"/>
          <w:highlight w:val="none"/>
        </w:rPr>
        <w:t>概况</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_Toc30567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一、主要职能</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二、机构设置</w:t>
      </w:r>
      <w:r>
        <w:rPr>
          <w:rFonts w:hint="eastAsia" w:ascii="仿宋_GB2312" w:hAnsi="仿宋_GB2312" w:eastAsia="仿宋_GB2312" w:cs="仿宋_GB2312"/>
          <w:bCs/>
          <w:color w:val="auto"/>
          <w:kern w:val="0"/>
          <w:sz w:val="32"/>
          <w:szCs w:val="32"/>
          <w:highlight w:val="none"/>
          <w:lang w:eastAsia="zh-CN"/>
        </w:rPr>
        <w:t>及人员</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color w:val="auto"/>
          <w:sz w:val="32"/>
          <w:szCs w:val="32"/>
          <w:highlight w:val="none"/>
        </w:rPr>
        <w:fldChar w:fldCharType="end"/>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_Toc29374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第二部分 部门决算情况说明</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_Toc25314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一、收入支出决算总体情况说明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_Toc12142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二、</w:t>
      </w:r>
      <w:r>
        <w:rPr>
          <w:rFonts w:hint="eastAsia" w:ascii="仿宋_GB2312" w:hAnsi="仿宋_GB2312" w:eastAsia="仿宋_GB2312" w:cs="仿宋_GB2312"/>
          <w:bCs/>
          <w:color w:val="auto"/>
          <w:kern w:val="0"/>
          <w:sz w:val="32"/>
          <w:szCs w:val="32"/>
          <w:highlight w:val="none"/>
        </w:rPr>
        <w:t>收入</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_Toc13201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三、支出决算情况说明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_Toc26564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四、财政拨款收入支出决算总体情况说明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_Toc20360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五、一般公共预算财政拨款支出决算情况说明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_Toc30870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六、一般公共预算财政拨款基本支出决算情况说明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_Toc21518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七</w:t>
      </w:r>
      <w:r>
        <w:rPr>
          <w:rFonts w:hint="eastAsia" w:ascii="仿宋_GB2312" w:hAnsi="仿宋_GB2312" w:eastAsia="仿宋_GB2312" w:cs="仿宋_GB2312"/>
          <w:bCs/>
          <w:color w:val="auto"/>
          <w:kern w:val="0"/>
          <w:sz w:val="32"/>
          <w:szCs w:val="32"/>
          <w:highlight w:val="none"/>
        </w:rPr>
        <w:t>、</w:t>
      </w:r>
      <w:r>
        <w:rPr>
          <w:rFonts w:hint="eastAsia" w:ascii="仿宋_GB2312" w:hAnsi="仿宋_GB2312" w:eastAsia="仿宋_GB2312" w:cs="仿宋_GB2312"/>
          <w:bCs/>
          <w:color w:val="auto"/>
          <w:kern w:val="0"/>
          <w:sz w:val="32"/>
          <w:szCs w:val="32"/>
          <w:highlight w:val="none"/>
          <w:lang w:eastAsia="zh-CN"/>
        </w:rPr>
        <w:t>财政拨款</w:t>
      </w:r>
      <w:r>
        <w:rPr>
          <w:rFonts w:hint="eastAsia" w:ascii="仿宋_GB2312" w:hAnsi="仿宋_GB2312" w:eastAsia="仿宋_GB2312" w:cs="仿宋_GB2312"/>
          <w:bCs/>
          <w:color w:val="auto"/>
          <w:kern w:val="0"/>
          <w:sz w:val="32"/>
          <w:szCs w:val="32"/>
          <w:highlight w:val="none"/>
        </w:rPr>
        <w:t>“三公”经费支出</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lang w:eastAsia="zh-CN"/>
        </w:rPr>
        <w:t>政府性基金预算财政拨款收入支出决算情况说明</w:t>
      </w:r>
      <w:r>
        <w:rPr>
          <w:rFonts w:hint="eastAsia" w:ascii="仿宋_GB2312" w:hAnsi="仿宋_GB2312" w:eastAsia="仿宋_GB2312" w:cs="仿宋_GB2312"/>
          <w:color w:val="auto"/>
          <w:sz w:val="32"/>
          <w:szCs w:val="32"/>
          <w:highlight w:val="none"/>
        </w:rPr>
        <w:fldChar w:fldCharType="end"/>
      </w:r>
    </w:p>
    <w:p>
      <w:pPr>
        <w:rPr>
          <w:rFonts w:hint="eastAsia"/>
          <w:color w:val="auto"/>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、国有资本经营预算财政拨款收入支出决算情况说明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_Toc1235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十</w:t>
      </w:r>
      <w:r>
        <w:rPr>
          <w:rFonts w:hint="eastAsia" w:ascii="仿宋_GB2312" w:hAnsi="仿宋_GB2312" w:eastAsia="仿宋_GB2312" w:cs="仿宋_GB2312"/>
          <w:bCs/>
          <w:color w:val="auto"/>
          <w:kern w:val="0"/>
          <w:sz w:val="32"/>
          <w:szCs w:val="32"/>
          <w:highlight w:val="none"/>
        </w:rPr>
        <w:t>、其他重要事项的情况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_Toc14519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（一）</w:t>
      </w:r>
      <w:r>
        <w:rPr>
          <w:rFonts w:hint="eastAsia" w:ascii="仿宋_GB2312" w:hAnsi="仿宋_GB2312" w:eastAsia="仿宋_GB2312" w:cs="仿宋_GB2312"/>
          <w:color w:val="auto"/>
          <w:sz w:val="32"/>
          <w:szCs w:val="32"/>
          <w:highlight w:val="none"/>
        </w:rPr>
        <w:t>机关运行经费支出情况</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_Toc227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（二）政府采购情况</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_Toc8391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（三）国有资产占用情况说明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_Toc11283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十</w:t>
      </w:r>
      <w:r>
        <w:rPr>
          <w:rFonts w:hint="eastAsia" w:ascii="仿宋_GB2312" w:hAnsi="仿宋_GB2312" w:eastAsia="仿宋_GB2312" w:cs="仿宋_GB2312"/>
          <w:bCs/>
          <w:color w:val="auto"/>
          <w:kern w:val="0"/>
          <w:sz w:val="32"/>
          <w:szCs w:val="32"/>
          <w:highlight w:val="none"/>
          <w:lang w:val="en-US" w:eastAsia="zh-CN"/>
        </w:rPr>
        <w:t>一</w:t>
      </w:r>
      <w:r>
        <w:rPr>
          <w:rFonts w:hint="eastAsia" w:ascii="仿宋_GB2312" w:hAnsi="仿宋_GB2312" w:eastAsia="仿宋_GB2312" w:cs="仿宋_GB2312"/>
          <w:bCs/>
          <w:color w:val="auto"/>
          <w:kern w:val="0"/>
          <w:sz w:val="32"/>
          <w:szCs w:val="32"/>
          <w:highlight w:val="none"/>
          <w:lang w:eastAsia="zh-CN"/>
        </w:rPr>
        <w:t>、预算绩效的情况说明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十二、其他需说明的事项</w:t>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_Toc3250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第三部分 专业名词解释</w:t>
      </w:r>
      <w:r>
        <w:rPr>
          <w:rFonts w:hint="eastAsia" w:ascii="仿宋_GB2312" w:hAnsi="仿宋_GB2312" w:eastAsia="仿宋_GB2312" w:cs="仿宋_GB2312"/>
          <w:b/>
          <w:bCs/>
          <w:color w:val="auto"/>
          <w:sz w:val="32"/>
          <w:szCs w:val="32"/>
          <w:highlight w:val="none"/>
        </w:rPr>
        <w:fldChar w:fldCharType="end"/>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_Toc22784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第四部分 部门决算报表（见附表）</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_Toc24532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二、《收入决算表》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_Toc32434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三、《支出决算表》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_Toc28786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四、《财政拨款收入支出决算总表》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_Toc14869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五、《一般公共预算财政拨款支出决算表》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_Toc8884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六、《一般公共预算财政拨款基本支出决算表》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_Toc29106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七、《财政拨款“三公”经费支出决算表》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fldChar w:fldCharType="begin"/>
      </w:r>
      <w:r>
        <w:rPr>
          <w:rFonts w:hint="eastAsia" w:ascii="仿宋_GB2312" w:hAnsi="仿宋_GB2312" w:eastAsia="仿宋_GB2312" w:cs="仿宋_GB2312"/>
          <w:bCs/>
          <w:color w:val="auto"/>
          <w:kern w:val="0"/>
          <w:sz w:val="32"/>
          <w:szCs w:val="32"/>
          <w:highlight w:val="none"/>
        </w:rPr>
        <w:instrText xml:space="preserve"> HYPERLINK \l _Toc7643 </w:instrText>
      </w:r>
      <w:r>
        <w:rPr>
          <w:rFonts w:hint="eastAsia" w:ascii="仿宋_GB2312" w:hAnsi="仿宋_GB2312" w:eastAsia="仿宋_GB2312" w:cs="仿宋_GB2312"/>
          <w:bCs/>
          <w:color w:val="auto"/>
          <w:kern w:val="0"/>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rPr>
        <w:t>《政府性基金预算财政拨款收入支出决算表》</w:t>
      </w:r>
      <w:r>
        <w:rPr>
          <w:rFonts w:hint="eastAsia" w:ascii="仿宋_GB2312" w:hAnsi="仿宋_GB2312" w:eastAsia="仿宋_GB2312" w:cs="仿宋_GB2312"/>
          <w:bCs/>
          <w:color w:val="auto"/>
          <w:kern w:val="0"/>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lang w:eastAsia="zh-CN"/>
        </w:rPr>
      </w:pP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w:t>
      </w:r>
      <w:r>
        <w:rPr>
          <w:rFonts w:hint="eastAsia" w:ascii="仿宋_GB2312" w:hAnsi="仿宋_GB2312" w:eastAsia="仿宋_GB2312" w:cs="仿宋_GB2312"/>
          <w:bCs/>
          <w:color w:val="auto"/>
          <w:kern w:val="0"/>
          <w:sz w:val="32"/>
          <w:szCs w:val="32"/>
          <w:highlight w:val="none"/>
        </w:rPr>
        <w:t>预算财政拨款收入支出决算表</w:t>
      </w:r>
      <w:r>
        <w:rPr>
          <w:rFonts w:hint="eastAsia" w:ascii="仿宋_GB2312" w:hAnsi="仿宋_GB2312" w:eastAsia="仿宋_GB2312" w:cs="仿宋_GB2312"/>
          <w:bCs/>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ind w:left="0" w:leftChars="0"/>
        <w:jc w:val="both"/>
        <w:textAlignment w:val="auto"/>
        <w:rPr>
          <w:color w:val="auto"/>
          <w:highlight w:val="none"/>
        </w:rPr>
      </w:pPr>
      <w:r>
        <w:rPr>
          <w:rFonts w:hint="eastAsia" w:ascii="仿宋_GB2312" w:hAnsi="仿宋_GB2312" w:eastAsia="仿宋_GB2312" w:cs="仿宋_GB2312"/>
          <w:color w:val="auto"/>
          <w:sz w:val="32"/>
          <w:szCs w:val="32"/>
          <w:highlight w:val="none"/>
        </w:rPr>
        <w:fldChar w:fldCharType="end"/>
      </w:r>
    </w:p>
    <w:p>
      <w:pPr>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0" w:name="_Toc32314"/>
      <w:bookmarkStart w:id="1" w:name="_Toc24028"/>
      <w:r>
        <w:rPr>
          <w:rFonts w:hint="eastAsia" w:ascii="黑体" w:hAnsi="黑体" w:eastAsia="黑体"/>
          <w:color w:val="auto"/>
          <w:sz w:val="32"/>
          <w:szCs w:val="32"/>
          <w:highlight w:val="none"/>
        </w:rPr>
        <w:t xml:space="preserve">第一部分 </w:t>
      </w:r>
      <w:r>
        <w:rPr>
          <w:rFonts w:hint="eastAsia" w:ascii="黑体" w:hAnsi="黑体" w:eastAsia="黑体"/>
          <w:color w:val="auto"/>
          <w:sz w:val="32"/>
          <w:szCs w:val="32"/>
          <w:highlight w:val="none"/>
          <w:lang w:eastAsia="zh-CN"/>
        </w:rPr>
        <w:t>部门</w:t>
      </w:r>
      <w:r>
        <w:rPr>
          <w:rFonts w:hint="eastAsia" w:ascii="黑体" w:hAnsi="黑体" w:eastAsia="黑体"/>
          <w:color w:val="auto"/>
          <w:sz w:val="32"/>
          <w:szCs w:val="32"/>
          <w:highlight w:val="none"/>
        </w:rPr>
        <w:t>概况</w:t>
      </w:r>
      <w:bookmarkEnd w:id="0"/>
      <w:bookmarkEnd w:id="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ascii="黑体" w:hAnsi="黑体" w:eastAsia="黑体" w:cs="宋体"/>
          <w:bCs/>
          <w:color w:val="auto"/>
          <w:kern w:val="0"/>
          <w:sz w:val="32"/>
          <w:szCs w:val="32"/>
          <w:highlight w:val="none"/>
        </w:rPr>
      </w:pPr>
      <w:bookmarkStart w:id="2" w:name="_Toc30567"/>
      <w:bookmarkStart w:id="3" w:name="_Toc30738"/>
      <w:r>
        <w:rPr>
          <w:rFonts w:hint="eastAsia" w:ascii="黑体" w:hAnsi="黑体" w:eastAsia="黑体" w:cs="宋体"/>
          <w:bCs/>
          <w:color w:val="auto"/>
          <w:kern w:val="0"/>
          <w:sz w:val="32"/>
          <w:szCs w:val="32"/>
          <w:highlight w:val="none"/>
        </w:rPr>
        <w:t>一、主要职能</w:t>
      </w:r>
      <w:bookmarkEnd w:id="2"/>
      <w:bookmarkEnd w:id="3"/>
    </w:p>
    <w:p>
      <w:pPr>
        <w:ind w:firstLine="640" w:firstLineChars="200"/>
        <w:rPr>
          <w:rFonts w:ascii="黑体" w:hAnsi="黑体" w:eastAsia="黑体" w:cs="宋体"/>
          <w:bCs/>
          <w:kern w:val="0"/>
          <w:sz w:val="32"/>
          <w:szCs w:val="32"/>
        </w:rPr>
      </w:pPr>
      <w:bookmarkStart w:id="4" w:name="_Toc31238"/>
      <w:bookmarkStart w:id="5" w:name="_Toc2151"/>
      <w:r>
        <w:rPr>
          <w:rFonts w:ascii="仿宋_GB2312" w:eastAsia="仿宋_GB2312"/>
          <w:sz w:val="32"/>
          <w:szCs w:val="32"/>
        </w:rPr>
        <w:t>（1）拟订全区水文事业发展的政策法规；负责编制水文发展规划并组织实施。</w:t>
      </w:r>
      <w:r>
        <w:rPr>
          <w:rFonts w:ascii="仿宋_GB2312" w:eastAsia="仿宋_GB2312"/>
          <w:sz w:val="32"/>
          <w:szCs w:val="32"/>
        </w:rPr>
        <w:br w:type="textWrapping"/>
      </w:r>
      <w:r>
        <w:rPr>
          <w:rFonts w:ascii="仿宋_GB2312" w:eastAsia="仿宋_GB2312"/>
          <w:sz w:val="32"/>
          <w:szCs w:val="32"/>
        </w:rPr>
        <w:t>　　（2）组织实施水文行业技术规范和标准；负责全区水文站网的规划、建设和管理工作。</w:t>
      </w:r>
      <w:r>
        <w:rPr>
          <w:rFonts w:ascii="仿宋_GB2312" w:eastAsia="仿宋_GB2312"/>
          <w:sz w:val="32"/>
          <w:szCs w:val="32"/>
        </w:rPr>
        <w:br w:type="textWrapping"/>
      </w:r>
      <w:r>
        <w:rPr>
          <w:rFonts w:ascii="仿宋_GB2312" w:eastAsia="仿宋_GB2312"/>
          <w:sz w:val="32"/>
          <w:szCs w:val="32"/>
        </w:rPr>
        <w:t>　　（3）负责管理全区水文勘测、水文情报预报、水文分析与计算、水文调查评价等工作。</w:t>
      </w:r>
      <w:r>
        <w:rPr>
          <w:rFonts w:ascii="仿宋_GB2312" w:eastAsia="仿宋_GB2312"/>
          <w:sz w:val="32"/>
          <w:szCs w:val="32"/>
        </w:rPr>
        <w:br w:type="textWrapping"/>
      </w:r>
      <w:r>
        <w:rPr>
          <w:rFonts w:ascii="仿宋_GB2312" w:eastAsia="仿宋_GB2312"/>
          <w:sz w:val="32"/>
          <w:szCs w:val="32"/>
        </w:rPr>
        <w:t>　　（4）负责全区水情信息的收集、处理与分析；负责重要水情预报信息的发布。</w:t>
      </w:r>
      <w:r>
        <w:rPr>
          <w:rFonts w:ascii="仿宋_GB2312" w:eastAsia="仿宋_GB2312"/>
          <w:sz w:val="32"/>
          <w:szCs w:val="32"/>
        </w:rPr>
        <w:br w:type="textWrapping"/>
      </w:r>
      <w:r>
        <w:rPr>
          <w:rFonts w:ascii="仿宋_GB2312" w:eastAsia="仿宋_GB2312"/>
          <w:sz w:val="32"/>
          <w:szCs w:val="32"/>
        </w:rPr>
        <w:t>　　（5）负责全区河、湖、库及地表水、地下水量、水质的监测、分析、评价；水域排污总量的监测。</w:t>
      </w:r>
      <w:r>
        <w:rPr>
          <w:rFonts w:ascii="仿宋_GB2312" w:eastAsia="仿宋_GB2312"/>
          <w:sz w:val="32"/>
          <w:szCs w:val="32"/>
        </w:rPr>
        <w:br w:type="textWrapping"/>
      </w:r>
      <w:r>
        <w:rPr>
          <w:rFonts w:ascii="仿宋_GB2312" w:eastAsia="仿宋_GB2312"/>
          <w:sz w:val="32"/>
          <w:szCs w:val="32"/>
        </w:rPr>
        <w:t>　　（6）统一管理全区水文资料；负责全区水文信息系统的开发建设和运行管理。</w:t>
      </w:r>
      <w:r>
        <w:rPr>
          <w:rFonts w:ascii="仿宋_GB2312" w:eastAsia="仿宋_GB2312"/>
          <w:sz w:val="32"/>
          <w:szCs w:val="32"/>
        </w:rPr>
        <w:br w:type="textWrapping"/>
      </w:r>
      <w:r>
        <w:rPr>
          <w:rFonts w:ascii="仿宋_GB2312" w:eastAsia="仿宋_GB2312"/>
          <w:sz w:val="32"/>
          <w:szCs w:val="32"/>
        </w:rPr>
        <w:t>　　（7）承担水文测报设施保护工作；统一管理全区水文专用仪器设备。</w:t>
      </w:r>
      <w:r>
        <w:rPr>
          <w:rFonts w:ascii="仿宋_GB2312" w:eastAsia="仿宋_GB2312"/>
          <w:sz w:val="32"/>
          <w:szCs w:val="32"/>
        </w:rPr>
        <w:br w:type="textWrapping"/>
      </w:r>
      <w:r>
        <w:rPr>
          <w:rFonts w:ascii="仿宋_GB2312" w:eastAsia="仿宋_GB2312"/>
          <w:sz w:val="32"/>
          <w:szCs w:val="32"/>
        </w:rPr>
        <w:t>　　（8）负责审定有关水事纠纷、涉水案件裁决所需水文资料；负责编制地下水通报和水质公报。</w:t>
      </w:r>
      <w:r>
        <w:rPr>
          <w:rFonts w:ascii="仿宋_GB2312" w:eastAsia="仿宋_GB2312"/>
          <w:sz w:val="32"/>
          <w:szCs w:val="32"/>
        </w:rPr>
        <w:br w:type="textWrapping"/>
      </w:r>
      <w:r>
        <w:rPr>
          <w:rFonts w:ascii="仿宋_GB2312" w:eastAsia="仿宋_GB2312"/>
          <w:sz w:val="32"/>
          <w:szCs w:val="32"/>
        </w:rPr>
        <w:t>　　（9）承办自治区党委、人民政府和水利厅交办的其他事项</w:t>
      </w:r>
      <w:r>
        <w:rPr>
          <w:rFonts w:hint="eastAsia" w:ascii="仿宋_GB2312"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r>
        <w:rPr>
          <w:rFonts w:hint="eastAsia" w:ascii="黑体" w:hAnsi="黑体" w:eastAsia="黑体" w:cs="宋体"/>
          <w:bCs/>
          <w:color w:val="auto"/>
          <w:kern w:val="0"/>
          <w:sz w:val="32"/>
          <w:szCs w:val="32"/>
          <w:highlight w:val="none"/>
        </w:rPr>
        <w:t>二、机构设置</w:t>
      </w:r>
      <w:r>
        <w:rPr>
          <w:rFonts w:hint="eastAsia" w:ascii="黑体" w:hAnsi="黑体" w:eastAsia="黑体" w:cs="宋体"/>
          <w:bCs/>
          <w:color w:val="auto"/>
          <w:kern w:val="0"/>
          <w:sz w:val="32"/>
          <w:szCs w:val="32"/>
          <w:highlight w:val="none"/>
          <w:lang w:eastAsia="zh-CN"/>
        </w:rPr>
        <w:t>及</w:t>
      </w:r>
      <w:bookmarkEnd w:id="4"/>
      <w:r>
        <w:rPr>
          <w:rFonts w:hint="eastAsia" w:ascii="黑体" w:hAnsi="黑体" w:eastAsia="黑体" w:cs="宋体"/>
          <w:bCs/>
          <w:color w:val="auto"/>
          <w:kern w:val="0"/>
          <w:sz w:val="32"/>
          <w:szCs w:val="32"/>
          <w:highlight w:val="none"/>
          <w:lang w:eastAsia="zh-CN"/>
        </w:rPr>
        <w:t>人员</w:t>
      </w:r>
      <w:r>
        <w:rPr>
          <w:rFonts w:hint="eastAsia" w:ascii="黑体" w:hAnsi="黑体" w:eastAsia="黑体" w:cs="宋体"/>
          <w:bCs/>
          <w:color w:val="auto"/>
          <w:kern w:val="0"/>
          <w:sz w:val="32"/>
          <w:szCs w:val="32"/>
          <w:highlight w:val="none"/>
        </w:rPr>
        <w:t>情况</w:t>
      </w:r>
      <w:bookmarkEnd w:id="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b/>
          <w:color w:val="auto"/>
          <w:sz w:val="32"/>
          <w:szCs w:val="32"/>
          <w:highlight w:val="none"/>
        </w:rPr>
      </w:pPr>
      <w:r>
        <w:rPr>
          <w:rFonts w:hint="eastAsia" w:ascii="仿宋_GB2312" w:eastAsia="仿宋_GB2312"/>
          <w:color w:val="auto"/>
          <w:sz w:val="32"/>
          <w:szCs w:val="32"/>
          <w:highlight w:val="none"/>
          <w:lang w:val="en-US" w:eastAsia="zh-CN"/>
        </w:rPr>
        <w:t>新疆维吾尔自治区水文局</w:t>
      </w:r>
      <w:r>
        <w:rPr>
          <w:rFonts w:hint="eastAsia" w:ascii="仿宋_GB2312" w:eastAsia="仿宋_GB2312"/>
          <w:color w:val="auto"/>
          <w:sz w:val="32"/>
          <w:szCs w:val="32"/>
          <w:highlight w:val="none"/>
          <w:lang w:eastAsia="zh-CN"/>
        </w:rPr>
        <w:t>2023年度</w:t>
      </w:r>
      <w:r>
        <w:rPr>
          <w:rFonts w:hint="eastAsia" w:ascii="仿宋_GB2312" w:eastAsia="仿宋_GB2312"/>
          <w:color w:val="auto"/>
          <w:sz w:val="32"/>
          <w:szCs w:val="32"/>
          <w:highlight w:val="none"/>
        </w:rPr>
        <w:t>实有人数</w:t>
      </w:r>
      <w:r>
        <w:rPr>
          <w:rFonts w:hint="eastAsia" w:ascii="仿宋_GB2312" w:eastAsia="仿宋_GB2312"/>
          <w:color w:val="auto"/>
          <w:sz w:val="32"/>
          <w:szCs w:val="32"/>
          <w:highlight w:val="none"/>
          <w:lang w:val="zh-CN" w:eastAsia="zh-CN"/>
        </w:rPr>
        <w:t>1546</w:t>
      </w:r>
      <w:r>
        <w:rPr>
          <w:rFonts w:hint="eastAsia" w:ascii="仿宋_GB2312" w:eastAsia="仿宋_GB2312"/>
          <w:color w:val="auto"/>
          <w:sz w:val="32"/>
          <w:szCs w:val="32"/>
          <w:highlight w:val="none"/>
        </w:rPr>
        <w:t>人，其中：在职人员</w:t>
      </w:r>
      <w:r>
        <w:rPr>
          <w:rFonts w:hint="eastAsia" w:ascii="仿宋_GB2312" w:eastAsia="仿宋_GB2312"/>
          <w:color w:val="auto"/>
          <w:sz w:val="32"/>
          <w:szCs w:val="32"/>
          <w:highlight w:val="none"/>
          <w:lang w:val="zh-CN" w:eastAsia="zh-CN"/>
        </w:rPr>
        <w:t>795</w:t>
      </w:r>
      <w:r>
        <w:rPr>
          <w:rFonts w:hint="eastAsia" w:ascii="仿宋_GB2312" w:eastAsia="仿宋_GB2312"/>
          <w:color w:val="auto"/>
          <w:sz w:val="32"/>
          <w:szCs w:val="32"/>
          <w:highlight w:val="none"/>
        </w:rPr>
        <w:t>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离休人员</w:t>
      </w:r>
      <w:r>
        <w:rPr>
          <w:rFonts w:hint="eastAsia" w:ascii="仿宋_GB2312" w:eastAsia="仿宋_GB2312"/>
          <w:color w:val="auto"/>
          <w:sz w:val="32"/>
          <w:szCs w:val="32"/>
          <w:highlight w:val="none"/>
          <w:lang w:val="zh-CN" w:eastAsia="zh-CN"/>
        </w:rPr>
        <w:t>0</w:t>
      </w:r>
      <w:r>
        <w:rPr>
          <w:rFonts w:hint="eastAsia" w:ascii="仿宋_GB2312" w:eastAsia="仿宋_GB2312"/>
          <w:color w:val="auto"/>
          <w:sz w:val="32"/>
          <w:szCs w:val="32"/>
          <w:highlight w:val="none"/>
        </w:rPr>
        <w:t>人，退休人员</w:t>
      </w:r>
      <w:r>
        <w:rPr>
          <w:rFonts w:hint="eastAsia" w:ascii="仿宋_GB2312" w:eastAsia="仿宋_GB2312"/>
          <w:color w:val="auto"/>
          <w:sz w:val="32"/>
          <w:szCs w:val="32"/>
          <w:highlight w:val="none"/>
          <w:lang w:val="zh-CN" w:eastAsia="zh-CN"/>
        </w:rPr>
        <w:t>751</w:t>
      </w:r>
      <w:r>
        <w:rPr>
          <w:rFonts w:hint="eastAsia" w:ascii="仿宋_GB2312" w:eastAsia="仿宋_GB2312"/>
          <w:color w:val="auto"/>
          <w:sz w:val="32"/>
          <w:szCs w:val="32"/>
          <w:highlight w:val="none"/>
        </w:rPr>
        <w:t>人。</w:t>
      </w:r>
    </w:p>
    <w:p>
      <w:pPr>
        <w:ind w:firstLine="640" w:firstLineChars="200"/>
        <w:rPr>
          <w:rFonts w:ascii="仿宋_GB2312" w:eastAsia="仿宋_GB2312"/>
          <w:sz w:val="32"/>
          <w:szCs w:val="32"/>
        </w:rPr>
      </w:pPr>
      <w:r>
        <w:rPr>
          <w:rFonts w:hint="eastAsia" w:ascii="仿宋_GB2312" w:eastAsia="仿宋_GB2312"/>
          <w:color w:val="auto"/>
          <w:sz w:val="32"/>
          <w:szCs w:val="32"/>
          <w:highlight w:val="none"/>
        </w:rPr>
        <w:t>从</w:t>
      </w:r>
      <w:r>
        <w:rPr>
          <w:rFonts w:hint="eastAsia" w:ascii="仿宋_GB2312" w:eastAsia="仿宋_GB2312"/>
          <w:color w:val="auto"/>
          <w:sz w:val="32"/>
          <w:szCs w:val="32"/>
          <w:highlight w:val="none"/>
          <w:lang w:eastAsia="zh-CN"/>
        </w:rPr>
        <w:t>部门</w:t>
      </w:r>
      <w:r>
        <w:rPr>
          <w:rFonts w:hint="eastAsia" w:ascii="仿宋_GB2312" w:eastAsia="仿宋_GB2312"/>
          <w:color w:val="auto"/>
          <w:sz w:val="32"/>
          <w:szCs w:val="32"/>
          <w:highlight w:val="none"/>
        </w:rPr>
        <w:t>决算单位构成看，</w:t>
      </w:r>
      <w:r>
        <w:rPr>
          <w:rFonts w:hint="eastAsia" w:ascii="仿宋_GB2312" w:eastAsia="仿宋_GB2312"/>
          <w:sz w:val="32"/>
          <w:szCs w:val="32"/>
        </w:rPr>
        <w:t>新疆维吾尔自治区水文局部门决算包括：新疆维吾尔自治区水文局本级决算及所属单位决算。</w:t>
      </w:r>
    </w:p>
    <w:p>
      <w:pPr>
        <w:ind w:firstLine="640" w:firstLineChars="200"/>
        <w:rPr>
          <w:rFonts w:ascii="仿宋_GB2312" w:hAnsi="宋体" w:eastAsia="仿宋_GB2312" w:cs="宋体"/>
          <w:kern w:val="0"/>
          <w:sz w:val="32"/>
          <w:szCs w:val="32"/>
        </w:rPr>
      </w:pPr>
      <w:r>
        <w:rPr>
          <w:rFonts w:hint="eastAsia" w:ascii="仿宋_GB2312" w:eastAsia="仿宋_GB2312"/>
          <w:sz w:val="32"/>
          <w:szCs w:val="32"/>
        </w:rPr>
        <w:t>新疆维吾尔自治区水文局</w:t>
      </w:r>
      <w:r>
        <w:rPr>
          <w:rFonts w:hint="eastAsia" w:ascii="仿宋_GB2312" w:hAnsi="宋体" w:eastAsia="仿宋_GB2312" w:cs="宋体"/>
          <w:kern w:val="0"/>
          <w:sz w:val="32"/>
          <w:szCs w:val="32"/>
        </w:rPr>
        <w:t>本级</w:t>
      </w:r>
      <w:r>
        <w:rPr>
          <w:rFonts w:hint="eastAsia" w:ascii="仿宋_GB2312" w:hAnsi="黑体" w:eastAsia="仿宋_GB2312" w:cs="宋体"/>
          <w:bCs/>
          <w:kern w:val="0"/>
          <w:sz w:val="32"/>
          <w:szCs w:val="32"/>
        </w:rPr>
        <w:t>下设</w:t>
      </w:r>
      <w:r>
        <w:rPr>
          <w:rFonts w:hint="eastAsia" w:ascii="仿宋_GB2312" w:eastAsia="仿宋_GB2312"/>
          <w:sz w:val="32"/>
          <w:szCs w:val="32"/>
        </w:rPr>
        <w:t>11</w:t>
      </w:r>
      <w:r>
        <w:rPr>
          <w:rFonts w:hint="eastAsia" w:ascii="仿宋_GB2312" w:hAnsi="黑体" w:eastAsia="仿宋_GB2312" w:cs="宋体"/>
          <w:bCs/>
          <w:kern w:val="0"/>
          <w:sz w:val="32"/>
          <w:szCs w:val="32"/>
        </w:rPr>
        <w:t>个处室，分别是：办公室、计划财务处、综合技术处、水文站网处、水情处、水文地质处、组织人事处、纪委（监察室）、离退休干部工作处、机关党委、工会</w:t>
      </w:r>
      <w:r>
        <w:rPr>
          <w:rFonts w:hint="eastAsia" w:ascii="仿宋_GB2312" w:hAnsi="宋体" w:eastAsia="仿宋_GB2312" w:cs="宋体"/>
          <w:kern w:val="0"/>
          <w:sz w:val="32"/>
          <w:szCs w:val="32"/>
        </w:rPr>
        <w:t>。</w:t>
      </w:r>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pacing w:val="0"/>
          <w:sz w:val="32"/>
          <w:szCs w:val="32"/>
          <w:highlight w:val="none"/>
          <w:lang w:eastAsia="zh-CN"/>
        </w:rPr>
      </w:pPr>
      <w:r>
        <w:rPr>
          <w:rFonts w:hint="eastAsia" w:ascii="仿宋_GB2312" w:eastAsia="仿宋_GB2312"/>
          <w:sz w:val="32"/>
          <w:szCs w:val="32"/>
        </w:rPr>
        <w:t>纳入新疆维吾尔自治区水文局</w:t>
      </w:r>
      <w:r>
        <w:rPr>
          <w:rFonts w:ascii="仿宋_GB2312" w:eastAsia="仿宋_GB2312"/>
          <w:sz w:val="32"/>
          <w:szCs w:val="32"/>
        </w:rPr>
        <w:t>202</w:t>
      </w:r>
      <w:r>
        <w:rPr>
          <w:rFonts w:hint="eastAsia" w:ascii="仿宋_GB2312" w:eastAsia="仿宋_GB2312"/>
          <w:sz w:val="32"/>
          <w:szCs w:val="32"/>
          <w:lang w:val="en-US" w:eastAsia="zh-CN"/>
        </w:rPr>
        <w:t>3</w:t>
      </w:r>
      <w:r>
        <w:rPr>
          <w:rFonts w:hint="eastAsia" w:ascii="仿宋_GB2312" w:eastAsia="仿宋_GB2312"/>
          <w:sz w:val="32"/>
          <w:szCs w:val="32"/>
        </w:rPr>
        <w:t>年度部门决算编制</w:t>
      </w:r>
      <w:r>
        <w:rPr>
          <w:rFonts w:hint="eastAsia" w:ascii="仿宋_GB2312" w:eastAsia="仿宋_GB2312"/>
          <w:color w:val="auto"/>
          <w:spacing w:val="0"/>
          <w:sz w:val="32"/>
          <w:szCs w:val="32"/>
          <w:highlight w:val="none"/>
        </w:rPr>
        <w:t>范围的</w:t>
      </w:r>
      <w:r>
        <w:rPr>
          <w:rFonts w:hint="eastAsia" w:ascii="仿宋_GB2312" w:eastAsia="仿宋_GB2312"/>
          <w:color w:val="auto"/>
          <w:spacing w:val="0"/>
          <w:sz w:val="32"/>
          <w:szCs w:val="32"/>
          <w:highlight w:val="none"/>
          <w:lang w:val="en-US" w:eastAsia="zh-CN"/>
        </w:rPr>
        <w:t>下属预算</w:t>
      </w:r>
      <w:r>
        <w:rPr>
          <w:rFonts w:hint="eastAsia" w:ascii="仿宋_GB2312" w:eastAsia="仿宋_GB2312"/>
          <w:color w:val="auto"/>
          <w:spacing w:val="0"/>
          <w:sz w:val="32"/>
          <w:szCs w:val="32"/>
          <w:highlight w:val="none"/>
        </w:rPr>
        <w:t>单位</w:t>
      </w:r>
      <w:r>
        <w:rPr>
          <w:rFonts w:hint="eastAsia" w:ascii="仿宋_GB2312" w:eastAsia="仿宋_GB2312"/>
          <w:color w:val="auto"/>
          <w:spacing w:val="0"/>
          <w:sz w:val="32"/>
          <w:szCs w:val="32"/>
          <w:highlight w:val="none"/>
          <w:lang w:val="en-US" w:eastAsia="zh-CN"/>
        </w:rPr>
        <w:t>包括</w:t>
      </w:r>
      <w:r>
        <w:rPr>
          <w:rFonts w:hint="eastAsia" w:ascii="仿宋_GB2312" w:eastAsia="仿宋_GB2312"/>
          <w:color w:val="auto"/>
          <w:spacing w:val="0"/>
          <w:sz w:val="32"/>
          <w:szCs w:val="32"/>
          <w:highlight w:val="none"/>
          <w:lang w:eastAsia="zh-CN"/>
        </w:rPr>
        <w:t>：</w:t>
      </w:r>
    </w:p>
    <w:p>
      <w:pPr>
        <w:keepNext w:val="0"/>
        <w:keepLines w:val="0"/>
        <w:pageBreakBefore w:val="0"/>
        <w:widowControl w:val="0"/>
        <w:numPr>
          <w:ilvl w:val="0"/>
          <w:numId w:val="1"/>
        </w:numPr>
        <w:kinsoku/>
        <w:wordWrap/>
        <w:overflowPunct/>
        <w:topLinePunct w:val="0"/>
        <w:bidi w:val="0"/>
        <w:adjustRightInd/>
        <w:snapToGrid/>
        <w:spacing w:line="240" w:lineRule="auto"/>
        <w:ind w:firstLine="640" w:firstLineChars="200"/>
        <w:textAlignment w:val="auto"/>
        <w:rPr>
          <w:rFonts w:hint="eastAsia" w:ascii="仿宋_GB2312" w:eastAsia="仿宋_GB2312"/>
          <w:sz w:val="32"/>
          <w:szCs w:val="32"/>
        </w:rPr>
      </w:pPr>
      <w:r>
        <w:rPr>
          <w:rFonts w:hint="eastAsia" w:ascii="仿宋_GB2312" w:eastAsia="仿宋_GB2312"/>
          <w:sz w:val="32"/>
          <w:szCs w:val="32"/>
        </w:rPr>
        <w:t>新疆维吾尔自治区水文局</w:t>
      </w:r>
    </w:p>
    <w:p>
      <w:pPr>
        <w:keepNext w:val="0"/>
        <w:keepLines w:val="0"/>
        <w:pageBreakBefore w:val="0"/>
        <w:widowControl w:val="0"/>
        <w:numPr>
          <w:ilvl w:val="0"/>
          <w:numId w:val="1"/>
        </w:numPr>
        <w:kinsoku/>
        <w:wordWrap/>
        <w:overflowPunct/>
        <w:topLinePunct w:val="0"/>
        <w:bidi w:val="0"/>
        <w:adjustRightInd/>
        <w:snapToGrid/>
        <w:spacing w:line="240" w:lineRule="auto"/>
        <w:ind w:firstLine="640" w:firstLineChars="200"/>
        <w:textAlignment w:val="auto"/>
        <w:rPr>
          <w:rFonts w:hint="eastAsia" w:ascii="仿宋_GB2312" w:eastAsia="仿宋_GB2312"/>
          <w:sz w:val="32"/>
          <w:szCs w:val="32"/>
          <w:lang w:eastAsia="zh-CN"/>
        </w:rPr>
      </w:pPr>
      <w:r>
        <w:rPr>
          <w:rFonts w:hint="eastAsia" w:ascii="仿宋_GB2312" w:eastAsia="仿宋_GB2312"/>
          <w:sz w:val="32"/>
          <w:szCs w:val="32"/>
        </w:rPr>
        <w:t>乌鲁木齐水文勘测局</w:t>
      </w:r>
    </w:p>
    <w:p>
      <w:pPr>
        <w:keepNext w:val="0"/>
        <w:keepLines w:val="0"/>
        <w:pageBreakBefore w:val="0"/>
        <w:widowControl w:val="0"/>
        <w:numPr>
          <w:ilvl w:val="0"/>
          <w:numId w:val="1"/>
        </w:numPr>
        <w:kinsoku/>
        <w:wordWrap/>
        <w:overflowPunct/>
        <w:topLinePunct w:val="0"/>
        <w:bidi w:val="0"/>
        <w:adjustRightInd/>
        <w:snapToGrid/>
        <w:spacing w:line="240" w:lineRule="auto"/>
        <w:ind w:firstLine="640" w:firstLineChars="200"/>
        <w:textAlignment w:val="auto"/>
        <w:rPr>
          <w:rFonts w:hint="eastAsia" w:ascii="仿宋_GB2312" w:eastAsia="仿宋_GB2312"/>
          <w:sz w:val="32"/>
          <w:szCs w:val="32"/>
          <w:lang w:eastAsia="zh-CN"/>
        </w:rPr>
      </w:pPr>
      <w:r>
        <w:rPr>
          <w:rFonts w:hint="eastAsia" w:ascii="仿宋_GB2312" w:eastAsia="仿宋_GB2312"/>
          <w:sz w:val="32"/>
          <w:szCs w:val="32"/>
        </w:rPr>
        <w:t>石河子水文勘测局</w:t>
      </w:r>
    </w:p>
    <w:p>
      <w:pPr>
        <w:keepNext w:val="0"/>
        <w:keepLines w:val="0"/>
        <w:pageBreakBefore w:val="0"/>
        <w:widowControl w:val="0"/>
        <w:numPr>
          <w:ilvl w:val="0"/>
          <w:numId w:val="1"/>
        </w:numPr>
        <w:kinsoku/>
        <w:wordWrap/>
        <w:overflowPunct/>
        <w:topLinePunct w:val="0"/>
        <w:bidi w:val="0"/>
        <w:adjustRightInd/>
        <w:snapToGrid/>
        <w:spacing w:line="240" w:lineRule="auto"/>
        <w:ind w:firstLine="640" w:firstLineChars="200"/>
        <w:textAlignment w:val="auto"/>
        <w:rPr>
          <w:rFonts w:hint="eastAsia" w:ascii="仿宋_GB2312" w:eastAsia="仿宋_GB2312"/>
          <w:sz w:val="32"/>
          <w:szCs w:val="32"/>
          <w:lang w:eastAsia="zh-CN"/>
        </w:rPr>
      </w:pPr>
      <w:r>
        <w:rPr>
          <w:rFonts w:hint="eastAsia" w:ascii="仿宋_GB2312" w:eastAsia="仿宋_GB2312"/>
          <w:sz w:val="32"/>
          <w:szCs w:val="32"/>
        </w:rPr>
        <w:t>昌吉水文勘测局</w:t>
      </w:r>
    </w:p>
    <w:p>
      <w:pPr>
        <w:keepNext w:val="0"/>
        <w:keepLines w:val="0"/>
        <w:pageBreakBefore w:val="0"/>
        <w:widowControl w:val="0"/>
        <w:numPr>
          <w:ilvl w:val="0"/>
          <w:numId w:val="1"/>
        </w:numPr>
        <w:kinsoku/>
        <w:wordWrap/>
        <w:overflowPunct/>
        <w:topLinePunct w:val="0"/>
        <w:bidi w:val="0"/>
        <w:adjustRightInd/>
        <w:snapToGrid/>
        <w:spacing w:line="240" w:lineRule="auto"/>
        <w:ind w:firstLine="640" w:firstLineChars="200"/>
        <w:textAlignment w:val="auto"/>
        <w:rPr>
          <w:rFonts w:hint="eastAsia" w:ascii="仿宋_GB2312" w:eastAsia="仿宋_GB2312"/>
          <w:sz w:val="32"/>
          <w:szCs w:val="32"/>
          <w:lang w:eastAsia="zh-CN"/>
        </w:rPr>
      </w:pPr>
      <w:r>
        <w:rPr>
          <w:rFonts w:hint="eastAsia" w:ascii="仿宋_GB2312" w:eastAsia="仿宋_GB2312"/>
          <w:sz w:val="32"/>
          <w:szCs w:val="32"/>
        </w:rPr>
        <w:t>哈密水文勘测局</w:t>
      </w:r>
    </w:p>
    <w:p>
      <w:pPr>
        <w:keepNext w:val="0"/>
        <w:keepLines w:val="0"/>
        <w:pageBreakBefore w:val="0"/>
        <w:widowControl w:val="0"/>
        <w:numPr>
          <w:ilvl w:val="0"/>
          <w:numId w:val="1"/>
        </w:numPr>
        <w:kinsoku/>
        <w:wordWrap/>
        <w:overflowPunct/>
        <w:topLinePunct w:val="0"/>
        <w:bidi w:val="0"/>
        <w:adjustRightInd/>
        <w:snapToGrid/>
        <w:spacing w:line="240" w:lineRule="auto"/>
        <w:ind w:firstLine="640" w:firstLineChars="200"/>
        <w:textAlignment w:val="auto"/>
        <w:rPr>
          <w:rFonts w:hint="eastAsia" w:ascii="仿宋_GB2312" w:eastAsia="仿宋_GB2312"/>
          <w:sz w:val="32"/>
          <w:szCs w:val="32"/>
          <w:lang w:eastAsia="zh-CN"/>
        </w:rPr>
      </w:pPr>
      <w:r>
        <w:rPr>
          <w:rFonts w:hint="eastAsia" w:ascii="仿宋_GB2312" w:eastAsia="仿宋_GB2312"/>
          <w:sz w:val="32"/>
          <w:szCs w:val="32"/>
        </w:rPr>
        <w:t>吐鲁番水文勘测局</w:t>
      </w:r>
    </w:p>
    <w:p>
      <w:pPr>
        <w:keepNext w:val="0"/>
        <w:keepLines w:val="0"/>
        <w:pageBreakBefore w:val="0"/>
        <w:widowControl w:val="0"/>
        <w:numPr>
          <w:ilvl w:val="0"/>
          <w:numId w:val="1"/>
        </w:numPr>
        <w:kinsoku/>
        <w:wordWrap/>
        <w:overflowPunct/>
        <w:topLinePunct w:val="0"/>
        <w:bidi w:val="0"/>
        <w:adjustRightInd/>
        <w:snapToGrid/>
        <w:spacing w:line="240" w:lineRule="auto"/>
        <w:ind w:firstLine="640" w:firstLineChars="200"/>
        <w:textAlignment w:val="auto"/>
        <w:rPr>
          <w:rFonts w:hint="eastAsia" w:ascii="仿宋_GB2312" w:eastAsia="仿宋_GB2312"/>
          <w:sz w:val="32"/>
          <w:szCs w:val="32"/>
          <w:lang w:eastAsia="zh-CN"/>
        </w:rPr>
      </w:pPr>
      <w:r>
        <w:rPr>
          <w:rFonts w:hint="eastAsia" w:ascii="仿宋_GB2312" w:eastAsia="仿宋_GB2312"/>
          <w:sz w:val="32"/>
          <w:szCs w:val="32"/>
        </w:rPr>
        <w:t>博尔塔拉水文勘测局</w:t>
      </w:r>
    </w:p>
    <w:p>
      <w:pPr>
        <w:keepNext w:val="0"/>
        <w:keepLines w:val="0"/>
        <w:pageBreakBefore w:val="0"/>
        <w:widowControl w:val="0"/>
        <w:numPr>
          <w:ilvl w:val="0"/>
          <w:numId w:val="1"/>
        </w:numPr>
        <w:kinsoku/>
        <w:wordWrap/>
        <w:overflowPunct/>
        <w:topLinePunct w:val="0"/>
        <w:bidi w:val="0"/>
        <w:adjustRightInd/>
        <w:snapToGrid/>
        <w:spacing w:line="240" w:lineRule="auto"/>
        <w:ind w:firstLine="640" w:firstLineChars="200"/>
        <w:textAlignment w:val="auto"/>
        <w:rPr>
          <w:rFonts w:hint="eastAsia" w:ascii="仿宋_GB2312" w:eastAsia="仿宋_GB2312"/>
          <w:sz w:val="32"/>
          <w:szCs w:val="32"/>
          <w:lang w:eastAsia="zh-CN"/>
        </w:rPr>
      </w:pPr>
      <w:r>
        <w:rPr>
          <w:rFonts w:hint="eastAsia" w:ascii="仿宋_GB2312" w:eastAsia="仿宋_GB2312"/>
          <w:sz w:val="32"/>
          <w:szCs w:val="32"/>
        </w:rPr>
        <w:t>和田水文勘测局</w:t>
      </w:r>
    </w:p>
    <w:p>
      <w:pPr>
        <w:keepNext w:val="0"/>
        <w:keepLines w:val="0"/>
        <w:pageBreakBefore w:val="0"/>
        <w:widowControl w:val="0"/>
        <w:numPr>
          <w:ilvl w:val="0"/>
          <w:numId w:val="1"/>
        </w:numPr>
        <w:kinsoku/>
        <w:wordWrap/>
        <w:overflowPunct/>
        <w:topLinePunct w:val="0"/>
        <w:bidi w:val="0"/>
        <w:adjustRightInd/>
        <w:snapToGrid/>
        <w:spacing w:line="240" w:lineRule="auto"/>
        <w:ind w:firstLine="640" w:firstLineChars="200"/>
        <w:textAlignment w:val="auto"/>
        <w:rPr>
          <w:rFonts w:hint="eastAsia" w:ascii="仿宋_GB2312" w:eastAsia="仿宋_GB2312"/>
          <w:sz w:val="32"/>
          <w:szCs w:val="32"/>
          <w:lang w:eastAsia="zh-CN"/>
        </w:rPr>
      </w:pPr>
      <w:r>
        <w:rPr>
          <w:rFonts w:hint="eastAsia" w:ascii="仿宋_GB2312" w:eastAsia="仿宋_GB2312"/>
          <w:sz w:val="32"/>
          <w:szCs w:val="32"/>
        </w:rPr>
        <w:t>克孜勒苏水文勘测局</w:t>
      </w:r>
    </w:p>
    <w:p>
      <w:pPr>
        <w:keepNext w:val="0"/>
        <w:keepLines w:val="0"/>
        <w:pageBreakBefore w:val="0"/>
        <w:widowControl w:val="0"/>
        <w:numPr>
          <w:ilvl w:val="0"/>
          <w:numId w:val="1"/>
        </w:numPr>
        <w:kinsoku/>
        <w:wordWrap/>
        <w:overflowPunct/>
        <w:topLinePunct w:val="0"/>
        <w:bidi w:val="0"/>
        <w:adjustRightInd/>
        <w:snapToGrid/>
        <w:spacing w:line="240" w:lineRule="auto"/>
        <w:ind w:firstLine="640" w:firstLineChars="200"/>
        <w:textAlignment w:val="auto"/>
        <w:rPr>
          <w:rFonts w:hint="eastAsia" w:ascii="仿宋_GB2312" w:eastAsia="仿宋_GB2312"/>
          <w:sz w:val="32"/>
          <w:szCs w:val="32"/>
          <w:lang w:eastAsia="zh-CN"/>
        </w:rPr>
      </w:pPr>
      <w:r>
        <w:rPr>
          <w:rFonts w:hint="eastAsia" w:ascii="仿宋_GB2312" w:eastAsia="仿宋_GB2312"/>
          <w:sz w:val="32"/>
          <w:szCs w:val="32"/>
        </w:rPr>
        <w:t>阿克苏水文勘测局</w:t>
      </w:r>
    </w:p>
    <w:p>
      <w:pPr>
        <w:keepNext w:val="0"/>
        <w:keepLines w:val="0"/>
        <w:pageBreakBefore w:val="0"/>
        <w:widowControl w:val="0"/>
        <w:numPr>
          <w:ilvl w:val="0"/>
          <w:numId w:val="1"/>
        </w:numPr>
        <w:kinsoku/>
        <w:wordWrap/>
        <w:overflowPunct/>
        <w:topLinePunct w:val="0"/>
        <w:bidi w:val="0"/>
        <w:adjustRightInd/>
        <w:snapToGrid/>
        <w:spacing w:line="240" w:lineRule="auto"/>
        <w:ind w:firstLine="640" w:firstLineChars="200"/>
        <w:textAlignment w:val="auto"/>
        <w:rPr>
          <w:rFonts w:hint="eastAsia" w:ascii="仿宋_GB2312" w:eastAsia="仿宋_GB2312"/>
          <w:sz w:val="32"/>
          <w:szCs w:val="32"/>
          <w:lang w:eastAsia="zh-CN"/>
        </w:rPr>
      </w:pPr>
      <w:r>
        <w:rPr>
          <w:rFonts w:hint="eastAsia" w:ascii="仿宋_GB2312" w:eastAsia="仿宋_GB2312"/>
          <w:sz w:val="32"/>
          <w:szCs w:val="32"/>
        </w:rPr>
        <w:t>阿勒泰水文勘测局</w:t>
      </w:r>
    </w:p>
    <w:p>
      <w:pPr>
        <w:keepNext w:val="0"/>
        <w:keepLines w:val="0"/>
        <w:pageBreakBefore w:val="0"/>
        <w:widowControl w:val="0"/>
        <w:numPr>
          <w:ilvl w:val="0"/>
          <w:numId w:val="1"/>
        </w:numPr>
        <w:kinsoku/>
        <w:wordWrap/>
        <w:overflowPunct/>
        <w:topLinePunct w:val="0"/>
        <w:bidi w:val="0"/>
        <w:adjustRightInd/>
        <w:snapToGrid/>
        <w:spacing w:line="240" w:lineRule="auto"/>
        <w:ind w:firstLine="640" w:firstLineChars="200"/>
        <w:textAlignment w:val="auto"/>
        <w:rPr>
          <w:rFonts w:hint="eastAsia" w:ascii="仿宋_GB2312" w:eastAsia="仿宋_GB2312"/>
          <w:sz w:val="32"/>
          <w:szCs w:val="32"/>
          <w:lang w:eastAsia="zh-CN"/>
        </w:rPr>
      </w:pPr>
      <w:r>
        <w:rPr>
          <w:rFonts w:hint="eastAsia" w:ascii="仿宋_GB2312" w:eastAsia="仿宋_GB2312"/>
          <w:sz w:val="32"/>
          <w:szCs w:val="32"/>
        </w:rPr>
        <w:t>喀什水文勘测局</w:t>
      </w:r>
    </w:p>
    <w:p>
      <w:pPr>
        <w:keepNext w:val="0"/>
        <w:keepLines w:val="0"/>
        <w:pageBreakBefore w:val="0"/>
        <w:widowControl w:val="0"/>
        <w:numPr>
          <w:ilvl w:val="0"/>
          <w:numId w:val="1"/>
        </w:numPr>
        <w:kinsoku/>
        <w:wordWrap/>
        <w:overflowPunct/>
        <w:topLinePunct w:val="0"/>
        <w:bidi w:val="0"/>
        <w:adjustRightInd/>
        <w:snapToGrid/>
        <w:spacing w:line="240" w:lineRule="auto"/>
        <w:ind w:firstLine="640" w:firstLineChars="200"/>
        <w:textAlignment w:val="auto"/>
        <w:rPr>
          <w:rFonts w:hint="eastAsia" w:ascii="仿宋_GB2312" w:eastAsia="仿宋_GB2312"/>
          <w:sz w:val="32"/>
          <w:szCs w:val="32"/>
          <w:lang w:eastAsia="zh-CN"/>
        </w:rPr>
      </w:pPr>
      <w:r>
        <w:rPr>
          <w:rFonts w:hint="eastAsia" w:ascii="仿宋_GB2312" w:eastAsia="仿宋_GB2312"/>
          <w:sz w:val="32"/>
          <w:szCs w:val="32"/>
        </w:rPr>
        <w:t>伊犁水文勘测局</w:t>
      </w:r>
    </w:p>
    <w:p>
      <w:pPr>
        <w:keepNext w:val="0"/>
        <w:keepLines w:val="0"/>
        <w:pageBreakBefore w:val="0"/>
        <w:widowControl w:val="0"/>
        <w:numPr>
          <w:ilvl w:val="0"/>
          <w:numId w:val="1"/>
        </w:numPr>
        <w:kinsoku/>
        <w:wordWrap/>
        <w:overflowPunct/>
        <w:topLinePunct w:val="0"/>
        <w:bidi w:val="0"/>
        <w:adjustRightInd/>
        <w:snapToGrid/>
        <w:spacing w:line="240" w:lineRule="auto"/>
        <w:ind w:firstLine="640" w:firstLineChars="200"/>
        <w:textAlignment w:val="auto"/>
        <w:rPr>
          <w:rFonts w:hint="eastAsia" w:ascii="仿宋_GB2312" w:eastAsia="仿宋_GB2312"/>
          <w:sz w:val="32"/>
          <w:szCs w:val="32"/>
          <w:lang w:eastAsia="zh-CN"/>
        </w:rPr>
      </w:pPr>
      <w:r>
        <w:rPr>
          <w:rFonts w:hint="eastAsia" w:ascii="仿宋_GB2312" w:eastAsia="仿宋_GB2312"/>
          <w:sz w:val="32"/>
          <w:szCs w:val="32"/>
        </w:rPr>
        <w:t>塔城水文勘测局</w:t>
      </w:r>
    </w:p>
    <w:p>
      <w:pPr>
        <w:keepNext w:val="0"/>
        <w:keepLines w:val="0"/>
        <w:pageBreakBefore w:val="0"/>
        <w:widowControl w:val="0"/>
        <w:numPr>
          <w:ilvl w:val="0"/>
          <w:numId w:val="1"/>
        </w:numPr>
        <w:kinsoku/>
        <w:wordWrap/>
        <w:overflowPunct/>
        <w:topLinePunct w:val="0"/>
        <w:bidi w:val="0"/>
        <w:adjustRightInd/>
        <w:snapToGrid/>
        <w:spacing w:line="240" w:lineRule="auto"/>
        <w:ind w:firstLine="640" w:firstLineChars="200"/>
        <w:textAlignment w:val="auto"/>
        <w:rPr>
          <w:rFonts w:hint="eastAsia" w:ascii="仿宋_GB2312" w:eastAsia="仿宋_GB2312"/>
          <w:sz w:val="32"/>
          <w:szCs w:val="32"/>
          <w:lang w:eastAsia="zh-CN"/>
        </w:rPr>
      </w:pPr>
      <w:r>
        <w:rPr>
          <w:rFonts w:hint="eastAsia" w:ascii="仿宋_GB2312" w:eastAsia="仿宋_GB2312"/>
          <w:sz w:val="32"/>
          <w:szCs w:val="32"/>
        </w:rPr>
        <w:t>巴音郭楞水文勘测局</w:t>
      </w:r>
    </w:p>
    <w:p>
      <w:pPr>
        <w:keepNext w:val="0"/>
        <w:keepLines w:val="0"/>
        <w:pageBreakBefore w:val="0"/>
        <w:widowControl w:val="0"/>
        <w:numPr>
          <w:ilvl w:val="0"/>
          <w:numId w:val="1"/>
        </w:numPr>
        <w:kinsoku/>
        <w:wordWrap/>
        <w:overflowPunct/>
        <w:topLinePunct w:val="0"/>
        <w:bidi w:val="0"/>
        <w:adjustRightInd/>
        <w:snapToGrid/>
        <w:spacing w:line="240" w:lineRule="auto"/>
        <w:ind w:firstLine="640" w:firstLineChars="200"/>
        <w:textAlignment w:val="auto"/>
        <w:rPr>
          <w:rFonts w:hint="eastAsia" w:ascii="仿宋_GB2312" w:eastAsia="仿宋_GB2312"/>
          <w:sz w:val="32"/>
          <w:szCs w:val="32"/>
          <w:lang w:eastAsia="zh-CN"/>
        </w:rPr>
      </w:pPr>
      <w:r>
        <w:rPr>
          <w:rFonts w:hint="eastAsia" w:ascii="仿宋_GB2312" w:eastAsia="仿宋_GB2312"/>
          <w:sz w:val="32"/>
          <w:szCs w:val="32"/>
        </w:rPr>
        <w:t>新疆维吾尔自治区水文局水文实验站</w:t>
      </w:r>
    </w:p>
    <w:p>
      <w:pPr>
        <w:keepNext w:val="0"/>
        <w:keepLines w:val="0"/>
        <w:pageBreakBefore w:val="0"/>
        <w:widowControl w:val="0"/>
        <w:numPr>
          <w:ilvl w:val="0"/>
          <w:numId w:val="1"/>
        </w:numPr>
        <w:kinsoku/>
        <w:wordWrap/>
        <w:overflowPunct/>
        <w:topLinePunct w:val="0"/>
        <w:bidi w:val="0"/>
        <w:adjustRightInd/>
        <w:snapToGrid/>
        <w:spacing w:line="240" w:lineRule="auto"/>
        <w:ind w:firstLine="640" w:firstLineChars="200"/>
        <w:textAlignment w:val="auto"/>
        <w:rPr>
          <w:rFonts w:hint="eastAsia" w:ascii="仿宋_GB2312" w:eastAsia="仿宋_GB2312"/>
          <w:sz w:val="32"/>
          <w:szCs w:val="32"/>
          <w:lang w:eastAsia="zh-CN"/>
        </w:rPr>
      </w:pPr>
      <w:r>
        <w:rPr>
          <w:rFonts w:hint="eastAsia" w:ascii="仿宋_GB2312" w:eastAsia="仿宋_GB2312"/>
          <w:sz w:val="32"/>
          <w:szCs w:val="32"/>
        </w:rPr>
        <w:t>新疆维吾尔自治区水文分析计算中心</w:t>
      </w:r>
    </w:p>
    <w:p>
      <w:pPr>
        <w:keepNext w:val="0"/>
        <w:keepLines w:val="0"/>
        <w:pageBreakBefore w:val="0"/>
        <w:widowControl w:val="0"/>
        <w:numPr>
          <w:ilvl w:val="0"/>
          <w:numId w:val="1"/>
        </w:numPr>
        <w:kinsoku/>
        <w:wordWrap/>
        <w:overflowPunct/>
        <w:topLinePunct w:val="0"/>
        <w:bidi w:val="0"/>
        <w:adjustRightInd/>
        <w:snapToGrid/>
        <w:spacing w:line="240" w:lineRule="auto"/>
        <w:ind w:firstLine="640" w:firstLineChars="200"/>
        <w:textAlignment w:val="auto"/>
        <w:rPr>
          <w:rFonts w:hint="eastAsia" w:ascii="仿宋_GB2312" w:eastAsia="仿宋_GB2312"/>
          <w:sz w:val="32"/>
          <w:szCs w:val="32"/>
          <w:lang w:eastAsia="zh-CN"/>
        </w:rPr>
      </w:pPr>
      <w:r>
        <w:rPr>
          <w:rFonts w:hint="eastAsia" w:ascii="仿宋_GB2312" w:eastAsia="仿宋_GB2312"/>
          <w:sz w:val="32"/>
          <w:szCs w:val="32"/>
        </w:rPr>
        <w:t>新疆维吾尔自治区水文信息中心</w:t>
      </w:r>
    </w:p>
    <w:p>
      <w:pPr>
        <w:keepNext w:val="0"/>
        <w:keepLines w:val="0"/>
        <w:pageBreakBefore w:val="0"/>
        <w:widowControl w:val="0"/>
        <w:numPr>
          <w:ilvl w:val="0"/>
          <w:numId w:val="1"/>
        </w:numPr>
        <w:kinsoku/>
        <w:wordWrap/>
        <w:overflowPunct/>
        <w:topLinePunct w:val="0"/>
        <w:bidi w:val="0"/>
        <w:adjustRightInd/>
        <w:snapToGrid/>
        <w:spacing w:line="240" w:lineRule="auto"/>
        <w:ind w:firstLine="640" w:firstLineChars="200"/>
        <w:textAlignment w:val="auto"/>
        <w:rPr>
          <w:rFonts w:hint="eastAsia" w:ascii="仿宋_GB2312" w:eastAsia="仿宋_GB2312"/>
          <w:sz w:val="32"/>
          <w:szCs w:val="32"/>
          <w:lang w:eastAsia="zh-CN"/>
        </w:rPr>
      </w:pPr>
      <w:r>
        <w:rPr>
          <w:rFonts w:hint="eastAsia" w:ascii="仿宋_GB2312" w:eastAsia="仿宋_GB2312"/>
          <w:sz w:val="32"/>
          <w:szCs w:val="32"/>
        </w:rPr>
        <w:t>新疆维吾尔自治区水环境中心</w:t>
      </w:r>
      <w:r>
        <w:rPr>
          <w:rFonts w:hint="eastAsia" w:ascii="仿宋_GB2312" w:eastAsia="仿宋_GB2312"/>
          <w:sz w:val="32"/>
          <w:szCs w:val="32"/>
          <w:lang w:eastAsia="zh-CN"/>
        </w:rPr>
        <w:t>。</w:t>
      </w:r>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sz w:val="32"/>
          <w:szCs w:val="32"/>
        </w:rPr>
      </w:pPr>
      <w:bookmarkStart w:id="6" w:name="_Toc29374"/>
      <w:bookmarkStart w:id="7" w:name="_Toc3092"/>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二</w:t>
      </w:r>
      <w:r>
        <w:rPr>
          <w:rFonts w:hint="eastAsia" w:ascii="黑体" w:hAnsi="黑体" w:eastAsia="黑体"/>
          <w:color w:val="auto"/>
          <w:sz w:val="32"/>
          <w:szCs w:val="32"/>
          <w:highlight w:val="none"/>
        </w:rPr>
        <w:t>部分 部门决算情况说明</w:t>
      </w:r>
      <w:bookmarkEnd w:id="6"/>
      <w:bookmarkEnd w:id="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8" w:name="_Toc12566"/>
      <w:bookmarkStart w:id="9" w:name="_Toc25314"/>
      <w:r>
        <w:rPr>
          <w:rFonts w:hint="eastAsia" w:ascii="黑体" w:hAnsi="黑体" w:eastAsia="黑体" w:cs="宋体"/>
          <w:bCs/>
          <w:color w:val="auto"/>
          <w:kern w:val="0"/>
          <w:sz w:val="32"/>
          <w:szCs w:val="32"/>
          <w:highlight w:val="none"/>
        </w:rPr>
        <w:t>一、收入支出决算总体情况说明</w:t>
      </w:r>
      <w:bookmarkEnd w:id="8"/>
      <w:bookmarkEnd w:id="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pacing w:val="0"/>
          <w:sz w:val="32"/>
          <w:szCs w:val="32"/>
          <w:highlight w:val="none"/>
          <w:lang w:val="en-US" w:eastAsia="zh-CN"/>
        </w:rPr>
        <w:t>收入总计</w:t>
      </w:r>
      <w:r>
        <w:rPr>
          <w:rFonts w:hint="eastAsia" w:ascii="仿宋_GB2312" w:eastAsia="仿宋_GB2312"/>
          <w:color w:val="auto"/>
          <w:spacing w:val="0"/>
          <w:sz w:val="32"/>
          <w:szCs w:val="32"/>
          <w:highlight w:val="none"/>
          <w:lang w:eastAsia="zh-CN"/>
        </w:rPr>
        <w:t>32,222.67万元，</w:t>
      </w:r>
      <w:r>
        <w:rPr>
          <w:rFonts w:hint="eastAsia" w:ascii="仿宋_GB2312" w:eastAsia="仿宋_GB2312"/>
          <w:color w:val="auto"/>
          <w:spacing w:val="0"/>
          <w:sz w:val="32"/>
          <w:szCs w:val="32"/>
          <w:highlight w:val="none"/>
          <w:lang w:val="en-US" w:eastAsia="zh-CN"/>
        </w:rPr>
        <w:t>其中：本年收入合计</w:t>
      </w:r>
      <w:r>
        <w:rPr>
          <w:rFonts w:hint="eastAsia" w:ascii="仿宋_GB2312" w:eastAsia="仿宋_GB2312"/>
          <w:color w:val="auto"/>
          <w:spacing w:val="0"/>
          <w:sz w:val="32"/>
          <w:szCs w:val="32"/>
          <w:highlight w:val="none"/>
          <w:lang w:eastAsia="zh-CN"/>
        </w:rPr>
        <w:t>29,853.33万元，使用非财政拨款结余547.06万元，年初结转和结余1,822.28万元。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2023</w:t>
      </w:r>
      <w:r>
        <w:rPr>
          <w:rFonts w:hint="eastAsia" w:ascii="仿宋_GB2312" w:eastAsia="仿宋_GB2312"/>
          <w:color w:val="auto"/>
          <w:spacing w:val="0"/>
          <w:sz w:val="32"/>
          <w:szCs w:val="32"/>
          <w:highlight w:val="none"/>
          <w:lang w:eastAsia="zh-CN"/>
        </w:rPr>
        <w:t>年</w:t>
      </w:r>
      <w:r>
        <w:rPr>
          <w:rFonts w:hint="eastAsia" w:ascii="仿宋_GB2312" w:eastAsia="仿宋_GB2312"/>
          <w:color w:val="auto"/>
          <w:spacing w:val="0"/>
          <w:sz w:val="32"/>
          <w:szCs w:val="32"/>
          <w:highlight w:val="none"/>
          <w:lang w:val="en-US" w:eastAsia="zh-CN"/>
        </w:rPr>
        <w:t>度</w:t>
      </w:r>
      <w:r>
        <w:rPr>
          <w:rFonts w:hint="eastAsia" w:ascii="仿宋_GB2312" w:eastAsia="仿宋_GB2312"/>
          <w:color w:val="auto"/>
          <w:spacing w:val="0"/>
          <w:sz w:val="32"/>
          <w:szCs w:val="32"/>
          <w:highlight w:val="none"/>
          <w:lang w:eastAsia="zh-CN"/>
        </w:rPr>
        <w:t>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eastAsia="zh-CN"/>
        </w:rPr>
        <w:t>32,222.67万元，</w:t>
      </w:r>
      <w:r>
        <w:rPr>
          <w:rFonts w:hint="eastAsia" w:ascii="仿宋_GB2312" w:eastAsia="仿宋_GB2312"/>
          <w:color w:val="auto"/>
          <w:spacing w:val="0"/>
          <w:sz w:val="32"/>
          <w:szCs w:val="32"/>
          <w:highlight w:val="none"/>
          <w:lang w:val="en-US" w:eastAsia="zh-CN"/>
        </w:rPr>
        <w:t>其中：本年支出合计</w:t>
      </w:r>
      <w:r>
        <w:rPr>
          <w:rFonts w:hint="eastAsia" w:ascii="仿宋_GB2312" w:eastAsia="仿宋_GB2312"/>
          <w:color w:val="auto"/>
          <w:spacing w:val="0"/>
          <w:sz w:val="32"/>
          <w:szCs w:val="32"/>
          <w:highlight w:val="none"/>
          <w:lang w:eastAsia="zh-CN"/>
        </w:rPr>
        <w:t>30,417.91万元，</w:t>
      </w:r>
      <w:r>
        <w:rPr>
          <w:rFonts w:hint="eastAsia" w:ascii="仿宋_GB2312" w:eastAsia="仿宋_GB2312"/>
          <w:color w:val="auto"/>
          <w:spacing w:val="0"/>
          <w:sz w:val="32"/>
          <w:szCs w:val="32"/>
          <w:highlight w:val="none"/>
          <w:lang w:val="en-US" w:eastAsia="zh-CN"/>
        </w:rPr>
        <w:t>结余分配</w:t>
      </w:r>
      <w:r>
        <w:rPr>
          <w:rFonts w:hint="eastAsia" w:ascii="仿宋_GB2312" w:eastAsia="仿宋_GB2312"/>
          <w:color w:val="auto"/>
          <w:spacing w:val="0"/>
          <w:sz w:val="32"/>
          <w:szCs w:val="32"/>
          <w:highlight w:val="none"/>
          <w:lang w:eastAsia="zh-CN"/>
        </w:rPr>
        <w:t>953.26万元，年末结转和结余851.50万元。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收入支出总体与上年相比</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增加742.51</w:t>
      </w:r>
      <w:r>
        <w:rPr>
          <w:rFonts w:hint="eastAsia" w:ascii="仿宋_GB2312" w:eastAsia="仿宋_GB2312"/>
          <w:color w:val="auto"/>
          <w:spacing w:val="0"/>
          <w:sz w:val="32"/>
          <w:szCs w:val="32"/>
          <w:highlight w:val="none"/>
          <w:lang w:val="zh-CN" w:eastAsia="zh-CN"/>
        </w:rPr>
        <w:t>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增长2.36</w:t>
      </w:r>
      <w:r>
        <w:rPr>
          <w:rFonts w:hint="eastAsia" w:ascii="仿宋_GB2312" w:eastAsia="仿宋_GB2312"/>
          <w:color w:val="auto"/>
          <w:spacing w:val="0"/>
          <w:sz w:val="32"/>
          <w:szCs w:val="32"/>
          <w:highlight w:val="none"/>
          <w:lang w:eastAsia="zh-CN"/>
        </w:rPr>
        <w:t>%，主要原因是：水利工程建设</w:t>
      </w:r>
      <w:r>
        <w:rPr>
          <w:rFonts w:hint="eastAsia" w:ascii="仿宋_GB2312" w:eastAsia="仿宋_GB2312"/>
          <w:color w:val="auto"/>
          <w:spacing w:val="0"/>
          <w:sz w:val="32"/>
          <w:szCs w:val="32"/>
          <w:highlight w:val="none"/>
          <w:lang w:val="en-US" w:eastAsia="zh-CN"/>
        </w:rPr>
        <w:t>项目和水资源节约管理与保护项目增加</w:t>
      </w:r>
      <w:r>
        <w:rPr>
          <w:rFonts w:hint="eastAsia" w:ascii="仿宋_GB2312" w:eastAsia="仿宋_GB2312"/>
          <w:color w:val="auto"/>
          <w:spacing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rPr>
      </w:pPr>
      <w:bookmarkStart w:id="10" w:name="_Toc12142"/>
      <w:bookmarkStart w:id="11" w:name="_Toc1979"/>
      <w:r>
        <w:rPr>
          <w:rFonts w:hint="eastAsia" w:ascii="黑体" w:hAnsi="黑体" w:eastAsia="黑体" w:cs="宋体"/>
          <w:bCs/>
          <w:color w:val="auto"/>
          <w:kern w:val="0"/>
          <w:sz w:val="32"/>
          <w:szCs w:val="32"/>
          <w:highlight w:val="none"/>
          <w:lang w:eastAsia="zh-CN"/>
        </w:rPr>
        <w:t>二、</w:t>
      </w:r>
      <w:r>
        <w:rPr>
          <w:rFonts w:hint="eastAsia" w:ascii="黑体" w:hAnsi="黑体" w:eastAsia="黑体" w:cs="宋体"/>
          <w:bCs/>
          <w:color w:val="auto"/>
          <w:kern w:val="0"/>
          <w:sz w:val="32"/>
          <w:szCs w:val="32"/>
          <w:highlight w:val="none"/>
        </w:rPr>
        <w:t>收入</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情况说明</w:t>
      </w:r>
      <w:bookmarkEnd w:id="10"/>
      <w:bookmarkEnd w:id="1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本年收入</w:t>
      </w:r>
      <w:r>
        <w:rPr>
          <w:rFonts w:hint="eastAsia" w:ascii="仿宋_GB2312" w:eastAsia="仿宋_GB2312"/>
          <w:color w:val="auto"/>
          <w:sz w:val="32"/>
          <w:szCs w:val="32"/>
          <w:highlight w:val="none"/>
          <w:lang w:eastAsia="zh-CN"/>
        </w:rPr>
        <w:t>29,853.33</w:t>
      </w:r>
      <w:r>
        <w:rPr>
          <w:rFonts w:hint="eastAsia" w:ascii="仿宋_GB2312" w:eastAsia="仿宋_GB2312"/>
          <w:color w:val="auto"/>
          <w:sz w:val="32"/>
          <w:szCs w:val="32"/>
          <w:highlight w:val="none"/>
        </w:rPr>
        <w:t>万元，其中：财政拨款收入</w:t>
      </w:r>
      <w:r>
        <w:rPr>
          <w:rFonts w:hint="eastAsia" w:ascii="仿宋_GB2312" w:eastAsia="仿宋_GB2312"/>
          <w:color w:val="auto"/>
          <w:sz w:val="32"/>
          <w:szCs w:val="32"/>
          <w:highlight w:val="none"/>
          <w:lang w:val="zh-CN"/>
        </w:rPr>
        <w:t>26,033.08</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en-US" w:eastAsia="zh-CN"/>
        </w:rPr>
        <w:t>87.20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；上级补助收入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；事业收入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；经营收入</w:t>
      </w:r>
      <w:r>
        <w:rPr>
          <w:rFonts w:hint="eastAsia" w:ascii="仿宋_GB2312" w:eastAsia="仿宋_GB2312"/>
          <w:color w:val="auto"/>
          <w:sz w:val="32"/>
          <w:szCs w:val="32"/>
          <w:highlight w:val="none"/>
          <w:lang w:val="zh-CN"/>
        </w:rPr>
        <w:t>3,531.49</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en-US" w:eastAsia="zh-CN"/>
        </w:rPr>
        <w:t>11.83</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附属单位上缴收入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；其他收入</w:t>
      </w:r>
      <w:r>
        <w:rPr>
          <w:rFonts w:hint="eastAsia" w:ascii="仿宋_GB2312" w:eastAsia="仿宋_GB2312"/>
          <w:color w:val="auto"/>
          <w:sz w:val="32"/>
          <w:szCs w:val="32"/>
          <w:highlight w:val="none"/>
          <w:lang w:val="zh-CN"/>
        </w:rPr>
        <w:t>288.75</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en-US" w:eastAsia="zh-CN"/>
        </w:rPr>
        <w:t>0.97</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2" w:name="_Toc13201"/>
      <w:bookmarkStart w:id="13" w:name="_Toc27961"/>
      <w:r>
        <w:rPr>
          <w:rFonts w:hint="eastAsia" w:ascii="黑体" w:hAnsi="黑体" w:eastAsia="黑体" w:cs="宋体"/>
          <w:bCs/>
          <w:color w:val="auto"/>
          <w:kern w:val="0"/>
          <w:sz w:val="32"/>
          <w:szCs w:val="32"/>
          <w:highlight w:val="none"/>
          <w:lang w:eastAsia="zh-CN"/>
        </w:rPr>
        <w:t>三、支出决算情况说明</w:t>
      </w:r>
      <w:bookmarkEnd w:id="12"/>
      <w:bookmarkEnd w:id="1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仿宋_GB2312"/>
          <w:color w:val="auto"/>
          <w:sz w:val="30"/>
          <w:szCs w:val="30"/>
          <w:highlight w:val="none"/>
          <w:lang w:val="zh-CN" w:eastAsia="zh-CN"/>
        </w:rPr>
      </w:pPr>
      <w:r>
        <w:rPr>
          <w:rFonts w:hint="eastAsia" w:ascii="Times New Roman" w:hAnsi="Times New Roman" w:eastAsia="仿宋_GB2312" w:cs="仿宋_GB2312"/>
          <w:color w:val="auto"/>
          <w:sz w:val="32"/>
          <w:szCs w:val="32"/>
          <w:highlight w:val="none"/>
          <w:lang w:val="zh-CN" w:eastAsia="zh-CN"/>
        </w:rPr>
        <w:t>本年支出30,417.91万元，其中：基本支出19,586.47万元，占</w:t>
      </w:r>
      <w:r>
        <w:rPr>
          <w:rFonts w:hint="eastAsia" w:eastAsia="仿宋_GB2312" w:cs="仿宋_GB2312"/>
          <w:color w:val="auto"/>
          <w:sz w:val="32"/>
          <w:szCs w:val="32"/>
          <w:highlight w:val="none"/>
          <w:lang w:val="en-US" w:eastAsia="zh-CN"/>
        </w:rPr>
        <w:t>64.39</w:t>
      </w:r>
      <w:r>
        <w:rPr>
          <w:rFonts w:hint="eastAsia" w:ascii="Times New Roman" w:hAnsi="Times New Roman" w:eastAsia="仿宋_GB2312" w:cs="仿宋_GB2312"/>
          <w:color w:val="auto"/>
          <w:sz w:val="32"/>
          <w:szCs w:val="32"/>
          <w:highlight w:val="none"/>
          <w:lang w:val="zh-CN" w:eastAsia="zh-CN"/>
        </w:rPr>
        <w:t>%；项目支出8,252.94万元，占</w:t>
      </w:r>
      <w:r>
        <w:rPr>
          <w:rFonts w:hint="eastAsia" w:eastAsia="仿宋_GB2312" w:cs="仿宋_GB2312"/>
          <w:color w:val="auto"/>
          <w:sz w:val="32"/>
          <w:szCs w:val="32"/>
          <w:highlight w:val="none"/>
          <w:lang w:val="en-US" w:eastAsia="zh-CN"/>
        </w:rPr>
        <w:t>27.13</w:t>
      </w:r>
      <w:r>
        <w:rPr>
          <w:rFonts w:hint="eastAsia" w:ascii="Times New Roman" w:hAnsi="Times New Roman" w:eastAsia="仿宋_GB2312" w:cs="仿宋_GB2312"/>
          <w:color w:val="auto"/>
          <w:sz w:val="32"/>
          <w:szCs w:val="32"/>
          <w:highlight w:val="none"/>
          <w:lang w:val="zh-CN" w:eastAsia="zh-CN"/>
        </w:rPr>
        <w:t>%；上缴上级支出0.00万元，占0.00%；经营支出2,578.50万元，占</w:t>
      </w:r>
      <w:r>
        <w:rPr>
          <w:rFonts w:hint="eastAsia" w:eastAsia="仿宋_GB2312" w:cs="仿宋_GB2312"/>
          <w:color w:val="auto"/>
          <w:sz w:val="32"/>
          <w:szCs w:val="32"/>
          <w:highlight w:val="none"/>
          <w:lang w:val="en-US" w:eastAsia="zh-CN"/>
        </w:rPr>
        <w:t>8.48</w:t>
      </w:r>
      <w:r>
        <w:rPr>
          <w:rFonts w:hint="eastAsia" w:ascii="Times New Roman" w:hAnsi="Times New Roman" w:eastAsia="仿宋_GB2312" w:cs="仿宋_GB2312"/>
          <w:color w:val="auto"/>
          <w:sz w:val="32"/>
          <w:szCs w:val="32"/>
          <w:highlight w:val="none"/>
          <w:lang w:val="zh-CN" w:eastAsia="zh-CN"/>
        </w:rPr>
        <w:t>%；对附属单位补助支出0.00万元，占0.00%。</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4" w:name="_Toc4393"/>
      <w:bookmarkStart w:id="15" w:name="_Toc26564"/>
      <w:r>
        <w:rPr>
          <w:rFonts w:hint="eastAsia" w:ascii="黑体" w:hAnsi="黑体" w:eastAsia="黑体" w:cs="宋体"/>
          <w:bCs/>
          <w:color w:val="auto"/>
          <w:kern w:val="0"/>
          <w:sz w:val="32"/>
          <w:szCs w:val="32"/>
          <w:highlight w:val="none"/>
          <w:lang w:eastAsia="zh-CN"/>
        </w:rPr>
        <w:t>四、财政拨款收入支出决算总体情况说明</w:t>
      </w:r>
      <w:bookmarkEnd w:id="14"/>
      <w:bookmarkEnd w:id="1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2023年度财政拨款收入</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27,451.71</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其中：年初财政拨款结转和结余</w:t>
      </w:r>
      <w:r>
        <w:rPr>
          <w:rFonts w:hint="eastAsia" w:ascii="仿宋_GB2312" w:eastAsia="仿宋_GB2312"/>
          <w:color w:val="auto"/>
          <w:spacing w:val="0"/>
          <w:sz w:val="32"/>
          <w:szCs w:val="32"/>
          <w:highlight w:val="none"/>
          <w:lang w:val="zh-CN" w:eastAsia="zh-CN"/>
        </w:rPr>
        <w:t>1,418.64</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本年财政拨款收入</w:t>
      </w:r>
      <w:r>
        <w:rPr>
          <w:rFonts w:hint="eastAsia" w:ascii="仿宋_GB2312" w:eastAsia="仿宋_GB2312"/>
          <w:color w:val="auto"/>
          <w:spacing w:val="0"/>
          <w:sz w:val="32"/>
          <w:szCs w:val="32"/>
          <w:highlight w:val="none"/>
          <w:lang w:val="zh-CN" w:eastAsia="zh-CN"/>
        </w:rPr>
        <w:t>26,033.08</w:t>
      </w:r>
      <w:r>
        <w:rPr>
          <w:rFonts w:hint="eastAsia" w:ascii="仿宋_GB2312" w:eastAsia="仿宋_GB2312"/>
          <w:color w:val="auto"/>
          <w:spacing w:val="0"/>
          <w:sz w:val="32"/>
          <w:szCs w:val="32"/>
          <w:highlight w:val="none"/>
          <w:lang w:eastAsia="zh-CN"/>
        </w:rPr>
        <w:t>万元。财政拨款支出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27,451.71</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其中：年末财政拨款结转和结余</w:t>
      </w:r>
      <w:r>
        <w:rPr>
          <w:rFonts w:hint="eastAsia" w:ascii="仿宋_GB2312" w:eastAsia="仿宋_GB2312"/>
          <w:color w:val="auto"/>
          <w:spacing w:val="0"/>
          <w:sz w:val="32"/>
          <w:szCs w:val="32"/>
          <w:highlight w:val="none"/>
          <w:lang w:val="zh-CN" w:eastAsia="zh-CN"/>
        </w:rPr>
        <w:t>608.40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本年财政拨款支出</w:t>
      </w:r>
      <w:r>
        <w:rPr>
          <w:rFonts w:hint="eastAsia" w:ascii="仿宋_GB2312" w:eastAsia="仿宋_GB2312"/>
          <w:color w:val="auto"/>
          <w:spacing w:val="0"/>
          <w:sz w:val="32"/>
          <w:szCs w:val="32"/>
          <w:highlight w:val="none"/>
          <w:lang w:val="zh-CN" w:eastAsia="zh-CN"/>
        </w:rPr>
        <w:t>26,843.31</w:t>
      </w:r>
      <w:r>
        <w:rPr>
          <w:rFonts w:hint="eastAsia" w:ascii="仿宋_GB2312" w:eastAsia="仿宋_GB2312"/>
          <w:color w:val="auto"/>
          <w:spacing w:val="0"/>
          <w:sz w:val="32"/>
          <w:szCs w:val="32"/>
          <w:highlight w:val="none"/>
          <w:lang w:eastAsia="zh-CN"/>
        </w:rPr>
        <w:t>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财政拨款收入支出总体与上年相比</w:t>
      </w:r>
      <w:r>
        <w:rPr>
          <w:rFonts w:hint="eastAsia" w:ascii="仿宋_GB2312" w:eastAsia="仿宋_GB2312"/>
          <w:color w:val="auto"/>
          <w:spacing w:val="0"/>
          <w:sz w:val="32"/>
          <w:szCs w:val="32"/>
          <w:highlight w:val="none"/>
          <w:lang w:val="en-US" w:eastAsia="zh-CN"/>
        </w:rPr>
        <w:t>,增加1399.33</w:t>
      </w:r>
      <w:r>
        <w:rPr>
          <w:rFonts w:hint="eastAsia" w:ascii="仿宋_GB2312" w:eastAsia="仿宋_GB2312"/>
          <w:color w:val="auto"/>
          <w:spacing w:val="0"/>
          <w:sz w:val="32"/>
          <w:szCs w:val="32"/>
          <w:highlight w:val="none"/>
          <w:lang w:val="zh-CN" w:eastAsia="zh-CN"/>
        </w:rPr>
        <w:t>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增长5.37%,</w:t>
      </w:r>
      <w:r>
        <w:rPr>
          <w:rFonts w:hint="eastAsia" w:ascii="仿宋_GB2312" w:eastAsia="仿宋_GB2312"/>
          <w:color w:val="auto"/>
          <w:spacing w:val="0"/>
          <w:sz w:val="32"/>
          <w:szCs w:val="32"/>
          <w:highlight w:val="none"/>
          <w:lang w:eastAsia="zh-CN"/>
        </w:rPr>
        <w:t>主要原因是：水利工程建设</w:t>
      </w:r>
      <w:r>
        <w:rPr>
          <w:rFonts w:hint="eastAsia" w:ascii="仿宋_GB2312" w:eastAsia="仿宋_GB2312"/>
          <w:color w:val="auto"/>
          <w:spacing w:val="0"/>
          <w:sz w:val="32"/>
          <w:szCs w:val="32"/>
          <w:highlight w:val="none"/>
          <w:lang w:val="en-US" w:eastAsia="zh-CN"/>
        </w:rPr>
        <w:t>项目和水资源节约管理与保护项目增加</w:t>
      </w:r>
      <w:r>
        <w:rPr>
          <w:rFonts w:hint="eastAsia" w:ascii="仿宋_GB2312" w:eastAsia="仿宋_GB2312"/>
          <w:color w:val="auto"/>
          <w:spacing w:val="0"/>
          <w:sz w:val="32"/>
          <w:szCs w:val="32"/>
          <w:highlight w:val="none"/>
          <w:lang w:eastAsia="zh-CN"/>
        </w:rPr>
        <w:t>。与年初预算相比，年初预算数</w:t>
      </w:r>
      <w:r>
        <w:rPr>
          <w:rFonts w:hint="eastAsia" w:ascii="仿宋_GB2312" w:eastAsia="仿宋_GB2312"/>
          <w:color w:val="auto"/>
          <w:spacing w:val="0"/>
          <w:sz w:val="32"/>
          <w:szCs w:val="32"/>
          <w:highlight w:val="none"/>
          <w:lang w:val="zh-CN" w:eastAsia="zh-CN"/>
        </w:rPr>
        <w:t>19,083.35</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27,451.71</w:t>
      </w:r>
      <w:r>
        <w:rPr>
          <w:rFonts w:hint="eastAsia" w:ascii="仿宋_GB2312" w:eastAsia="仿宋_GB2312"/>
          <w:color w:val="auto"/>
          <w:spacing w:val="0"/>
          <w:sz w:val="32"/>
          <w:szCs w:val="32"/>
          <w:highlight w:val="none"/>
          <w:lang w:eastAsia="zh-CN"/>
        </w:rPr>
        <w:t>万元，预决算差异率43.85%，主要原因是：水利工程建设</w:t>
      </w:r>
      <w:r>
        <w:rPr>
          <w:rFonts w:hint="eastAsia" w:ascii="仿宋_GB2312" w:eastAsia="仿宋_GB2312"/>
          <w:color w:val="auto"/>
          <w:spacing w:val="0"/>
          <w:sz w:val="32"/>
          <w:szCs w:val="32"/>
          <w:highlight w:val="none"/>
          <w:lang w:val="en-US" w:eastAsia="zh-CN"/>
        </w:rPr>
        <w:t>项目没有纳入年初预算</w:t>
      </w:r>
      <w:r>
        <w:rPr>
          <w:rFonts w:hint="eastAsia" w:ascii="仿宋_GB2312" w:eastAsia="仿宋_GB2312"/>
          <w:color w:val="auto"/>
          <w:spacing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6" w:name="_Toc20360"/>
      <w:bookmarkStart w:id="17" w:name="_Toc13833"/>
      <w:r>
        <w:rPr>
          <w:rFonts w:hint="eastAsia" w:ascii="黑体" w:hAnsi="黑体" w:eastAsia="黑体" w:cs="宋体"/>
          <w:bCs/>
          <w:color w:val="auto"/>
          <w:kern w:val="0"/>
          <w:sz w:val="32"/>
          <w:szCs w:val="32"/>
          <w:highlight w:val="none"/>
          <w:lang w:eastAsia="zh-CN"/>
        </w:rPr>
        <w:t>五、一般公共预算财政拨款支出决算情况说明</w:t>
      </w:r>
      <w:bookmarkEnd w:id="16"/>
      <w:bookmarkEnd w:id="1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（一）一般公共预算财政拨款支出决算总体情况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default"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2023年度一般公共预算财政拨款支出</w:t>
      </w:r>
      <w:r>
        <w:rPr>
          <w:rFonts w:hint="eastAsia" w:ascii="仿宋_GB2312" w:eastAsia="仿宋_GB2312"/>
          <w:color w:val="auto"/>
          <w:spacing w:val="0"/>
          <w:sz w:val="32"/>
          <w:szCs w:val="32"/>
          <w:highlight w:val="none"/>
          <w:lang w:val="en-US" w:eastAsia="zh-CN"/>
        </w:rPr>
        <w:t>26,843.31</w:t>
      </w:r>
      <w:r>
        <w:rPr>
          <w:rFonts w:hint="eastAsia" w:ascii="仿宋_GB2312" w:eastAsia="仿宋_GB2312"/>
          <w:color w:val="auto"/>
          <w:spacing w:val="0"/>
          <w:sz w:val="32"/>
          <w:szCs w:val="32"/>
          <w:highlight w:val="none"/>
          <w:lang w:eastAsia="zh-CN"/>
        </w:rPr>
        <w:t>万元，占本年支出合计的</w:t>
      </w:r>
      <w:r>
        <w:rPr>
          <w:rFonts w:hint="eastAsia" w:ascii="仿宋_GB2312" w:eastAsia="仿宋_GB2312"/>
          <w:color w:val="auto"/>
          <w:spacing w:val="0"/>
          <w:sz w:val="32"/>
          <w:szCs w:val="32"/>
          <w:highlight w:val="none"/>
          <w:lang w:val="en-US" w:eastAsia="zh-CN"/>
        </w:rPr>
        <w:t>88.25%</w:t>
      </w:r>
      <w:r>
        <w:rPr>
          <w:rFonts w:hint="eastAsia" w:ascii="仿宋_GB2312" w:eastAsia="仿宋_GB2312"/>
          <w:color w:val="auto"/>
          <w:spacing w:val="0"/>
          <w:sz w:val="32"/>
          <w:szCs w:val="32"/>
          <w:highlight w:val="none"/>
          <w:lang w:eastAsia="zh-CN"/>
        </w:rPr>
        <w:t>。与上年相比，</w:t>
      </w:r>
      <w:r>
        <w:rPr>
          <w:rFonts w:hint="eastAsia" w:ascii="仿宋_GB2312" w:eastAsia="仿宋_GB2312"/>
          <w:color w:val="auto"/>
          <w:spacing w:val="0"/>
          <w:sz w:val="32"/>
          <w:szCs w:val="32"/>
          <w:highlight w:val="none"/>
          <w:lang w:val="en-US" w:eastAsia="zh-CN"/>
        </w:rPr>
        <w:t>增加2,291.84</w:t>
      </w:r>
      <w:r>
        <w:rPr>
          <w:rFonts w:hint="eastAsia" w:ascii="仿宋_GB2312" w:eastAsia="仿宋_GB2312"/>
          <w:color w:val="auto"/>
          <w:spacing w:val="0"/>
          <w:sz w:val="32"/>
          <w:szCs w:val="32"/>
          <w:highlight w:val="none"/>
          <w:lang w:val="zh-CN" w:eastAsia="zh-CN"/>
        </w:rPr>
        <w:t>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增长9.33%,</w:t>
      </w:r>
      <w:r>
        <w:rPr>
          <w:rFonts w:hint="eastAsia" w:ascii="仿宋_GB2312" w:eastAsia="仿宋_GB2312"/>
          <w:color w:val="auto"/>
          <w:spacing w:val="0"/>
          <w:sz w:val="32"/>
          <w:szCs w:val="32"/>
          <w:highlight w:val="none"/>
          <w:lang w:eastAsia="zh-CN"/>
        </w:rPr>
        <w:t>主要原因是：水利工程建设</w:t>
      </w:r>
      <w:r>
        <w:rPr>
          <w:rFonts w:hint="eastAsia" w:ascii="仿宋_GB2312" w:eastAsia="仿宋_GB2312"/>
          <w:color w:val="auto"/>
          <w:spacing w:val="0"/>
          <w:sz w:val="32"/>
          <w:szCs w:val="32"/>
          <w:highlight w:val="none"/>
          <w:lang w:val="en-US" w:eastAsia="zh-CN"/>
        </w:rPr>
        <w:t>项目和水资源节约管理与保护项目经费</w:t>
      </w:r>
      <w:bookmarkStart w:id="48" w:name="_GoBack"/>
      <w:bookmarkEnd w:id="48"/>
      <w:r>
        <w:rPr>
          <w:rFonts w:hint="eastAsia" w:ascii="仿宋_GB2312" w:eastAsia="仿宋_GB2312"/>
          <w:color w:val="auto"/>
          <w:spacing w:val="0"/>
          <w:sz w:val="32"/>
          <w:szCs w:val="32"/>
          <w:highlight w:val="none"/>
          <w:lang w:val="en-US" w:eastAsia="zh-CN"/>
        </w:rPr>
        <w:t>增加</w:t>
      </w:r>
      <w:r>
        <w:rPr>
          <w:rFonts w:hint="eastAsia" w:ascii="仿宋_GB2312" w:eastAsia="仿宋_GB2312"/>
          <w:color w:val="auto"/>
          <w:spacing w:val="0"/>
          <w:sz w:val="32"/>
          <w:szCs w:val="32"/>
          <w:highlight w:val="none"/>
          <w:lang w:eastAsia="zh-CN"/>
        </w:rPr>
        <w:t>。与年初预算相比，年初预算数</w:t>
      </w:r>
      <w:r>
        <w:rPr>
          <w:rFonts w:hint="eastAsia" w:ascii="仿宋_GB2312" w:eastAsia="仿宋_GB2312"/>
          <w:color w:val="auto"/>
          <w:spacing w:val="0"/>
          <w:sz w:val="32"/>
          <w:szCs w:val="32"/>
          <w:highlight w:val="none"/>
          <w:lang w:val="zh-CN" w:eastAsia="zh-CN"/>
        </w:rPr>
        <w:t>19,083.35</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26,843.31</w:t>
      </w:r>
      <w:r>
        <w:rPr>
          <w:rFonts w:hint="eastAsia" w:ascii="仿宋_GB2312" w:eastAsia="仿宋_GB2312"/>
          <w:color w:val="auto"/>
          <w:spacing w:val="0"/>
          <w:sz w:val="32"/>
          <w:szCs w:val="32"/>
          <w:highlight w:val="none"/>
          <w:lang w:eastAsia="zh-CN"/>
        </w:rPr>
        <w:t>万元，预决算差异率</w:t>
      </w:r>
      <w:r>
        <w:rPr>
          <w:rFonts w:hint="eastAsia" w:ascii="仿宋_GB2312" w:eastAsia="仿宋_GB2312"/>
          <w:color w:val="auto"/>
          <w:spacing w:val="0"/>
          <w:sz w:val="32"/>
          <w:szCs w:val="32"/>
          <w:highlight w:val="none"/>
          <w:lang w:val="zh-CN" w:eastAsia="zh-CN"/>
        </w:rPr>
        <w:t>40.66%</w:t>
      </w:r>
      <w:r>
        <w:rPr>
          <w:rFonts w:hint="eastAsia" w:ascii="仿宋_GB2312" w:eastAsia="仿宋_GB2312"/>
          <w:color w:val="auto"/>
          <w:spacing w:val="0"/>
          <w:sz w:val="32"/>
          <w:szCs w:val="32"/>
          <w:highlight w:val="none"/>
          <w:lang w:eastAsia="zh-CN"/>
        </w:rPr>
        <w:t>，主要原因是：水利工程建设</w:t>
      </w:r>
      <w:r>
        <w:rPr>
          <w:rFonts w:hint="eastAsia" w:ascii="仿宋_GB2312" w:eastAsia="仿宋_GB2312"/>
          <w:color w:val="auto"/>
          <w:spacing w:val="0"/>
          <w:sz w:val="32"/>
          <w:szCs w:val="32"/>
          <w:highlight w:val="none"/>
          <w:lang w:val="en-US" w:eastAsia="zh-CN"/>
        </w:rPr>
        <w:t>项目没有纳入年初预算</w:t>
      </w:r>
      <w:r>
        <w:rPr>
          <w:rFonts w:hint="eastAsia" w:ascii="仿宋_GB2312" w:eastAsia="仿宋_GB2312"/>
          <w:color w:val="auto"/>
          <w:spacing w:val="0"/>
          <w:sz w:val="32"/>
          <w:szCs w:val="32"/>
          <w:highlight w:val="none"/>
          <w:lang w:eastAsia="zh-CN"/>
        </w:rPr>
        <w:t>。</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一般公共预算</w:t>
      </w:r>
      <w:r>
        <w:rPr>
          <w:rFonts w:hint="eastAsia" w:ascii="黑体" w:hAnsi="黑体" w:eastAsia="黑体"/>
          <w:color w:val="auto"/>
          <w:sz w:val="32"/>
          <w:szCs w:val="32"/>
          <w:highlight w:val="none"/>
          <w:lang w:val="en-US" w:eastAsia="zh-CN"/>
        </w:rPr>
        <w:t>财政拨款支出决算</w:t>
      </w:r>
      <w:r>
        <w:rPr>
          <w:rFonts w:hint="eastAsia" w:ascii="黑体" w:hAnsi="黑体" w:eastAsia="黑体"/>
          <w:color w:val="auto"/>
          <w:sz w:val="32"/>
          <w:szCs w:val="32"/>
          <w:highlight w:val="none"/>
          <w:lang w:eastAsia="zh-CN"/>
        </w:rPr>
        <w:t>结构情况</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1</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社会保障和就业支出（类）</w:t>
      </w:r>
      <w:r>
        <w:rPr>
          <w:rFonts w:hint="eastAsia" w:ascii="仿宋_GB2312" w:hAnsi="Times New Roman" w:eastAsia="仿宋_GB2312" w:cs="Times New Roman"/>
          <w:color w:val="auto"/>
          <w:spacing w:val="0"/>
          <w:kern w:val="2"/>
          <w:sz w:val="32"/>
          <w:szCs w:val="32"/>
          <w:highlight w:val="none"/>
          <w:lang w:val="zh-CN" w:eastAsia="zh-CN" w:bidi="ar-SA"/>
        </w:rPr>
        <w:t>3,261.52</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12.15</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2</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卫生健康支出（类）</w:t>
      </w:r>
      <w:r>
        <w:rPr>
          <w:rFonts w:hint="eastAsia" w:ascii="仿宋_GB2312" w:hAnsi="Times New Roman" w:eastAsia="仿宋_GB2312" w:cs="Times New Roman"/>
          <w:color w:val="auto"/>
          <w:spacing w:val="0"/>
          <w:kern w:val="2"/>
          <w:sz w:val="32"/>
          <w:szCs w:val="32"/>
          <w:highlight w:val="none"/>
          <w:lang w:val="zh-CN" w:eastAsia="zh-CN" w:bidi="ar-SA"/>
        </w:rPr>
        <w:t>1,325.06</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4.94</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3</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农林水支出（类）</w:t>
      </w:r>
      <w:r>
        <w:rPr>
          <w:rFonts w:hint="eastAsia" w:ascii="仿宋_GB2312" w:hAnsi="Times New Roman" w:eastAsia="仿宋_GB2312" w:cs="Times New Roman"/>
          <w:color w:val="auto"/>
          <w:spacing w:val="0"/>
          <w:kern w:val="2"/>
          <w:sz w:val="32"/>
          <w:szCs w:val="32"/>
          <w:highlight w:val="none"/>
          <w:lang w:val="zh-CN" w:eastAsia="zh-CN" w:bidi="ar-SA"/>
        </w:rPr>
        <w:t>21,128.17</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78.71</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4</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住房保障支出（类）</w:t>
      </w:r>
      <w:r>
        <w:rPr>
          <w:rFonts w:hint="eastAsia" w:ascii="仿宋_GB2312" w:hAnsi="Times New Roman" w:eastAsia="仿宋_GB2312" w:cs="Times New Roman"/>
          <w:color w:val="auto"/>
          <w:spacing w:val="0"/>
          <w:kern w:val="2"/>
          <w:sz w:val="32"/>
          <w:szCs w:val="32"/>
          <w:highlight w:val="none"/>
          <w:lang w:val="zh-CN" w:eastAsia="zh-CN" w:bidi="ar-SA"/>
        </w:rPr>
        <w:t>1,128.56</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4.20</w:t>
      </w:r>
      <w:r>
        <w:rPr>
          <w:rFonts w:hint="default" w:ascii="仿宋_GB2312" w:hAnsi="Times New Roman" w:eastAsia="仿宋_GB2312" w:cs="Times New Roman"/>
          <w:color w:val="auto"/>
          <w:spacing w:val="0"/>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（三）一般公共预算财政拨款支出决算具体情况</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1.农林水支出（类）水利（款）防汛（项）:支出决算数为80.00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18.91</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30.96%，主要原因是：</w:t>
      </w:r>
      <w:r>
        <w:rPr>
          <w:rFonts w:hint="eastAsia" w:eastAsia="仿宋_GB2312" w:cs="Times New Roman"/>
          <w:color w:val="auto"/>
          <w:kern w:val="2"/>
          <w:sz w:val="32"/>
          <w:szCs w:val="32"/>
          <w:highlight w:val="none"/>
          <w:lang w:val="en-US" w:eastAsia="zh-CN" w:bidi="ar-SA"/>
        </w:rPr>
        <w:t>阿克苏水文勘测局和伊犁水文勘测局防汛项目增加</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2.农林水支出（类）水利（款）水利行业业务管理（项）:支出决算数为200.00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200.00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100%，主要原因是：</w:t>
      </w:r>
      <w:r>
        <w:rPr>
          <w:rFonts w:hint="eastAsia" w:eastAsia="仿宋_GB2312" w:cs="Times New Roman"/>
          <w:color w:val="auto"/>
          <w:kern w:val="2"/>
          <w:sz w:val="32"/>
          <w:szCs w:val="32"/>
          <w:highlight w:val="none"/>
          <w:lang w:val="en-US" w:eastAsia="zh-CN" w:bidi="ar-SA"/>
        </w:rPr>
        <w:t>自治区水文局机关增加</w:t>
      </w:r>
      <w:r>
        <w:rPr>
          <w:rFonts w:hint="eastAsia" w:ascii="仿宋_GB2312" w:hAnsi="Times New Roman" w:eastAsia="仿宋_GB2312" w:cs="Times New Roman"/>
          <w:color w:val="auto"/>
          <w:spacing w:val="0"/>
          <w:kern w:val="2"/>
          <w:sz w:val="32"/>
          <w:szCs w:val="32"/>
          <w:highlight w:val="none"/>
          <w:lang w:val="en-US" w:eastAsia="zh-CN" w:bidi="ar-SA"/>
        </w:rPr>
        <w:t>2023年自治区新建100口地下水监测井（站）项目</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3.卫生健康支出（类）行政事业单位医疗（款）行政单位医疗（项）:支出决算数为60.19</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1.73</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2.95%，主要原因是：</w:t>
      </w:r>
      <w:r>
        <w:rPr>
          <w:rFonts w:hint="eastAsia" w:eastAsia="仿宋_GB2312" w:cs="Times New Roman"/>
          <w:color w:val="auto"/>
          <w:kern w:val="2"/>
          <w:sz w:val="32"/>
          <w:szCs w:val="32"/>
          <w:highlight w:val="none"/>
          <w:lang w:val="en-US" w:eastAsia="zh-CN" w:bidi="ar-SA"/>
        </w:rPr>
        <w:t>人员增加和2023年在职职工工资调标</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4.农林水支出（类）水利（款）行政运行（项）:支出决算数为1,362.91</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162.86</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13.57%，主要原因是：追加人员经费，包括调增基本工资、调增统发基础绩效奖等</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5.农林水支出（类）水利（款）水质监测（项）:支出决算数为183.69</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8.67</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4.96%，主要原因是：</w:t>
      </w:r>
      <w:r>
        <w:rPr>
          <w:rFonts w:hint="eastAsia" w:ascii="仿宋_GB2312" w:eastAsia="仿宋_GB2312"/>
          <w:color w:val="auto"/>
          <w:spacing w:val="0"/>
          <w:sz w:val="32"/>
          <w:szCs w:val="32"/>
          <w:highlight w:val="none"/>
          <w:lang w:val="en-US" w:eastAsia="zh-CN"/>
        </w:rPr>
        <w:t>水环境监测中心</w:t>
      </w:r>
      <w:r>
        <w:rPr>
          <w:rFonts w:hint="eastAsia" w:ascii="Times New Roman" w:hAnsi="Times New Roman" w:eastAsia="仿宋_GB2312" w:cs="Times New Roman"/>
          <w:color w:val="auto"/>
          <w:kern w:val="2"/>
          <w:sz w:val="32"/>
          <w:szCs w:val="32"/>
          <w:highlight w:val="none"/>
          <w:lang w:val="en-US" w:eastAsia="zh-CN" w:bidi="ar-SA"/>
        </w:rPr>
        <w:t>调增基本工资、调增统发基础绩效奖</w:t>
      </w:r>
      <w:r>
        <w:rPr>
          <w:rFonts w:hint="eastAsia" w:eastAsia="仿宋_GB2312" w:cs="Times New Roman"/>
          <w:color w:val="auto"/>
          <w:kern w:val="2"/>
          <w:sz w:val="32"/>
          <w:szCs w:val="32"/>
          <w:highlight w:val="none"/>
          <w:lang w:val="en-US" w:eastAsia="zh-CN" w:bidi="ar-SA"/>
        </w:rPr>
        <w:t>、调入1人</w:t>
      </w:r>
      <w:r>
        <w:rPr>
          <w:rFonts w:hint="eastAsia" w:ascii="Times New Roman" w:hAnsi="Times New Roman" w:eastAsia="仿宋_GB2312" w:cs="Times New Roman"/>
          <w:color w:val="auto"/>
          <w:kern w:val="2"/>
          <w:sz w:val="32"/>
          <w:szCs w:val="32"/>
          <w:highlight w:val="none"/>
          <w:lang w:val="en-US" w:eastAsia="zh-CN" w:bidi="ar-SA"/>
        </w:rPr>
        <w:t>等</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6.农林水支出（类）水利（款）水文测报（项）:支出决算数为16,235.51</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345.42</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2.08%，主要原因是：因</w:t>
      </w:r>
      <w:r>
        <w:rPr>
          <w:rFonts w:hint="eastAsia" w:eastAsia="仿宋_GB2312" w:cs="Times New Roman"/>
          <w:color w:val="auto"/>
          <w:kern w:val="2"/>
          <w:sz w:val="32"/>
          <w:szCs w:val="32"/>
          <w:highlight w:val="none"/>
          <w:lang w:val="en-US" w:eastAsia="zh-CN" w:bidi="ar-SA"/>
        </w:rPr>
        <w:t>财政项目整合</w:t>
      </w:r>
      <w:r>
        <w:rPr>
          <w:rFonts w:hint="eastAsia" w:ascii="Times New Roman" w:hAnsi="Times New Roman" w:eastAsia="仿宋_GB2312" w:cs="Times New Roman"/>
          <w:color w:val="auto"/>
          <w:kern w:val="2"/>
          <w:sz w:val="32"/>
          <w:szCs w:val="32"/>
          <w:highlight w:val="none"/>
          <w:lang w:val="en-US" w:eastAsia="zh-CN" w:bidi="ar-SA"/>
        </w:rPr>
        <w:t>该款项调整至其他</w:t>
      </w:r>
      <w:r>
        <w:rPr>
          <w:rFonts w:hint="eastAsia" w:eastAsia="仿宋_GB2312" w:cs="Times New Roman"/>
          <w:color w:val="auto"/>
          <w:kern w:val="2"/>
          <w:sz w:val="32"/>
          <w:szCs w:val="32"/>
          <w:highlight w:val="none"/>
          <w:lang w:val="en-US" w:eastAsia="zh-CN" w:bidi="ar-SA"/>
        </w:rPr>
        <w:t>项目</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7.卫生健康支出（类）行政事业单位医疗（款）事业单位医疗（项）:支出决算数为638.09</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41.95</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6.17%，主要原因是：</w:t>
      </w:r>
      <w:r>
        <w:rPr>
          <w:rFonts w:hint="eastAsia" w:eastAsia="仿宋_GB2312" w:cs="Times New Roman"/>
          <w:color w:val="auto"/>
          <w:kern w:val="2"/>
          <w:sz w:val="32"/>
          <w:szCs w:val="32"/>
          <w:highlight w:val="none"/>
          <w:lang w:val="en-US" w:eastAsia="zh-CN" w:bidi="ar-SA"/>
        </w:rPr>
        <w:t>2023年辞职人员、退休人员、调出人员等导致事业单位医疗</w:t>
      </w:r>
      <w:r>
        <w:rPr>
          <w:rFonts w:ascii="仿宋_GB2312" w:hAnsi="宋体" w:eastAsia="仿宋_GB2312" w:cs="仿宋_GB2312"/>
          <w:i w:val="0"/>
          <w:caps w:val="0"/>
          <w:color w:val="000000"/>
          <w:spacing w:val="0"/>
          <w:sz w:val="31"/>
          <w:szCs w:val="31"/>
        </w:rPr>
        <w:t>支出减少</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eastAsia="仿宋_GB2312" w:cs="Times New Roman"/>
          <w:color w:val="auto"/>
          <w:kern w:val="2"/>
          <w:sz w:val="32"/>
          <w:szCs w:val="32"/>
          <w:highlight w:val="none"/>
          <w:lang w:val="en-US" w:eastAsia="zh-CN" w:bidi="ar-SA"/>
        </w:rPr>
      </w:pPr>
      <w:r>
        <w:rPr>
          <w:rFonts w:hint="eastAsia" w:ascii="Times New Roman" w:hAnsi="Times New Roman" w:eastAsia="仿宋_GB2312" w:cs="Times New Roman"/>
          <w:color w:val="auto"/>
          <w:kern w:val="2"/>
          <w:sz w:val="32"/>
          <w:szCs w:val="32"/>
          <w:highlight w:val="none"/>
          <w:lang w:val="en-US" w:eastAsia="zh-CN" w:bidi="ar-SA"/>
        </w:rPr>
        <w:t>8.卫生健康支出（类）行政事业单位医疗（款）公务员医疗补助（项）:支出决算数为626.77</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241.79</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62.80%，主要原因是：</w:t>
      </w:r>
      <w:r>
        <w:rPr>
          <w:rFonts w:hint="eastAsia" w:eastAsia="仿宋_GB2312" w:cs="Times New Roman"/>
          <w:color w:val="auto"/>
          <w:kern w:val="2"/>
          <w:sz w:val="32"/>
          <w:szCs w:val="32"/>
          <w:highlight w:val="none"/>
          <w:lang w:val="en-US" w:eastAsia="zh-CN" w:bidi="ar-SA"/>
        </w:rPr>
        <w:t>自治区水文局机关因</w:t>
      </w:r>
      <w:r>
        <w:rPr>
          <w:rFonts w:hint="eastAsia" w:ascii="Times New Roman" w:hAnsi="Times New Roman" w:eastAsia="仿宋_GB2312" w:cs="Times New Roman"/>
          <w:color w:val="auto"/>
          <w:kern w:val="2"/>
          <w:sz w:val="32"/>
          <w:szCs w:val="32"/>
          <w:highlight w:val="none"/>
          <w:lang w:val="en-US" w:eastAsia="zh-CN" w:bidi="ar-SA"/>
        </w:rPr>
        <w:t>人员增加相关费用增加</w:t>
      </w:r>
      <w:r>
        <w:rPr>
          <w:rFonts w:hint="eastAsia" w:eastAsia="仿宋_GB2312" w:cs="Times New Roman"/>
          <w:color w:val="auto"/>
          <w:kern w:val="2"/>
          <w:sz w:val="32"/>
          <w:szCs w:val="32"/>
          <w:highlight w:val="none"/>
          <w:lang w:val="en-US" w:eastAsia="zh-CN" w:bidi="ar-SA"/>
        </w:rPr>
        <w:t>；巴州水文勘测局、克州水文勘测局2023年以前没有</w:t>
      </w:r>
      <w:r>
        <w:rPr>
          <w:rFonts w:hint="eastAsia" w:ascii="Times New Roman" w:hAnsi="Times New Roman" w:eastAsia="仿宋_GB2312" w:cs="Times New Roman"/>
          <w:color w:val="auto"/>
          <w:kern w:val="2"/>
          <w:sz w:val="32"/>
          <w:szCs w:val="32"/>
          <w:highlight w:val="none"/>
          <w:lang w:val="en-US" w:eastAsia="zh-CN" w:bidi="ar-SA"/>
        </w:rPr>
        <w:t>公务员医疗补助</w:t>
      </w:r>
      <w:r>
        <w:rPr>
          <w:rFonts w:hint="eastAsia" w:eastAsia="仿宋_GB2312" w:cs="Times New Roman"/>
          <w:color w:val="auto"/>
          <w:kern w:val="2"/>
          <w:sz w:val="32"/>
          <w:szCs w:val="32"/>
          <w:highlight w:val="none"/>
          <w:lang w:val="en-US" w:eastAsia="zh-CN" w:bidi="ar-SA"/>
        </w:rPr>
        <w:t>，2023年才增加上。</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9.住房保障支出（类）住房改革支出（款）住房公积金（项）:支出决算数为1,128.56</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133.09</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13.37%，主要原因是：2023年增加职工工资调标，住房公积金缴费基数提高</w:t>
      </w:r>
      <w:r>
        <w:rPr>
          <w:rFonts w:hint="eastAsia" w:ascii="Times New Roman" w:hAnsi="Times New Roman"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10.农林水支出（类）水利（款）水利工程建设（项）:支出决算数为1,371.29</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1,214.09</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772.31%，主要原因是：</w:t>
      </w:r>
      <w:r>
        <w:rPr>
          <w:rFonts w:hint="eastAsia" w:ascii="Times New Roman" w:hAnsi="Times New Roman" w:eastAsia="仿宋_GB2312" w:cs="Times New Roman"/>
          <w:color w:val="auto"/>
          <w:kern w:val="2"/>
          <w:sz w:val="32"/>
          <w:szCs w:val="32"/>
          <w:highlight w:val="none"/>
          <w:lang w:val="zh-CN" w:eastAsia="zh-CN" w:bidi="ar-SA"/>
        </w:rPr>
        <w:t>2023年增加基建项目资金</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en-US" w:eastAsia="zh-CN" w:bidi="ar-SA"/>
        </w:rPr>
      </w:pPr>
      <w:r>
        <w:rPr>
          <w:rFonts w:hint="eastAsia" w:ascii="Times New Roman" w:hAnsi="Times New Roman" w:eastAsia="仿宋_GB2312" w:cs="Times New Roman"/>
          <w:color w:val="auto"/>
          <w:kern w:val="2"/>
          <w:sz w:val="32"/>
          <w:szCs w:val="32"/>
          <w:highlight w:val="none"/>
          <w:lang w:val="en-US" w:eastAsia="zh-CN" w:bidi="ar-SA"/>
        </w:rPr>
        <w:t>11.农林水支出（类）水利（款）水利技术推广（项）:支出决算数为190.77</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145.77</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323.93%，主要原因是：</w:t>
      </w:r>
      <w:r>
        <w:rPr>
          <w:rFonts w:hint="eastAsia" w:eastAsia="仿宋_GB2312" w:cs="Times New Roman"/>
          <w:color w:val="auto"/>
          <w:kern w:val="2"/>
          <w:sz w:val="32"/>
          <w:szCs w:val="32"/>
          <w:highlight w:val="none"/>
          <w:lang w:val="en-US" w:eastAsia="zh-CN" w:bidi="ar-SA"/>
        </w:rPr>
        <w:t>自治区水文局机关增加科技项目。</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12.社会保障和就业支出（类）抚恤（款）死亡抚恤（项）:支出决算数为0.32</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10.00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96.89%，主要原因是：</w:t>
      </w:r>
      <w:r>
        <w:rPr>
          <w:rFonts w:hint="eastAsia" w:eastAsia="仿宋_GB2312" w:cs="Times New Roman"/>
          <w:color w:val="auto"/>
          <w:kern w:val="2"/>
          <w:sz w:val="32"/>
          <w:szCs w:val="32"/>
          <w:highlight w:val="none"/>
          <w:lang w:val="en-US" w:eastAsia="zh-CN" w:bidi="ar-SA"/>
        </w:rPr>
        <w:t>去世人员减少</w:t>
      </w:r>
      <w:r>
        <w:rPr>
          <w:rFonts w:hint="eastAsia" w:eastAsia="仿宋_GB2312" w:cs="Times New Roman"/>
          <w:color w:val="auto"/>
          <w:kern w:val="2"/>
          <w:sz w:val="32"/>
          <w:szCs w:val="32"/>
          <w:highlight w:val="none"/>
          <w:lang w:val="zh-CN" w:eastAsia="zh-CN" w:bidi="ar-SA"/>
        </w:rPr>
        <w:t>。</w:t>
      </w:r>
    </w:p>
    <w:p>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640"/>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13.社会保障和就业支出（类）行政事业单位养老支出（款）事业单位离退休（项）:支出决算数为1,299.69</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306.78</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19.10%，主要原因是：本年度退休人员医疗费由社保部门统筹缴纳，单位不在缴纳退休人员医疗费，退休人员费用减少。</w:t>
      </w:r>
    </w:p>
    <w:p>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640"/>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14.社会保障和就业支出（类）行政事业单位养老支出（款）行政单位离退休（项）:支出决算数为217.44</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98.84</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31.25%，主要原因是：本年度退休人员医疗费由社保部门统筹缴纳，单位不在缴纳退休人员医疗费，退休人员费用减少。</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15.农林水支出（类）水利（款）水资源节约管理与保护（项）:支出决算数为1,504.00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1,024.26</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213.50%，主要原因是：</w:t>
      </w:r>
      <w:r>
        <w:rPr>
          <w:rFonts w:hint="eastAsia" w:eastAsia="仿宋_GB2312" w:cs="Times New Roman"/>
          <w:color w:val="auto"/>
          <w:kern w:val="2"/>
          <w:sz w:val="32"/>
          <w:szCs w:val="32"/>
          <w:highlight w:val="none"/>
          <w:lang w:val="en-US" w:eastAsia="zh-CN" w:bidi="ar-SA"/>
        </w:rPr>
        <w:t>上年</w:t>
      </w:r>
      <w:r>
        <w:rPr>
          <w:rFonts w:hint="eastAsia" w:eastAsia="仿宋_GB2312" w:cs="Times New Roman"/>
          <w:color w:val="auto"/>
          <w:kern w:val="2"/>
          <w:sz w:val="32"/>
          <w:szCs w:val="32"/>
          <w:highlight w:val="none"/>
          <w:lang w:val="zh-CN" w:eastAsia="zh-CN" w:bidi="ar-SA"/>
        </w:rPr>
        <w:t>该项目作为待分配项目下达，本年列入年初预算。</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en-US" w:eastAsia="zh-CN" w:bidi="ar-SA"/>
        </w:rPr>
      </w:pPr>
      <w:r>
        <w:rPr>
          <w:rFonts w:hint="eastAsia" w:ascii="Times New Roman" w:hAnsi="Times New Roman" w:eastAsia="仿宋_GB2312" w:cs="Times New Roman"/>
          <w:color w:val="auto"/>
          <w:kern w:val="2"/>
          <w:sz w:val="32"/>
          <w:szCs w:val="32"/>
          <w:highlight w:val="none"/>
          <w:lang w:val="en-US" w:eastAsia="zh-CN" w:bidi="ar-SA"/>
        </w:rPr>
        <w:t>16.社会保障和就业支出（类）行政事业单位养老支出（款）机关事业单位职业年金缴费支出（项）:支出决算数为259.26</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33.80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14.99%，主要原因是</w:t>
      </w:r>
      <w:r>
        <w:rPr>
          <w:rFonts w:hint="eastAsia" w:eastAsia="仿宋_GB2312" w:cs="Times New Roman"/>
          <w:color w:val="auto"/>
          <w:kern w:val="2"/>
          <w:sz w:val="32"/>
          <w:szCs w:val="32"/>
          <w:highlight w:val="none"/>
          <w:lang w:val="en-US" w:eastAsia="zh-CN" w:bidi="ar-SA"/>
        </w:rPr>
        <w:t>：2022年第四季度退休人员职业年金于2023年一季度下达，</w:t>
      </w:r>
      <w:r>
        <w:rPr>
          <w:rFonts w:ascii="仿宋_GB2312" w:hAnsi="宋体" w:eastAsia="仿宋_GB2312" w:cs="仿宋_GB2312"/>
          <w:i w:val="0"/>
          <w:caps w:val="0"/>
          <w:color w:val="000000"/>
          <w:spacing w:val="0"/>
          <w:sz w:val="31"/>
          <w:szCs w:val="31"/>
        </w:rPr>
        <w:t>离退休</w:t>
      </w:r>
      <w:r>
        <w:rPr>
          <w:rFonts w:hint="eastAsia" w:eastAsia="仿宋_GB2312" w:cs="Times New Roman"/>
          <w:color w:val="auto"/>
          <w:kern w:val="2"/>
          <w:sz w:val="32"/>
          <w:szCs w:val="32"/>
          <w:highlight w:val="none"/>
          <w:lang w:val="en-US" w:eastAsia="zh-CN" w:bidi="ar-SA"/>
        </w:rPr>
        <w:t>人员增加。</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17.社会保障和就业支出（类）行政事业单位养老支出（款）机关事业单位基本养老保险缴费支出（项）:支出决算数为1,484.81</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154.94</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11.65%，主要原因是：</w:t>
      </w:r>
      <w:r>
        <w:rPr>
          <w:rFonts w:hint="eastAsia" w:eastAsia="仿宋_GB2312" w:cs="Times New Roman"/>
          <w:color w:val="auto"/>
          <w:kern w:val="2"/>
          <w:sz w:val="32"/>
          <w:szCs w:val="32"/>
          <w:highlight w:val="none"/>
          <w:lang w:val="en-US" w:eastAsia="zh-CN" w:bidi="ar-SA"/>
        </w:rPr>
        <w:t>人员工资调整，单位基本养老保险缴费基数增加，使该项支出增加</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18.社会保障和就业支出（类）人力资源和社会保障管理事务</w:t>
      </w:r>
      <w:r>
        <w:rPr>
          <w:rFonts w:ascii="仿宋_GB2312" w:hAnsi="宋体" w:eastAsia="仿宋_GB2312" w:cs="仿宋_GB2312"/>
          <w:i w:val="0"/>
          <w:caps w:val="0"/>
          <w:color w:val="000000"/>
          <w:spacing w:val="0"/>
          <w:sz w:val="31"/>
          <w:szCs w:val="31"/>
        </w:rPr>
        <w:t>（</w:t>
      </w:r>
      <w:r>
        <w:rPr>
          <w:rFonts w:hint="eastAsia" w:ascii="Times New Roman" w:hAnsi="Times New Roman" w:eastAsia="仿宋_GB2312" w:cs="Times New Roman"/>
          <w:color w:val="auto"/>
          <w:kern w:val="2"/>
          <w:sz w:val="32"/>
          <w:szCs w:val="32"/>
          <w:highlight w:val="none"/>
          <w:lang w:val="en-US" w:eastAsia="zh-CN" w:bidi="ar-SA"/>
        </w:rPr>
        <w:t>款）其他人力资源和社会保障管理事务支出（项）:支出决算数为0.00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5.00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100%，主要原因是：</w:t>
      </w:r>
      <w:r>
        <w:rPr>
          <w:rFonts w:hint="eastAsia" w:eastAsia="仿宋_GB2312" w:cs="Times New Roman"/>
          <w:color w:val="auto"/>
          <w:kern w:val="2"/>
          <w:sz w:val="32"/>
          <w:szCs w:val="32"/>
          <w:highlight w:val="none"/>
          <w:lang w:val="en-US" w:eastAsia="zh-CN" w:bidi="ar-SA"/>
        </w:rPr>
        <w:t>自治区水文局机关</w:t>
      </w:r>
      <w:r>
        <w:rPr>
          <w:rFonts w:hint="eastAsia" w:ascii="Times New Roman" w:hAnsi="Times New Roman" w:eastAsia="仿宋_GB2312" w:cs="Times New Roman"/>
          <w:color w:val="auto"/>
          <w:kern w:val="2"/>
          <w:sz w:val="32"/>
          <w:szCs w:val="32"/>
          <w:highlight w:val="none"/>
          <w:lang w:val="en-US" w:eastAsia="zh-CN" w:bidi="ar-SA"/>
        </w:rPr>
        <w:t>上年度</w:t>
      </w:r>
      <w:r>
        <w:rPr>
          <w:rFonts w:hint="eastAsia" w:ascii="仿宋_GB2312" w:hAnsi="微软雅黑" w:eastAsia="仿宋_GB2312" w:cs="仿宋_GB2312"/>
          <w:i w:val="0"/>
          <w:iCs w:val="0"/>
          <w:caps w:val="0"/>
          <w:color w:val="000000"/>
          <w:spacing w:val="0"/>
          <w:sz w:val="32"/>
          <w:szCs w:val="32"/>
        </w:rPr>
        <w:t>财政追加2022年度少数民族科技骨干特殊培训经费5万元</w:t>
      </w:r>
      <w:r>
        <w:rPr>
          <w:rFonts w:hint="eastAsia" w:ascii="仿宋_GB2312" w:hAnsi="微软雅黑" w:eastAsia="仿宋_GB2312" w:cs="仿宋_GB2312"/>
          <w:i w:val="0"/>
          <w:iCs w:val="0"/>
          <w:caps w:val="0"/>
          <w:color w:val="000000"/>
          <w:spacing w:val="0"/>
          <w:sz w:val="32"/>
          <w:szCs w:val="32"/>
          <w:lang w:eastAsia="zh-CN"/>
        </w:rPr>
        <w:t>，</w:t>
      </w:r>
      <w:r>
        <w:rPr>
          <w:rFonts w:hint="eastAsia" w:ascii="仿宋_GB2312" w:hAnsi="微软雅黑" w:eastAsia="仿宋_GB2312" w:cs="仿宋_GB2312"/>
          <w:i w:val="0"/>
          <w:iCs w:val="0"/>
          <w:caps w:val="0"/>
          <w:color w:val="000000"/>
          <w:spacing w:val="0"/>
          <w:sz w:val="32"/>
          <w:szCs w:val="32"/>
          <w:lang w:val="en-US" w:eastAsia="zh-CN"/>
        </w:rPr>
        <w:t>本年度无上述经费</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en-US" w:eastAsia="zh-CN" w:bidi="ar-SA"/>
        </w:rPr>
      </w:pPr>
      <w:r>
        <w:rPr>
          <w:rFonts w:hint="eastAsia" w:ascii="Times New Roman" w:hAnsi="Times New Roman" w:eastAsia="仿宋_GB2312" w:cs="Times New Roman"/>
          <w:color w:val="auto"/>
          <w:kern w:val="2"/>
          <w:sz w:val="32"/>
          <w:szCs w:val="32"/>
          <w:highlight w:val="none"/>
          <w:lang w:val="en-US" w:eastAsia="zh-CN" w:bidi="ar-SA"/>
        </w:rPr>
        <w:t>19.社会保障和就业支出（类）行政事业单位养老支出（款）其他行政事业单位养老支出（项）:支出决算数为0.00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3.51</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100%，主要原因是：</w:t>
      </w:r>
      <w:r>
        <w:rPr>
          <w:rFonts w:hint="eastAsia" w:eastAsia="仿宋_GB2312" w:cs="Times New Roman"/>
          <w:color w:val="auto"/>
          <w:kern w:val="2"/>
          <w:sz w:val="32"/>
          <w:szCs w:val="32"/>
          <w:highlight w:val="none"/>
          <w:lang w:val="en-US" w:eastAsia="zh-CN" w:bidi="ar-SA"/>
        </w:rPr>
        <w:t>伊犁水文勘测局</w:t>
      </w:r>
      <w:r>
        <w:rPr>
          <w:rFonts w:hint="eastAsia" w:ascii="仿宋_GB2312" w:eastAsia="仿宋_GB2312"/>
          <w:color w:val="auto"/>
          <w:spacing w:val="0"/>
          <w:sz w:val="32"/>
          <w:szCs w:val="32"/>
          <w:highlight w:val="none"/>
          <w:lang w:val="en-US" w:eastAsia="zh-CN"/>
        </w:rPr>
        <w:t>2022年退休人员去世1人追加抚恤金，较上年</w:t>
      </w:r>
      <w:r>
        <w:rPr>
          <w:rFonts w:ascii="仿宋_GB2312" w:hAnsi="宋体" w:eastAsia="仿宋_GB2312" w:cs="仿宋_GB2312"/>
          <w:i w:val="0"/>
          <w:caps w:val="0"/>
          <w:color w:val="000000"/>
          <w:spacing w:val="0"/>
          <w:sz w:val="31"/>
          <w:szCs w:val="31"/>
        </w:rPr>
        <w:t>决算数</w:t>
      </w:r>
      <w:r>
        <w:rPr>
          <w:rFonts w:hint="eastAsia" w:ascii="仿宋_GB2312" w:eastAsia="仿宋_GB2312"/>
          <w:color w:val="auto"/>
          <w:spacing w:val="0"/>
          <w:sz w:val="32"/>
          <w:szCs w:val="32"/>
          <w:highlight w:val="none"/>
          <w:lang w:val="en-US" w:eastAsia="zh-CN"/>
        </w:rPr>
        <w:t>有所减少</w:t>
      </w:r>
      <w:r>
        <w:rPr>
          <w:rFonts w:hint="eastAsia" w:ascii="仿宋_GB2312" w:eastAsia="仿宋_GB2312"/>
          <w:color w:val="auto"/>
          <w:spacing w:val="0"/>
          <w:sz w:val="32"/>
          <w:szCs w:val="32"/>
          <w:highlight w:val="none"/>
          <w:lang w:val="zh-CN" w:eastAsia="zh-CN"/>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20.农林水支出（类）农业农村（款）行政运行（项）:支出决算数为0.00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11.57</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100%，主要原因是：因工作调整，该款项调整至其他款项</w:t>
      </w:r>
      <w:r>
        <w:rPr>
          <w:rFonts w:hint="eastAsia" w:ascii="Times New Roman" w:hAnsi="Times New Roman"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21.农林水支出（类）水利（款）抗旱（项）:支出决算数为0.00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225.00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100%，主要原因是：</w:t>
      </w:r>
      <w:r>
        <w:rPr>
          <w:rFonts w:hint="eastAsia" w:eastAsia="仿宋_GB2312" w:cs="Times New Roman"/>
          <w:color w:val="auto"/>
          <w:kern w:val="2"/>
          <w:sz w:val="32"/>
          <w:szCs w:val="32"/>
          <w:highlight w:val="none"/>
          <w:lang w:val="en-US" w:eastAsia="zh-CN" w:bidi="ar-SA"/>
        </w:rPr>
        <w:t>2023年没有申请该项目预算</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六、一般公共预算财政拨款基本支出决算情况说明</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z w:val="32"/>
          <w:szCs w:val="32"/>
          <w:highlight w:val="none"/>
        </w:rPr>
        <w:t>一般公共预算财政拨款基本支出</w:t>
      </w:r>
      <w:r>
        <w:rPr>
          <w:rFonts w:hint="eastAsia" w:ascii="仿宋_GB2312" w:eastAsia="仿宋_GB2312"/>
          <w:color w:val="auto"/>
          <w:sz w:val="32"/>
          <w:szCs w:val="32"/>
          <w:highlight w:val="none"/>
          <w:lang w:eastAsia="zh-CN"/>
        </w:rPr>
        <w:t>19,104.47</w:t>
      </w:r>
      <w:r>
        <w:rPr>
          <w:rFonts w:hint="eastAsia" w:ascii="仿宋_GB2312" w:eastAsia="仿宋_GB2312"/>
          <w:color w:val="auto"/>
          <w:sz w:val="32"/>
          <w:szCs w:val="32"/>
          <w:highlight w:val="none"/>
        </w:rPr>
        <w:t>万元，其中：人员经费</w:t>
      </w:r>
      <w:r>
        <w:rPr>
          <w:rFonts w:hint="eastAsia" w:ascii="仿宋_GB2312" w:eastAsia="仿宋_GB2312"/>
          <w:color w:val="auto"/>
          <w:sz w:val="32"/>
          <w:szCs w:val="32"/>
          <w:highlight w:val="none"/>
          <w:lang w:eastAsia="zh-CN"/>
        </w:rPr>
        <w:t>18,023.32</w:t>
      </w:r>
      <w:r>
        <w:rPr>
          <w:rFonts w:hint="eastAsia" w:ascii="仿宋_GB2312" w:eastAsia="仿宋_GB2312"/>
          <w:color w:val="auto"/>
          <w:sz w:val="32"/>
          <w:szCs w:val="32"/>
          <w:highlight w:val="none"/>
        </w:rPr>
        <w:t>万元，包括：</w:t>
      </w:r>
      <w:r>
        <w:rPr>
          <w:rFonts w:hint="eastAsia" w:ascii="仿宋_GB2312" w:eastAsia="仿宋_GB2312"/>
          <w:color w:val="auto"/>
          <w:spacing w:val="0"/>
          <w:sz w:val="32"/>
          <w:szCs w:val="32"/>
          <w:highlight w:val="none"/>
          <w:lang w:val="en-US" w:eastAsia="zh-CN"/>
        </w:rPr>
        <w:t>基本工资、津贴补贴</w:t>
      </w:r>
      <w:r>
        <w:rPr>
          <w:rFonts w:ascii="仿宋_GB2312" w:hAnsi="宋体" w:eastAsia="仿宋_GB2312" w:cs="仿宋_GB2312"/>
          <w:i w:val="0"/>
          <w:caps w:val="0"/>
          <w:color w:val="000000"/>
          <w:spacing w:val="0"/>
          <w:sz w:val="31"/>
          <w:szCs w:val="31"/>
        </w:rPr>
        <w:t>、奖金、</w:t>
      </w:r>
      <w:r>
        <w:rPr>
          <w:rFonts w:hint="eastAsia" w:ascii="仿宋_GB2312" w:eastAsia="仿宋_GB2312"/>
          <w:color w:val="auto"/>
          <w:spacing w:val="0"/>
          <w:sz w:val="32"/>
          <w:szCs w:val="32"/>
          <w:highlight w:val="none"/>
          <w:lang w:val="en-US" w:eastAsia="zh-CN"/>
        </w:rPr>
        <w:t>伙食补助费、绩效工资、机关事业单位基本养老保险缴费、职业年金缴费、职工基本医疗保险缴费、公务员医疗补助缴费、其他社会保障缴费、住房公积金、其他工资福利支出、退休费、抚恤金、生活补助、医疗费补助、奖励金、其他对个人和家庭的补助。</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公用经费1,081.15万元，包括：办公费、印刷费、咨询费、手续费、水费、电费、邮电费、取暖费、物业管理费、差旅费、维修（护）费、培训费、公务接待费、专用材料费、专用燃料费、劳务费、工会经费、福利费、公务用车运行维护费、其他交通费用、其他商品和服务支出、</w:t>
      </w:r>
      <w:r>
        <w:rPr>
          <w:rFonts w:hint="eastAsia" w:ascii="仿宋_GB2312" w:eastAsia="仿宋_GB2312"/>
          <w:color w:val="auto"/>
          <w:spacing w:val="0"/>
          <w:sz w:val="32"/>
          <w:szCs w:val="32"/>
          <w:highlight w:val="none"/>
          <w:lang w:val="en-US" w:eastAsia="zh-CN"/>
        </w:rPr>
        <w:t>办公设备购置</w:t>
      </w:r>
      <w:r>
        <w:rPr>
          <w:rFonts w:hint="eastAsia" w:ascii="仿宋_GB2312" w:eastAsia="仿宋_GB2312"/>
          <w:color w:val="auto"/>
          <w:spacing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七、</w:t>
      </w:r>
      <w:r>
        <w:rPr>
          <w:rFonts w:hint="eastAsia" w:ascii="黑体" w:hAnsi="黑体" w:eastAsia="黑体" w:cs="宋体"/>
          <w:bCs/>
          <w:color w:val="auto"/>
          <w:kern w:val="0"/>
          <w:sz w:val="32"/>
          <w:szCs w:val="32"/>
          <w:highlight w:val="none"/>
          <w:lang w:eastAsia="zh-CN"/>
        </w:rPr>
        <w:t>财政拨款</w:t>
      </w:r>
      <w:r>
        <w:rPr>
          <w:rFonts w:hint="eastAsia" w:ascii="黑体" w:hAnsi="黑体" w:eastAsia="黑体" w:cs="宋体"/>
          <w:bCs/>
          <w:color w:val="auto"/>
          <w:kern w:val="0"/>
          <w:sz w:val="32"/>
          <w:szCs w:val="32"/>
          <w:highlight w:val="none"/>
        </w:rPr>
        <w:t>“三公”经费支出</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w:t>
      </w:r>
      <w:r>
        <w:rPr>
          <w:rFonts w:hint="eastAsia" w:ascii="黑体" w:hAnsi="黑体" w:eastAsia="黑体" w:cs="宋体"/>
          <w:bCs/>
          <w:color w:val="auto"/>
          <w:kern w:val="0"/>
          <w:sz w:val="32"/>
          <w:szCs w:val="32"/>
          <w:highlight w:val="none"/>
          <w:lang w:eastAsia="zh-CN"/>
        </w:rPr>
        <w:t>说明</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Times New Roman" w:eastAsia="仿宋_GB2312" w:cs="Times New Roman"/>
          <w:color w:val="auto"/>
          <w:spacing w:val="0"/>
          <w:sz w:val="32"/>
          <w:szCs w:val="32"/>
          <w:highlight w:val="none"/>
          <w:lang w:val="zh-CN" w:eastAsia="zh-CN"/>
        </w:rPr>
      </w:pPr>
      <w:r>
        <w:rPr>
          <w:rFonts w:hint="eastAsia" w:ascii="仿宋_GB2312" w:eastAsia="仿宋_GB2312"/>
          <w:color w:val="auto"/>
          <w:sz w:val="32"/>
          <w:szCs w:val="32"/>
          <w:highlight w:val="none"/>
          <w:lang w:val="zh-CN" w:eastAsia="zh-CN"/>
        </w:rPr>
        <w:t>2023年度</w:t>
      </w:r>
      <w:r>
        <w:rPr>
          <w:rFonts w:hint="eastAsia" w:ascii="仿宋_GB2312" w:eastAsia="仿宋_GB2312"/>
          <w:color w:val="auto"/>
          <w:sz w:val="32"/>
          <w:szCs w:val="32"/>
          <w:highlight w:val="none"/>
          <w:lang w:val="en-US" w:eastAsia="zh-CN"/>
        </w:rPr>
        <w:t>财政拨款</w:t>
      </w:r>
      <w:r>
        <w:rPr>
          <w:rFonts w:hint="eastAsia" w:ascii="仿宋_GB2312" w:eastAsia="仿宋_GB2312"/>
          <w:color w:val="auto"/>
          <w:sz w:val="32"/>
          <w:szCs w:val="32"/>
          <w:highlight w:val="none"/>
          <w:lang w:val="zh-CN" w:eastAsia="zh-CN"/>
        </w:rPr>
        <w:t>“三公”经费支出126.66万元，</w:t>
      </w:r>
      <w:r>
        <w:rPr>
          <w:rFonts w:hint="eastAsia" w:ascii="仿宋_GB2312" w:eastAsia="仿宋_GB2312"/>
          <w:color w:val="auto"/>
          <w:sz w:val="32"/>
          <w:szCs w:val="32"/>
          <w:highlight w:val="none"/>
          <w:lang w:val="en-US" w:eastAsia="zh-CN"/>
        </w:rPr>
        <w:t>比上年增加6.43</w:t>
      </w:r>
      <w:r>
        <w:rPr>
          <w:rFonts w:hint="eastAsia" w:ascii="仿宋_GB2312" w:eastAsia="仿宋_GB2312"/>
          <w:color w:val="auto"/>
          <w:sz w:val="32"/>
          <w:szCs w:val="32"/>
          <w:highlight w:val="none"/>
          <w:lang w:val="zh-CN" w:eastAsia="zh-CN"/>
        </w:rPr>
        <w:t>万元，</w:t>
      </w:r>
      <w:r>
        <w:rPr>
          <w:rFonts w:hint="eastAsia" w:ascii="仿宋_GB2312" w:eastAsia="仿宋_GB2312"/>
          <w:color w:val="auto"/>
          <w:sz w:val="32"/>
          <w:szCs w:val="32"/>
          <w:highlight w:val="none"/>
          <w:lang w:val="en-US" w:eastAsia="zh-CN"/>
        </w:rPr>
        <w:t>增长5.35%,</w:t>
      </w:r>
      <w:r>
        <w:rPr>
          <w:rFonts w:hint="eastAsia" w:ascii="仿宋_GB2312" w:eastAsia="仿宋_GB2312"/>
          <w:color w:val="auto"/>
          <w:sz w:val="32"/>
          <w:szCs w:val="32"/>
          <w:highlight w:val="none"/>
          <w:lang w:val="zh-CN" w:eastAsia="zh-CN"/>
        </w:rPr>
        <w:t>主要原因是：</w:t>
      </w:r>
      <w:r>
        <w:rPr>
          <w:rFonts w:hint="eastAsia" w:ascii="仿宋_GB2312" w:hAnsi="Times New Roman" w:eastAsia="仿宋_GB2312" w:cs="Times New Roman"/>
          <w:color w:val="auto"/>
          <w:spacing w:val="0"/>
          <w:sz w:val="32"/>
          <w:szCs w:val="32"/>
          <w:highlight w:val="none"/>
          <w:lang w:val="zh-CN" w:eastAsia="zh-CN"/>
        </w:rPr>
        <w:t>根据工作安排，公车使用频次较</w:t>
      </w:r>
      <w:r>
        <w:rPr>
          <w:rFonts w:hint="eastAsia" w:ascii="仿宋_GB2312" w:hAnsi="Times New Roman" w:eastAsia="仿宋_GB2312" w:cs="Times New Roman"/>
          <w:color w:val="auto"/>
          <w:spacing w:val="0"/>
          <w:sz w:val="32"/>
          <w:szCs w:val="32"/>
          <w:highlight w:val="none"/>
          <w:lang w:val="en-US" w:eastAsia="zh-CN"/>
        </w:rPr>
        <w:t>上年度</w:t>
      </w:r>
      <w:r>
        <w:rPr>
          <w:rFonts w:hint="eastAsia" w:ascii="仿宋_GB2312" w:hAnsi="Times New Roman" w:eastAsia="仿宋_GB2312" w:cs="Times New Roman"/>
          <w:color w:val="auto"/>
          <w:spacing w:val="0"/>
          <w:sz w:val="32"/>
          <w:szCs w:val="32"/>
          <w:highlight w:val="none"/>
          <w:lang w:val="zh-CN" w:eastAsia="zh-CN"/>
        </w:rPr>
        <w:t>提升。</w:t>
      </w:r>
      <w:r>
        <w:rPr>
          <w:rFonts w:hint="eastAsia" w:ascii="仿宋_GB2312" w:eastAsia="仿宋_GB2312"/>
          <w:color w:val="auto"/>
          <w:sz w:val="32"/>
          <w:szCs w:val="32"/>
          <w:highlight w:val="none"/>
          <w:lang w:val="zh-CN" w:eastAsia="zh-CN"/>
        </w:rPr>
        <w:t>其中：因公出国（境）费支出0.00万元，占0.00%，比上年增加0.00万元，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w:t>
      </w:r>
      <w:r>
        <w:rPr>
          <w:rFonts w:hint="eastAsia" w:ascii="仿宋_GB2312" w:hAnsi="Times New Roman" w:eastAsia="仿宋_GB2312" w:cs="Times New Roman"/>
          <w:color w:val="auto"/>
          <w:spacing w:val="0"/>
          <w:sz w:val="32"/>
          <w:szCs w:val="32"/>
          <w:highlight w:val="none"/>
          <w:lang w:val="en-US" w:eastAsia="zh-CN"/>
        </w:rPr>
        <w:t>无因公出国（境）费</w:t>
      </w:r>
      <w:r>
        <w:rPr>
          <w:rFonts w:hint="eastAsia" w:ascii="仿宋_GB2312" w:eastAsia="仿宋_GB2312"/>
          <w:color w:val="auto"/>
          <w:sz w:val="32"/>
          <w:szCs w:val="32"/>
          <w:highlight w:val="none"/>
          <w:lang w:val="zh-CN" w:eastAsia="zh-CN"/>
        </w:rPr>
        <w:t>；公务用车购置及运行维护费支出125.12万元，占</w:t>
      </w:r>
      <w:r>
        <w:rPr>
          <w:rFonts w:hint="eastAsia" w:ascii="仿宋_GB2312" w:eastAsia="仿宋_GB2312"/>
          <w:color w:val="auto"/>
          <w:sz w:val="32"/>
          <w:szCs w:val="32"/>
          <w:highlight w:val="none"/>
          <w:lang w:val="en-US" w:eastAsia="zh-CN"/>
        </w:rPr>
        <w:t>98.78</w:t>
      </w:r>
      <w:r>
        <w:rPr>
          <w:rFonts w:hint="eastAsia" w:ascii="仿宋_GB2312" w:eastAsia="仿宋_GB2312"/>
          <w:color w:val="auto"/>
          <w:sz w:val="32"/>
          <w:szCs w:val="32"/>
          <w:highlight w:val="none"/>
          <w:lang w:val="zh-CN" w:eastAsia="zh-CN"/>
        </w:rPr>
        <w:t>%，比上年</w:t>
      </w:r>
      <w:r>
        <w:rPr>
          <w:rFonts w:hint="eastAsia" w:ascii="仿宋_GB2312" w:eastAsia="仿宋_GB2312"/>
          <w:color w:val="auto"/>
          <w:sz w:val="32"/>
          <w:szCs w:val="32"/>
          <w:highlight w:val="none"/>
          <w:lang w:val="en-US" w:eastAsia="zh-CN"/>
        </w:rPr>
        <w:t>增加6.06</w:t>
      </w:r>
      <w:r>
        <w:rPr>
          <w:rFonts w:hint="eastAsia" w:ascii="仿宋_GB2312" w:eastAsia="仿宋_GB2312"/>
          <w:color w:val="auto"/>
          <w:sz w:val="32"/>
          <w:szCs w:val="32"/>
          <w:highlight w:val="none"/>
          <w:lang w:val="zh-CN" w:eastAsia="zh-CN"/>
        </w:rPr>
        <w:t>万元，</w:t>
      </w:r>
      <w:r>
        <w:rPr>
          <w:rFonts w:hint="eastAsia" w:ascii="仿宋_GB2312" w:eastAsia="仿宋_GB2312"/>
          <w:color w:val="auto"/>
          <w:spacing w:val="0"/>
          <w:sz w:val="32"/>
          <w:szCs w:val="32"/>
          <w:highlight w:val="none"/>
          <w:lang w:val="en-US" w:eastAsia="zh-CN"/>
        </w:rPr>
        <w:t>增长5.09%,</w:t>
      </w:r>
      <w:r>
        <w:rPr>
          <w:rFonts w:hint="eastAsia" w:ascii="仿宋_GB2312" w:eastAsia="仿宋_GB2312"/>
          <w:color w:val="auto"/>
          <w:sz w:val="32"/>
          <w:szCs w:val="32"/>
          <w:highlight w:val="none"/>
          <w:lang w:val="zh-CN" w:eastAsia="zh-CN"/>
        </w:rPr>
        <w:t>主要原因是：</w:t>
      </w:r>
      <w:r>
        <w:rPr>
          <w:rFonts w:hint="eastAsia" w:ascii="仿宋_GB2312" w:hAnsi="Times New Roman" w:eastAsia="仿宋_GB2312" w:cs="Times New Roman"/>
          <w:color w:val="auto"/>
          <w:spacing w:val="0"/>
          <w:sz w:val="32"/>
          <w:szCs w:val="32"/>
          <w:highlight w:val="none"/>
          <w:lang w:val="zh-CN" w:eastAsia="zh-CN"/>
        </w:rPr>
        <w:t>根据工作安排，公车使用频次较</w:t>
      </w:r>
      <w:r>
        <w:rPr>
          <w:rFonts w:hint="eastAsia" w:ascii="仿宋_GB2312" w:hAnsi="Times New Roman" w:eastAsia="仿宋_GB2312" w:cs="Times New Roman"/>
          <w:color w:val="auto"/>
          <w:spacing w:val="0"/>
          <w:sz w:val="32"/>
          <w:szCs w:val="32"/>
          <w:highlight w:val="none"/>
          <w:lang w:val="en-US" w:eastAsia="zh-CN"/>
        </w:rPr>
        <w:t>上年度</w:t>
      </w:r>
      <w:r>
        <w:rPr>
          <w:rFonts w:hint="eastAsia" w:ascii="仿宋_GB2312" w:hAnsi="Times New Roman" w:eastAsia="仿宋_GB2312" w:cs="Times New Roman"/>
          <w:color w:val="auto"/>
          <w:spacing w:val="0"/>
          <w:sz w:val="32"/>
          <w:szCs w:val="32"/>
          <w:highlight w:val="none"/>
          <w:lang w:val="zh-CN" w:eastAsia="zh-CN"/>
        </w:rPr>
        <w:t>提升</w:t>
      </w:r>
      <w:r>
        <w:rPr>
          <w:rFonts w:hint="eastAsia" w:ascii="仿宋_GB2312" w:eastAsia="仿宋_GB2312"/>
          <w:color w:val="auto"/>
          <w:sz w:val="32"/>
          <w:szCs w:val="32"/>
          <w:highlight w:val="none"/>
          <w:lang w:val="zh-CN" w:eastAsia="zh-CN"/>
        </w:rPr>
        <w:t>；公务接待费支出</w:t>
      </w:r>
      <w:r>
        <w:rPr>
          <w:rFonts w:hint="eastAsia" w:ascii="仿宋_GB2312" w:eastAsia="仿宋_GB2312"/>
          <w:color w:val="auto"/>
          <w:sz w:val="32"/>
          <w:szCs w:val="32"/>
          <w:highlight w:val="none"/>
          <w:lang w:val="en-US" w:eastAsia="zh-CN"/>
        </w:rPr>
        <w:t>1.55</w:t>
      </w:r>
      <w:r>
        <w:rPr>
          <w:rFonts w:hint="eastAsia" w:ascii="仿宋_GB2312" w:eastAsia="仿宋_GB2312"/>
          <w:color w:val="auto"/>
          <w:sz w:val="32"/>
          <w:szCs w:val="32"/>
          <w:highlight w:val="none"/>
          <w:lang w:val="zh-CN" w:eastAsia="zh-CN"/>
        </w:rPr>
        <w:t>万元，占</w:t>
      </w:r>
      <w:r>
        <w:rPr>
          <w:rFonts w:hint="eastAsia" w:ascii="仿宋_GB2312" w:eastAsia="仿宋_GB2312"/>
          <w:color w:val="auto"/>
          <w:sz w:val="32"/>
          <w:szCs w:val="32"/>
          <w:highlight w:val="none"/>
          <w:lang w:val="en-US" w:eastAsia="zh-CN"/>
        </w:rPr>
        <w:t>1.22</w:t>
      </w:r>
      <w:r>
        <w:rPr>
          <w:rFonts w:hint="eastAsia" w:ascii="仿宋_GB2312" w:eastAsia="仿宋_GB2312"/>
          <w:color w:val="auto"/>
          <w:sz w:val="32"/>
          <w:szCs w:val="32"/>
          <w:highlight w:val="none"/>
          <w:lang w:val="zh-CN" w:eastAsia="zh-CN"/>
        </w:rPr>
        <w:t>%，比上年</w:t>
      </w:r>
      <w:r>
        <w:rPr>
          <w:rFonts w:hint="eastAsia" w:ascii="仿宋_GB2312" w:eastAsia="仿宋_GB2312"/>
          <w:color w:val="auto"/>
          <w:sz w:val="32"/>
          <w:szCs w:val="32"/>
          <w:highlight w:val="none"/>
          <w:lang w:val="en-US" w:eastAsia="zh-CN"/>
        </w:rPr>
        <w:t>增加0.37</w:t>
      </w:r>
      <w:r>
        <w:rPr>
          <w:rFonts w:hint="eastAsia" w:ascii="仿宋_GB2312" w:eastAsia="仿宋_GB2312"/>
          <w:color w:val="auto"/>
          <w:sz w:val="32"/>
          <w:szCs w:val="32"/>
          <w:highlight w:val="none"/>
          <w:lang w:val="zh-CN" w:eastAsia="zh-CN"/>
        </w:rPr>
        <w:t>万元，</w:t>
      </w:r>
      <w:r>
        <w:rPr>
          <w:rFonts w:hint="eastAsia" w:ascii="仿宋_GB2312" w:eastAsia="仿宋_GB2312"/>
          <w:color w:val="auto"/>
          <w:sz w:val="32"/>
          <w:szCs w:val="32"/>
          <w:highlight w:val="none"/>
          <w:lang w:val="en-US" w:eastAsia="zh-CN"/>
        </w:rPr>
        <w:t>增长31.36</w:t>
      </w:r>
      <w:r>
        <w:rPr>
          <w:rFonts w:hint="eastAsia" w:ascii="仿宋_GB2312" w:eastAsia="仿宋_GB2312"/>
          <w:color w:val="auto"/>
          <w:spacing w:val="0"/>
          <w:sz w:val="32"/>
          <w:szCs w:val="32"/>
          <w:highlight w:val="none"/>
          <w:lang w:val="en-US" w:eastAsia="zh-CN"/>
        </w:rPr>
        <w:t>%,</w:t>
      </w:r>
      <w:r>
        <w:rPr>
          <w:rFonts w:hint="eastAsia" w:ascii="仿宋_GB2312" w:eastAsia="仿宋_GB2312"/>
          <w:color w:val="auto"/>
          <w:sz w:val="32"/>
          <w:szCs w:val="32"/>
          <w:highlight w:val="none"/>
          <w:lang w:val="zh-CN" w:eastAsia="zh-CN"/>
        </w:rPr>
        <w:t>主要原因是：</w:t>
      </w:r>
      <w:r>
        <w:rPr>
          <w:rFonts w:hint="eastAsia" w:ascii="仿宋_GB2312" w:eastAsia="仿宋_GB2312"/>
          <w:color w:val="auto"/>
          <w:sz w:val="32"/>
          <w:szCs w:val="32"/>
          <w:highlight w:val="none"/>
          <w:lang w:val="en-US" w:eastAsia="zh-CN"/>
        </w:rPr>
        <w:t>2022年静态管理，接待人数少；</w:t>
      </w:r>
      <w:r>
        <w:rPr>
          <w:rFonts w:hint="eastAsia" w:ascii="仿宋_GB2312" w:hAnsi="Times New Roman" w:eastAsia="仿宋_GB2312" w:cs="Times New Roman"/>
          <w:color w:val="auto"/>
          <w:spacing w:val="0"/>
          <w:sz w:val="32"/>
          <w:szCs w:val="32"/>
          <w:highlight w:val="none"/>
          <w:lang w:val="en-US" w:eastAsia="zh-CN"/>
        </w:rPr>
        <w:t>2023年对口援疆、各单位交流等产生的接待批次及人数较上年度增加</w:t>
      </w:r>
      <w:r>
        <w:rPr>
          <w:rFonts w:hint="eastAsia" w:ascii="仿宋_GB2312" w:hAnsi="Times New Roman" w:eastAsia="仿宋_GB2312" w:cs="Times New Roman"/>
          <w:color w:val="auto"/>
          <w:spacing w:val="0"/>
          <w:sz w:val="32"/>
          <w:szCs w:val="32"/>
          <w:highlight w:val="none"/>
          <w:lang w:val="zh-CN" w:eastAsia="zh-CN"/>
        </w:rPr>
        <w:t>。</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具体情况如下：</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因公出国（境）费支出0.00万元，开支内容包括</w:t>
      </w:r>
      <w:r>
        <w:rPr>
          <w:rFonts w:hint="eastAsia" w:ascii="仿宋_GB2312" w:hAnsi="Times New Roman" w:eastAsia="仿宋_GB2312" w:cs="Times New Roman"/>
          <w:color w:val="auto"/>
          <w:spacing w:val="0"/>
          <w:sz w:val="32"/>
          <w:szCs w:val="32"/>
          <w:highlight w:val="none"/>
          <w:lang w:val="en-US" w:eastAsia="zh-CN"/>
        </w:rPr>
        <w:t>无因公出国（境）费</w:t>
      </w:r>
      <w:r>
        <w:rPr>
          <w:rFonts w:hint="eastAsia" w:ascii="仿宋_GB2312" w:eastAsia="仿宋_GB2312"/>
          <w:color w:val="auto"/>
          <w:sz w:val="32"/>
          <w:szCs w:val="32"/>
          <w:highlight w:val="none"/>
          <w:lang w:val="zh-CN" w:eastAsia="zh-CN"/>
        </w:rPr>
        <w:t>。单位全年安排的因公出国（境）团组0个，因公出国（境）0人次。</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Times New Roman" w:eastAsia="仿宋_GB2312" w:cs="Times New Roman"/>
          <w:color w:val="auto"/>
          <w:spacing w:val="0"/>
          <w:sz w:val="32"/>
          <w:szCs w:val="32"/>
          <w:highlight w:val="none"/>
          <w:lang w:val="en-US" w:eastAsia="zh-CN"/>
        </w:rPr>
      </w:pPr>
      <w:r>
        <w:rPr>
          <w:rFonts w:hint="eastAsia" w:ascii="仿宋_GB2312" w:eastAsia="仿宋_GB2312"/>
          <w:color w:val="auto"/>
          <w:sz w:val="32"/>
          <w:szCs w:val="32"/>
          <w:highlight w:val="none"/>
          <w:lang w:val="zh-CN" w:eastAsia="zh-CN"/>
        </w:rPr>
        <w:t>公务用车购置及运行维护费125.12万元，其中：公务用车购置费0.00万元，公务用车运行维护费125.12万元。公务用车运行维护费开支内容包括</w:t>
      </w:r>
      <w:r>
        <w:rPr>
          <w:rFonts w:hint="eastAsia" w:ascii="仿宋_GB2312" w:hAnsi="Times New Roman" w:eastAsia="仿宋_GB2312" w:cs="Times New Roman"/>
          <w:color w:val="auto"/>
          <w:spacing w:val="0"/>
          <w:sz w:val="32"/>
          <w:szCs w:val="32"/>
          <w:highlight w:val="none"/>
          <w:lang w:val="en-US" w:eastAsia="zh-CN"/>
        </w:rPr>
        <w:t>公务用车燃料费、维修费、及车辆保险等其他费用</w:t>
      </w:r>
      <w:r>
        <w:rPr>
          <w:rFonts w:hint="eastAsia" w:ascii="仿宋_GB2312" w:eastAsia="仿宋_GB2312"/>
          <w:color w:val="auto"/>
          <w:sz w:val="32"/>
          <w:szCs w:val="32"/>
          <w:highlight w:val="none"/>
          <w:lang w:val="zh-CN" w:eastAsia="zh-CN"/>
        </w:rPr>
        <w:t>。公务用车购置数0辆，公务用车保有量81辆。国有资产占用情况</w:t>
      </w:r>
      <w:r>
        <w:rPr>
          <w:rFonts w:hint="eastAsia" w:ascii="仿宋_GB2312" w:eastAsia="仿宋_GB2312"/>
          <w:color w:val="auto"/>
          <w:sz w:val="32"/>
          <w:szCs w:val="32"/>
          <w:highlight w:val="none"/>
          <w:lang w:val="en-US" w:eastAsia="zh-CN"/>
        </w:rPr>
        <w:t>中固定资产车辆</w:t>
      </w:r>
      <w:r>
        <w:rPr>
          <w:rFonts w:hint="eastAsia" w:ascii="仿宋_GB2312" w:eastAsia="仿宋_GB2312"/>
          <w:color w:val="auto"/>
          <w:sz w:val="32"/>
          <w:szCs w:val="32"/>
          <w:highlight w:val="none"/>
          <w:lang w:val="zh-CN" w:eastAsia="zh-CN"/>
        </w:rPr>
        <w:t>91辆，</w:t>
      </w:r>
      <w:r>
        <w:rPr>
          <w:rFonts w:hint="eastAsia" w:ascii="仿宋_GB2312" w:eastAsia="仿宋_GB2312"/>
          <w:color w:val="auto"/>
          <w:sz w:val="32"/>
          <w:szCs w:val="32"/>
          <w:highlight w:val="none"/>
          <w:lang w:val="en-US" w:eastAsia="zh-CN"/>
        </w:rPr>
        <w:t>与</w:t>
      </w:r>
      <w:r>
        <w:rPr>
          <w:rFonts w:hint="eastAsia" w:ascii="仿宋_GB2312" w:eastAsia="仿宋_GB2312"/>
          <w:color w:val="auto"/>
          <w:sz w:val="32"/>
          <w:szCs w:val="32"/>
          <w:highlight w:val="none"/>
          <w:lang w:val="zh-CN" w:eastAsia="zh-CN"/>
        </w:rPr>
        <w:t>公务用车</w:t>
      </w:r>
      <w:r>
        <w:rPr>
          <w:rFonts w:hint="eastAsia" w:ascii="仿宋_GB2312" w:eastAsia="仿宋_GB2312"/>
          <w:color w:val="auto"/>
          <w:sz w:val="32"/>
          <w:szCs w:val="32"/>
          <w:highlight w:val="none"/>
          <w:lang w:val="en-US" w:eastAsia="zh-CN"/>
        </w:rPr>
        <w:t>保有量差异</w:t>
      </w:r>
      <w:r>
        <w:rPr>
          <w:rFonts w:hint="eastAsia" w:ascii="仿宋_GB2312" w:eastAsia="仿宋_GB2312"/>
          <w:color w:val="auto"/>
          <w:sz w:val="32"/>
          <w:szCs w:val="32"/>
          <w:highlight w:val="none"/>
          <w:lang w:val="zh-CN" w:eastAsia="zh-CN"/>
        </w:rPr>
        <w:t>原因是：</w:t>
      </w:r>
      <w:r>
        <w:rPr>
          <w:rFonts w:hint="eastAsia" w:ascii="仿宋_GB2312" w:hAnsi="Times New Roman" w:eastAsia="仿宋_GB2312" w:cs="Times New Roman"/>
          <w:color w:val="auto"/>
          <w:spacing w:val="0"/>
          <w:sz w:val="32"/>
          <w:szCs w:val="32"/>
          <w:highlight w:val="none"/>
          <w:lang w:val="en-US" w:eastAsia="zh-CN"/>
        </w:rPr>
        <w:t>实物已达到报废年限，因历史沿革等问题账面和资产系统内未能核销，导致车辆保有数与资产占用情况出现差异</w:t>
      </w:r>
      <w:r>
        <w:rPr>
          <w:rFonts w:hint="eastAsia" w:ascii="仿宋_GB2312" w:hAnsi="Times New Roman" w:eastAsia="仿宋_GB2312" w:cs="Times New Roman"/>
          <w:color w:val="auto"/>
          <w:spacing w:val="0"/>
          <w:sz w:val="32"/>
          <w:szCs w:val="32"/>
          <w:highlight w:val="none"/>
          <w:lang w:val="zh-CN" w:eastAsia="zh-CN"/>
        </w:rPr>
        <w:t>。</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公务接待费1.55万元，开支内容包括</w:t>
      </w:r>
      <w:r>
        <w:rPr>
          <w:rFonts w:hint="eastAsia" w:ascii="仿宋_GB2312" w:eastAsia="仿宋_GB2312"/>
          <w:color w:val="auto"/>
          <w:sz w:val="32"/>
          <w:szCs w:val="32"/>
          <w:highlight w:val="none"/>
          <w:lang w:val="en-US" w:eastAsia="zh-CN"/>
        </w:rPr>
        <w:t>接待</w:t>
      </w:r>
      <w:r>
        <w:rPr>
          <w:rFonts w:hint="eastAsia" w:ascii="仿宋_GB2312" w:hAnsi="Times New Roman" w:eastAsia="仿宋_GB2312" w:cs="Times New Roman"/>
          <w:color w:val="auto"/>
          <w:spacing w:val="0"/>
          <w:sz w:val="32"/>
          <w:szCs w:val="32"/>
          <w:highlight w:val="none"/>
          <w:lang w:val="en-US" w:eastAsia="zh-CN"/>
        </w:rPr>
        <w:t>对口援疆、各单位交流等产生的伙食费</w:t>
      </w:r>
      <w:r>
        <w:rPr>
          <w:rFonts w:hint="eastAsia" w:ascii="仿宋_GB2312" w:eastAsia="仿宋_GB2312"/>
          <w:color w:val="auto"/>
          <w:sz w:val="32"/>
          <w:szCs w:val="32"/>
          <w:highlight w:val="none"/>
          <w:lang w:val="zh-CN" w:eastAsia="zh-CN"/>
        </w:rPr>
        <w:t>。单位全年安排的国内公务接待29批次，197人次。</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与</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预算相比</w:t>
      </w:r>
      <w:r>
        <w:rPr>
          <w:rFonts w:hint="eastAsia" w:ascii="仿宋_GB2312" w:eastAsia="仿宋_GB2312"/>
          <w:color w:val="auto"/>
          <w:sz w:val="32"/>
          <w:szCs w:val="32"/>
          <w:highlight w:val="none"/>
          <w:lang w:val="en-US" w:eastAsia="zh-CN"/>
        </w:rPr>
        <w:t>,</w:t>
      </w:r>
      <w:r>
        <w:rPr>
          <w:rFonts w:hint="eastAsia" w:ascii="仿宋_GB2312" w:eastAsia="仿宋_GB2312"/>
          <w:color w:val="auto"/>
          <w:sz w:val="32"/>
          <w:szCs w:val="32"/>
          <w:highlight w:val="none"/>
          <w:lang w:val="zh-CN" w:eastAsia="zh-CN"/>
        </w:rPr>
        <w:t>财政拨款“三公”经费支出</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预算数129.09万元，决算数126.66万元，预决算差异率</w:t>
      </w:r>
      <w:r>
        <w:rPr>
          <w:rFonts w:hint="eastAsia" w:ascii="仿宋_GB2312" w:eastAsia="仿宋_GB2312"/>
          <w:color w:val="auto"/>
          <w:sz w:val="32"/>
          <w:szCs w:val="32"/>
          <w:highlight w:val="none"/>
          <w:lang w:val="en-US" w:eastAsia="zh-CN"/>
        </w:rPr>
        <w:t>-1.88</w:t>
      </w:r>
      <w:r>
        <w:rPr>
          <w:rFonts w:hint="eastAsia" w:ascii="仿宋_GB2312" w:eastAsia="仿宋_GB2312"/>
          <w:color w:val="auto"/>
          <w:sz w:val="32"/>
          <w:szCs w:val="32"/>
          <w:highlight w:val="none"/>
          <w:lang w:val="zh-CN" w:eastAsia="zh-CN"/>
        </w:rPr>
        <w:t>%，主要原因是：</w:t>
      </w:r>
      <w:r>
        <w:rPr>
          <w:rFonts w:hint="eastAsia" w:ascii="仿宋_GB2312" w:eastAsia="仿宋_GB2312"/>
          <w:sz w:val="32"/>
          <w:szCs w:val="32"/>
        </w:rPr>
        <w:t>秉持厉行节约，严格执行中央八项规定</w:t>
      </w:r>
      <w:r>
        <w:rPr>
          <w:rFonts w:hint="eastAsia" w:ascii="仿宋_GB2312" w:eastAsia="仿宋_GB2312"/>
          <w:color w:val="auto"/>
          <w:sz w:val="32"/>
          <w:szCs w:val="32"/>
          <w:highlight w:val="none"/>
          <w:lang w:val="zh-CN" w:eastAsia="zh-CN"/>
        </w:rPr>
        <w:t>。其中：因公出国（境）费</w:t>
      </w:r>
      <w:r>
        <w:rPr>
          <w:rFonts w:hint="eastAsia" w:ascii="仿宋_GB2312" w:eastAsia="仿宋_GB2312"/>
          <w:color w:val="auto"/>
          <w:sz w:val="32"/>
          <w:szCs w:val="32"/>
          <w:highlight w:val="none"/>
          <w:lang w:val="en-US" w:eastAsia="zh-CN"/>
        </w:rPr>
        <w:t>全年预算数</w:t>
      </w:r>
      <w:r>
        <w:rPr>
          <w:rFonts w:hint="eastAsia" w:ascii="仿宋_GB2312" w:eastAsia="仿宋_GB2312"/>
          <w:color w:val="auto"/>
          <w:sz w:val="32"/>
          <w:szCs w:val="32"/>
          <w:highlight w:val="none"/>
          <w:lang w:val="zh-CN" w:eastAsia="zh-CN"/>
        </w:rPr>
        <w:t>0.00万元，决算数0.00万元，预决算差异率0.00%，主要原因是：</w:t>
      </w:r>
      <w:r>
        <w:rPr>
          <w:rFonts w:hint="eastAsia" w:ascii="仿宋_GB2312" w:eastAsia="仿宋_GB2312"/>
          <w:sz w:val="32"/>
          <w:szCs w:val="32"/>
        </w:rPr>
        <w:t>无因公出国（境）费</w:t>
      </w:r>
      <w:r>
        <w:rPr>
          <w:rFonts w:hint="eastAsia" w:ascii="仿宋_GB2312" w:eastAsia="仿宋_GB2312"/>
          <w:color w:val="auto"/>
          <w:sz w:val="32"/>
          <w:szCs w:val="32"/>
          <w:highlight w:val="none"/>
          <w:lang w:val="zh-CN" w:eastAsia="zh-CN"/>
        </w:rPr>
        <w:t>；公务用车购置费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sz w:val="32"/>
          <w:szCs w:val="32"/>
        </w:rPr>
        <w:t>无公务用车购置费</w:t>
      </w:r>
      <w:r>
        <w:rPr>
          <w:rFonts w:hint="eastAsia" w:ascii="仿宋_GB2312" w:eastAsia="仿宋_GB2312"/>
          <w:color w:val="auto"/>
          <w:sz w:val="32"/>
          <w:szCs w:val="32"/>
          <w:highlight w:val="none"/>
          <w:lang w:val="zh-CN" w:eastAsia="zh-CN"/>
        </w:rPr>
        <w:t>；公务用车运行费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预算数126.59万元，决算数125.12万元，预决算差异率</w:t>
      </w:r>
      <w:r>
        <w:rPr>
          <w:rFonts w:hint="eastAsia" w:ascii="仿宋_GB2312" w:eastAsia="仿宋_GB2312"/>
          <w:color w:val="auto"/>
          <w:sz w:val="32"/>
          <w:szCs w:val="32"/>
          <w:highlight w:val="none"/>
          <w:lang w:val="en-US" w:eastAsia="zh-CN"/>
        </w:rPr>
        <w:t>-1.16</w:t>
      </w:r>
      <w:r>
        <w:rPr>
          <w:rFonts w:hint="eastAsia" w:ascii="仿宋_GB2312" w:eastAsia="仿宋_GB2312"/>
          <w:color w:val="auto"/>
          <w:sz w:val="32"/>
          <w:szCs w:val="32"/>
          <w:highlight w:val="none"/>
          <w:lang w:val="zh-CN" w:eastAsia="zh-CN"/>
        </w:rPr>
        <w:t>%，主要原因是：</w:t>
      </w:r>
      <w:r>
        <w:rPr>
          <w:rFonts w:hint="eastAsia" w:ascii="仿宋_GB2312" w:eastAsia="仿宋_GB2312"/>
          <w:sz w:val="32"/>
          <w:szCs w:val="32"/>
        </w:rPr>
        <w:t>秉持厉行节约，严格执行中央八项规定</w:t>
      </w:r>
      <w:r>
        <w:rPr>
          <w:rFonts w:hint="eastAsia" w:ascii="仿宋_GB2312" w:eastAsia="仿宋_GB2312"/>
          <w:sz w:val="32"/>
          <w:szCs w:val="32"/>
          <w:lang w:eastAsia="zh-CN"/>
        </w:rPr>
        <w:t>，</w:t>
      </w:r>
      <w:r>
        <w:rPr>
          <w:rFonts w:hint="eastAsia" w:ascii="仿宋_GB2312" w:eastAsia="仿宋_GB2312"/>
          <w:sz w:val="32"/>
          <w:szCs w:val="32"/>
          <w:lang w:val="en-US" w:eastAsia="zh-CN"/>
        </w:rPr>
        <w:t>减少公车运行开支</w:t>
      </w:r>
      <w:r>
        <w:rPr>
          <w:rFonts w:hint="eastAsia" w:ascii="仿宋_GB2312" w:eastAsia="仿宋_GB2312"/>
          <w:color w:val="auto"/>
          <w:sz w:val="32"/>
          <w:szCs w:val="32"/>
          <w:highlight w:val="none"/>
          <w:lang w:val="zh-CN" w:eastAsia="zh-CN"/>
        </w:rPr>
        <w:t>；公务接待费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预算数2.50万元，决算数1.55万元，预决算差异率</w:t>
      </w:r>
      <w:r>
        <w:rPr>
          <w:rFonts w:hint="eastAsia" w:ascii="仿宋_GB2312" w:eastAsia="仿宋_GB2312"/>
          <w:color w:val="auto"/>
          <w:sz w:val="32"/>
          <w:szCs w:val="32"/>
          <w:highlight w:val="none"/>
          <w:lang w:val="en-US" w:eastAsia="zh-CN"/>
        </w:rPr>
        <w:t>-38</w:t>
      </w:r>
      <w:r>
        <w:rPr>
          <w:rFonts w:hint="eastAsia" w:ascii="仿宋_GB2312" w:eastAsia="仿宋_GB2312"/>
          <w:color w:val="auto"/>
          <w:sz w:val="32"/>
          <w:szCs w:val="32"/>
          <w:highlight w:val="none"/>
          <w:lang w:val="zh-CN" w:eastAsia="zh-CN"/>
        </w:rPr>
        <w:t>%，主要原因是：</w:t>
      </w:r>
      <w:r>
        <w:rPr>
          <w:rFonts w:hint="eastAsia" w:ascii="仿宋_GB2312" w:eastAsia="仿宋_GB2312"/>
          <w:sz w:val="32"/>
          <w:szCs w:val="32"/>
        </w:rPr>
        <w:t>秉持厉行节约，严格执行中央八项规定</w:t>
      </w:r>
      <w:r>
        <w:rPr>
          <w:rFonts w:hint="eastAsia" w:ascii="仿宋_GB2312" w:eastAsia="仿宋_GB2312"/>
          <w:sz w:val="32"/>
          <w:szCs w:val="32"/>
          <w:lang w:eastAsia="zh-CN"/>
        </w:rPr>
        <w:t>，</w:t>
      </w:r>
      <w:r>
        <w:rPr>
          <w:rFonts w:hint="eastAsia" w:ascii="仿宋_GB2312" w:eastAsia="仿宋_GB2312"/>
          <w:sz w:val="32"/>
          <w:szCs w:val="32"/>
          <w:lang w:val="en-US" w:eastAsia="zh-CN"/>
        </w:rPr>
        <w:t>减少接待开支</w:t>
      </w:r>
      <w:r>
        <w:rPr>
          <w:rFonts w:hint="eastAsia" w:ascii="仿宋_GB2312" w:eastAsia="仿宋_GB2312"/>
          <w:color w:val="auto"/>
          <w:sz w:val="32"/>
          <w:szCs w:val="32"/>
          <w:highlight w:val="none"/>
          <w:lang w:val="zh-CN"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8" w:name="_Toc7927"/>
      <w:bookmarkStart w:id="19" w:name="_Toc5810"/>
      <w:r>
        <w:rPr>
          <w:rFonts w:hint="eastAsia" w:ascii="黑体" w:hAnsi="黑体" w:eastAsia="黑体" w:cs="宋体"/>
          <w:bCs/>
          <w:color w:val="auto"/>
          <w:kern w:val="0"/>
          <w:sz w:val="32"/>
          <w:szCs w:val="32"/>
          <w:highlight w:val="none"/>
          <w:lang w:val="en-US" w:eastAsia="zh-CN"/>
        </w:rPr>
        <w:t>八</w:t>
      </w:r>
      <w:r>
        <w:rPr>
          <w:rFonts w:hint="eastAsia" w:ascii="黑体" w:hAnsi="黑体" w:eastAsia="黑体" w:cs="宋体"/>
          <w:bCs/>
          <w:color w:val="auto"/>
          <w:kern w:val="0"/>
          <w:sz w:val="32"/>
          <w:szCs w:val="32"/>
          <w:highlight w:val="none"/>
          <w:lang w:eastAsia="zh-CN"/>
        </w:rPr>
        <w:t>、政府性基金预算财政拨款收入支出决算情况说明</w:t>
      </w:r>
      <w:bookmarkEnd w:id="18"/>
      <w:bookmarkEnd w:id="19"/>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部门</w:t>
      </w:r>
      <w:r>
        <w:rPr>
          <w:rFonts w:hint="eastAsia" w:ascii="仿宋_GB2312" w:eastAsia="仿宋_GB2312"/>
          <w:color w:val="auto"/>
          <w:sz w:val="32"/>
          <w:szCs w:val="32"/>
          <w:highlight w:val="none"/>
          <w:lang w:eastAsia="zh-CN"/>
        </w:rPr>
        <w:t>本年度无政府性基金预算财政拨款收入、支出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政府性基金预算财政拨款收入支出决算表为空表。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九</w:t>
      </w:r>
      <w:r>
        <w:rPr>
          <w:rFonts w:hint="eastAsia" w:ascii="黑体" w:hAnsi="黑体" w:eastAsia="黑体" w:cs="宋体"/>
          <w:bCs/>
          <w:color w:val="auto"/>
          <w:kern w:val="0"/>
          <w:sz w:val="32"/>
          <w:szCs w:val="32"/>
          <w:highlight w:val="none"/>
          <w:lang w:eastAsia="zh-CN"/>
        </w:rPr>
        <w:t>、国有资本经营预算财政拨款收入支出决算情况说明</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部门</w:t>
      </w:r>
      <w:r>
        <w:rPr>
          <w:rFonts w:hint="eastAsia" w:ascii="仿宋_GB2312" w:eastAsia="仿宋_GB2312"/>
          <w:color w:val="auto"/>
          <w:sz w:val="32"/>
          <w:szCs w:val="32"/>
          <w:highlight w:val="none"/>
          <w:lang w:eastAsia="zh-CN"/>
        </w:rPr>
        <w:t>本年度无国有资本经营预算财政拨款收入、支出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，国有资本经营</w:t>
      </w:r>
      <w:r>
        <w:rPr>
          <w:rFonts w:hint="eastAsia" w:ascii="仿宋_GB2312" w:eastAsia="仿宋_GB2312"/>
          <w:color w:val="auto"/>
          <w:sz w:val="32"/>
          <w:szCs w:val="32"/>
          <w:highlight w:val="none"/>
        </w:rPr>
        <w:t>预算财政拨款收入支出决算表为空表。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0" w:name="_Toc1235"/>
      <w:bookmarkStart w:id="21" w:name="_Toc7314"/>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rPr>
        <w:t>、其他重要事项的情况</w:t>
      </w:r>
      <w:r>
        <w:rPr>
          <w:rFonts w:hint="eastAsia" w:ascii="黑体" w:hAnsi="黑体" w:eastAsia="黑体" w:cs="宋体"/>
          <w:bCs/>
          <w:color w:val="auto"/>
          <w:kern w:val="0"/>
          <w:sz w:val="32"/>
          <w:szCs w:val="32"/>
          <w:highlight w:val="none"/>
          <w:lang w:eastAsia="zh-CN"/>
        </w:rPr>
        <w:t>说明</w:t>
      </w:r>
      <w:bookmarkEnd w:id="20"/>
      <w:bookmarkEnd w:id="2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rPr>
      </w:pPr>
      <w:bookmarkStart w:id="22" w:name="_Toc13105"/>
      <w:bookmarkStart w:id="23" w:name="_Toc14519"/>
      <w:r>
        <w:rPr>
          <w:rFonts w:hint="eastAsia" w:ascii="黑体" w:hAnsi="黑体" w:eastAsia="黑体"/>
          <w:color w:val="auto"/>
          <w:sz w:val="32"/>
          <w:szCs w:val="32"/>
          <w:highlight w:val="none"/>
          <w:lang w:eastAsia="zh-CN"/>
        </w:rPr>
        <w:t>（一）</w:t>
      </w:r>
      <w:r>
        <w:rPr>
          <w:rFonts w:hint="eastAsia" w:ascii="黑体" w:hAnsi="黑体" w:eastAsia="黑体"/>
          <w:color w:val="auto"/>
          <w:sz w:val="32"/>
          <w:szCs w:val="32"/>
          <w:highlight w:val="none"/>
        </w:rPr>
        <w:t>机关运行经费支出情况</w:t>
      </w:r>
      <w:bookmarkEnd w:id="22"/>
      <w:bookmarkEnd w:id="2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outlineLvl w:val="2"/>
        <w:rPr>
          <w:rFonts w:hint="eastAsia" w:ascii="Times New Roman" w:hAnsi="Times New Roman" w:eastAsia="仿宋_GB2312" w:cs="Times New Roman"/>
          <w:color w:val="auto"/>
          <w:sz w:val="32"/>
          <w:szCs w:val="32"/>
          <w:highlight w:val="none"/>
          <w:lang w:val="en-US" w:eastAsia="zh-CN"/>
        </w:rPr>
      </w:pPr>
      <w:bookmarkStart w:id="24" w:name="_Toc227"/>
      <w:bookmarkStart w:id="25" w:name="_Toc26704"/>
      <w:r>
        <w:rPr>
          <w:rFonts w:hint="eastAsia" w:ascii="Times New Roman" w:hAnsi="Times New Roman" w:eastAsia="仿宋_GB2312" w:cs="Times New Roman"/>
          <w:color w:val="auto"/>
          <w:sz w:val="32"/>
          <w:szCs w:val="32"/>
          <w:highlight w:val="none"/>
          <w:lang w:val="zh-CN" w:eastAsia="zh-CN"/>
        </w:rPr>
        <w:t>2023年度</w:t>
      </w:r>
      <w:r>
        <w:rPr>
          <w:rFonts w:hint="eastAsia" w:ascii="Times New Roman" w:hAnsi="Times New Roman" w:eastAsia="仿宋_GB2312" w:cs="Times New Roman"/>
          <w:color w:val="auto"/>
          <w:sz w:val="32"/>
          <w:szCs w:val="32"/>
          <w:highlight w:val="none"/>
          <w:lang w:val="en-US" w:eastAsia="zh-CN"/>
        </w:rPr>
        <w:t>新疆维吾尔自治区水文局（行政单位和参照公务员法管理事业单位）机关运行经费支出163.86万元，</w:t>
      </w:r>
      <w:r>
        <w:rPr>
          <w:rFonts w:hint="eastAsia" w:ascii="Times New Roman" w:hAnsi="Times New Roman" w:eastAsia="仿宋_GB2312" w:cs="Times New Roman"/>
          <w:color w:val="auto"/>
          <w:sz w:val="32"/>
          <w:szCs w:val="32"/>
          <w:highlight w:val="none"/>
          <w:lang w:val="zh-CN" w:eastAsia="zh-CN"/>
        </w:rPr>
        <w:t>比上年减少3.64万元，下降2.17%，主要原因是：消化非财政结余及专用结余支出致使基本支出</w:t>
      </w:r>
      <w:r>
        <w:rPr>
          <w:rFonts w:hint="eastAsia" w:ascii="Times New Roman" w:hAnsi="Times New Roman" w:eastAsia="仿宋_GB2312" w:cs="Times New Roman"/>
          <w:color w:val="auto"/>
          <w:sz w:val="32"/>
          <w:szCs w:val="32"/>
          <w:highlight w:val="none"/>
          <w:lang w:val="en-US" w:eastAsia="zh-CN"/>
        </w:rPr>
        <w:t>下降。</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outlineLvl w:val="2"/>
        <w:rPr>
          <w:rFonts w:hint="eastAsia" w:ascii="Times New Roman" w:hAnsi="Times New Roman" w:eastAsia="仿宋_GB2312" w:cs="Times New Roman"/>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新疆维吾尔自治区水文局公用经费917.29万元，</w:t>
      </w:r>
      <w:r>
        <w:rPr>
          <w:rFonts w:hint="eastAsia" w:ascii="仿宋_GB2312" w:hAnsi="仿宋_GB2312" w:eastAsia="仿宋_GB2312" w:cs="仿宋_GB2312"/>
          <w:color w:val="auto"/>
          <w:sz w:val="32"/>
          <w:szCs w:val="32"/>
          <w:highlight w:val="none"/>
          <w:lang w:val="zh-CN" w:eastAsia="zh-CN"/>
        </w:rPr>
        <w:t>比上年减少</w:t>
      </w:r>
      <w:r>
        <w:rPr>
          <w:rFonts w:hint="eastAsia" w:ascii="仿宋_GB2312" w:hAnsi="仿宋_GB2312" w:eastAsia="仿宋_GB2312" w:cs="仿宋_GB2312"/>
          <w:color w:val="auto"/>
          <w:sz w:val="32"/>
          <w:szCs w:val="32"/>
          <w:highlight w:val="none"/>
          <w:lang w:val="en-US" w:eastAsia="zh-CN"/>
        </w:rPr>
        <w:t>106.90万元，</w:t>
      </w:r>
      <w:r>
        <w:rPr>
          <w:rFonts w:hint="eastAsia" w:ascii="仿宋_GB2312" w:hAnsi="仿宋_GB2312" w:eastAsia="仿宋_GB2312" w:cs="仿宋_GB2312"/>
          <w:color w:val="auto"/>
          <w:sz w:val="32"/>
          <w:szCs w:val="32"/>
          <w:highlight w:val="none"/>
          <w:lang w:val="zh-CN" w:eastAsia="zh-CN"/>
        </w:rPr>
        <w:t>下降10.44%，主要原因是：</w:t>
      </w:r>
      <w:r>
        <w:rPr>
          <w:rFonts w:hint="eastAsia" w:ascii="Times New Roman" w:hAnsi="Times New Roman" w:eastAsia="仿宋_GB2312" w:cs="Times New Roman"/>
          <w:color w:val="auto"/>
          <w:sz w:val="32"/>
          <w:szCs w:val="32"/>
          <w:highlight w:val="none"/>
          <w:lang w:val="zh-CN" w:eastAsia="zh-CN"/>
        </w:rPr>
        <w:t>消化非财政结余及专用结余支出致使基本支出</w:t>
      </w:r>
      <w:r>
        <w:rPr>
          <w:rFonts w:hint="eastAsia" w:ascii="Times New Roman" w:hAnsi="Times New Roman" w:eastAsia="仿宋_GB2312" w:cs="Times New Roman"/>
          <w:color w:val="auto"/>
          <w:sz w:val="32"/>
          <w:szCs w:val="32"/>
          <w:highlight w:val="none"/>
          <w:lang w:val="en-US" w:eastAsia="zh-CN"/>
        </w:rPr>
        <w:t>下降。</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r>
        <w:rPr>
          <w:rFonts w:hint="eastAsia" w:ascii="Times New Roman" w:hAnsi="Times New Roman" w:eastAsia="黑体" w:cs="Times New Roman"/>
          <w:color w:val="auto"/>
          <w:sz w:val="32"/>
          <w:szCs w:val="30"/>
          <w:highlight w:val="none"/>
          <w:lang w:val="zh-CN" w:eastAsia="zh-CN"/>
        </w:rPr>
        <w:t>（二）政府采购情况</w:t>
      </w:r>
      <w:bookmarkEnd w:id="24"/>
      <w:bookmarkEnd w:id="2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zh-CN"/>
        </w:rPr>
      </w:pPr>
      <w:r>
        <w:rPr>
          <w:rFonts w:hint="eastAsia" w:ascii="Times New Roman" w:hAnsi="Times New Roman" w:eastAsia="仿宋_GB2312" w:cs="Times New Roman"/>
          <w:color w:val="auto"/>
          <w:sz w:val="32"/>
          <w:szCs w:val="32"/>
          <w:highlight w:val="none"/>
          <w:lang w:val="zh-CN" w:eastAsia="zh-CN"/>
        </w:rPr>
        <w:t>2023年度</w:t>
      </w:r>
      <w:r>
        <w:rPr>
          <w:rFonts w:hint="eastAsia" w:ascii="Times New Roman" w:hAnsi="Times New Roman" w:eastAsia="仿宋_GB2312" w:cs="Times New Roman"/>
          <w:color w:val="auto"/>
          <w:sz w:val="32"/>
          <w:szCs w:val="32"/>
          <w:highlight w:val="none"/>
          <w:lang w:val="zh-CN"/>
        </w:rPr>
        <w:t>政府采购支出总额</w:t>
      </w:r>
      <w:r>
        <w:rPr>
          <w:rFonts w:hint="eastAsia" w:ascii="Times New Roman" w:hAnsi="Times New Roman" w:eastAsia="仿宋_GB2312" w:cs="Times New Roman"/>
          <w:color w:val="auto"/>
          <w:sz w:val="32"/>
          <w:szCs w:val="32"/>
          <w:highlight w:val="none"/>
          <w:lang w:val="zh-CN" w:eastAsia="zh-CN"/>
        </w:rPr>
        <w:t>2,374.33万元</w:t>
      </w:r>
      <w:r>
        <w:rPr>
          <w:rFonts w:hint="eastAsia" w:ascii="Times New Roman" w:hAnsi="Times New Roman" w:eastAsia="仿宋_GB2312" w:cs="Times New Roman"/>
          <w:color w:val="auto"/>
          <w:sz w:val="32"/>
          <w:szCs w:val="32"/>
          <w:highlight w:val="none"/>
          <w:lang w:val="zh-CN"/>
        </w:rPr>
        <w:t>，</w:t>
      </w:r>
      <w:r>
        <w:rPr>
          <w:rFonts w:hint="eastAsia" w:ascii="Times New Roman" w:hAnsi="Times New Roman" w:eastAsia="仿宋_GB2312" w:cs="Times New Roman"/>
          <w:color w:val="auto"/>
          <w:sz w:val="32"/>
          <w:szCs w:val="32"/>
          <w:highlight w:val="none"/>
          <w:lang w:val="zh-CN" w:eastAsia="zh-CN"/>
        </w:rPr>
        <w:t>其中：政府采购货物支出1,403.91万元、政府采购工程支出204.06万元、政府采购服务支出766.36万元。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zh-CN" w:eastAsia="zh-CN"/>
        </w:rPr>
        <w:t>授予中小企业合同金额2,169.32万元，占政府采购支出总额的91.37</w:t>
      </w:r>
      <w:r>
        <w:rPr>
          <w:rFonts w:hint="default"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zh-CN" w:eastAsia="zh-CN"/>
        </w:rPr>
        <w:t>，其中：授予小微企业合同金额1,796.42万元，占政府采购支出总额的75.66</w:t>
      </w:r>
      <w:r>
        <w:rPr>
          <w:rFonts w:hint="default"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bookmarkStart w:id="26" w:name="_Toc4591"/>
      <w:bookmarkStart w:id="27" w:name="_Toc8391"/>
      <w:r>
        <w:rPr>
          <w:rFonts w:hint="eastAsia" w:ascii="Times New Roman" w:hAnsi="Times New Roman" w:eastAsia="黑体" w:cs="Times New Roman"/>
          <w:color w:val="auto"/>
          <w:sz w:val="32"/>
          <w:szCs w:val="30"/>
          <w:highlight w:val="none"/>
          <w:lang w:val="zh-CN" w:eastAsia="zh-CN"/>
        </w:rPr>
        <w:t>（三）国有资产占用情况说明</w:t>
      </w:r>
      <w:bookmarkEnd w:id="26"/>
      <w:bookmarkEnd w:id="2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zh-CN" w:eastAsia="zh-CN"/>
        </w:rPr>
      </w:pPr>
      <w:r>
        <w:rPr>
          <w:rFonts w:hint="eastAsia" w:ascii="Times New Roman" w:hAnsi="Times New Roman" w:eastAsia="仿宋_GB2312" w:cs="Times New Roman"/>
          <w:color w:val="auto"/>
          <w:sz w:val="32"/>
          <w:szCs w:val="32"/>
          <w:highlight w:val="none"/>
          <w:lang w:val="en-US" w:eastAsia="zh-CN"/>
        </w:rPr>
        <w:t>截至2023</w:t>
      </w:r>
      <w:r>
        <w:rPr>
          <w:rFonts w:hint="eastAsia" w:ascii="Times New Roman" w:hAnsi="Times New Roman" w:eastAsia="仿宋_GB2312" w:cs="Times New Roman"/>
          <w:color w:val="auto"/>
          <w:sz w:val="32"/>
          <w:szCs w:val="32"/>
          <w:highlight w:val="none"/>
          <w:lang w:val="zh-CN" w:eastAsia="zh-CN"/>
        </w:rPr>
        <w:t>年</w:t>
      </w:r>
      <w:r>
        <w:rPr>
          <w:rFonts w:hint="eastAsia" w:ascii="Times New Roman" w:hAnsi="Times New Roman" w:eastAsia="仿宋_GB2312" w:cs="Times New Roman"/>
          <w:color w:val="auto"/>
          <w:sz w:val="32"/>
          <w:szCs w:val="32"/>
          <w:highlight w:val="none"/>
          <w:lang w:val="en-US" w:eastAsia="zh-CN"/>
        </w:rPr>
        <w:t>12月31日</w:t>
      </w:r>
      <w:r>
        <w:rPr>
          <w:rFonts w:hint="eastAsia"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en-US" w:eastAsia="zh-CN"/>
        </w:rPr>
        <w:t>固定资产原值</w:t>
      </w:r>
      <w:r>
        <w:rPr>
          <w:rFonts w:hint="eastAsia" w:ascii="Times New Roman" w:hAnsi="Times New Roman" w:eastAsia="仿宋_GB2312" w:cs="Times New Roman"/>
          <w:color w:val="auto"/>
          <w:sz w:val="32"/>
          <w:szCs w:val="32"/>
          <w:highlight w:val="none"/>
          <w:lang w:val="zh-CN" w:eastAsia="zh-CN"/>
        </w:rPr>
        <w:t>42,446.40</w:t>
      </w:r>
      <w:r>
        <w:rPr>
          <w:rFonts w:hint="eastAsia" w:ascii="Times New Roman" w:hAnsi="Times New Roman" w:eastAsia="仿宋_GB2312" w:cs="Times New Roman"/>
          <w:color w:val="auto"/>
          <w:sz w:val="32"/>
          <w:szCs w:val="32"/>
          <w:highlight w:val="none"/>
          <w:lang w:val="en-US" w:eastAsia="zh-CN"/>
        </w:rPr>
        <w:t>万元，房</w:t>
      </w:r>
      <w:r>
        <w:rPr>
          <w:rFonts w:hint="eastAsia" w:ascii="Times New Roman" w:hAnsi="Times New Roman" w:eastAsia="仿宋_GB2312" w:cs="Times New Roman"/>
          <w:color w:val="auto"/>
          <w:sz w:val="32"/>
          <w:szCs w:val="32"/>
          <w:highlight w:val="none"/>
          <w:lang w:val="zh-CN" w:eastAsia="zh-CN"/>
        </w:rPr>
        <w:t>屋118493.31平方米，价值13,235.32万元。车辆91辆，价值2,274.35万元，其中：副部（省）级及以上领导用车0辆、主要</w:t>
      </w:r>
      <w:r>
        <w:rPr>
          <w:rFonts w:hint="eastAsia" w:ascii="Times New Roman" w:hAnsi="Times New Roman" w:eastAsia="仿宋_GB2312" w:cs="Times New Roman"/>
          <w:color w:val="auto"/>
          <w:sz w:val="32"/>
          <w:szCs w:val="32"/>
          <w:highlight w:val="none"/>
          <w:lang w:val="en-US" w:eastAsia="zh-CN"/>
        </w:rPr>
        <w:t>负责人</w:t>
      </w:r>
      <w:r>
        <w:rPr>
          <w:rFonts w:hint="eastAsia" w:ascii="Times New Roman" w:hAnsi="Times New Roman" w:eastAsia="仿宋_GB2312" w:cs="Times New Roman"/>
          <w:color w:val="auto"/>
          <w:sz w:val="32"/>
          <w:szCs w:val="32"/>
          <w:highlight w:val="none"/>
          <w:lang w:val="zh-CN" w:eastAsia="zh-CN"/>
        </w:rPr>
        <w:t>用车0辆、机要通信用车0辆、应急保障用车0辆、执法执勤用车0辆、特种专业技术用车6辆、离退休干部</w:t>
      </w:r>
      <w:r>
        <w:rPr>
          <w:rFonts w:hint="eastAsia" w:ascii="Times New Roman" w:hAnsi="Times New Roman" w:eastAsia="仿宋_GB2312" w:cs="Times New Roman"/>
          <w:color w:val="auto"/>
          <w:sz w:val="32"/>
          <w:szCs w:val="32"/>
          <w:highlight w:val="none"/>
          <w:lang w:val="en-US" w:eastAsia="zh-CN"/>
        </w:rPr>
        <w:t>服务</w:t>
      </w:r>
      <w:r>
        <w:rPr>
          <w:rFonts w:hint="eastAsia" w:ascii="Times New Roman" w:hAnsi="Times New Roman" w:eastAsia="仿宋_GB2312" w:cs="Times New Roman"/>
          <w:color w:val="auto"/>
          <w:sz w:val="32"/>
          <w:szCs w:val="32"/>
          <w:highlight w:val="none"/>
          <w:lang w:val="zh-CN" w:eastAsia="zh-CN"/>
        </w:rPr>
        <w:t>用车0辆、其他用车85辆，其他用车主要是：</w:t>
      </w:r>
      <w:r>
        <w:rPr>
          <w:rFonts w:hint="eastAsia" w:ascii="仿宋_GB2312" w:eastAsia="仿宋_GB2312"/>
          <w:sz w:val="32"/>
          <w:szCs w:val="32"/>
        </w:rPr>
        <w:t>一般公务用车及业务用车</w:t>
      </w:r>
      <w:r>
        <w:rPr>
          <w:rFonts w:hint="eastAsia" w:ascii="Times New Roman" w:hAnsi="Times New Roman" w:eastAsia="仿宋_GB2312" w:cs="Times New Roman"/>
          <w:color w:val="auto"/>
          <w:sz w:val="32"/>
          <w:szCs w:val="32"/>
          <w:highlight w:val="none"/>
          <w:lang w:val="zh-CN" w:eastAsia="zh-CN"/>
        </w:rPr>
        <w:t>；单价100万元（含）以上设备（不含车辆）2</w:t>
      </w:r>
      <w:r>
        <w:rPr>
          <w:rFonts w:hint="eastAsia" w:ascii="Times New Roman" w:hAnsi="Times New Roman" w:eastAsia="仿宋_GB2312" w:cs="Times New Roman"/>
          <w:color w:val="auto"/>
          <w:sz w:val="32"/>
          <w:szCs w:val="32"/>
          <w:highlight w:val="none"/>
          <w:lang w:val="en-US" w:eastAsia="zh-CN"/>
        </w:rPr>
        <w:t>台（</w:t>
      </w:r>
      <w:r>
        <w:rPr>
          <w:rFonts w:hint="eastAsia" w:ascii="Times New Roman" w:hAnsi="Times New Roman" w:eastAsia="仿宋_GB2312" w:cs="Times New Roman"/>
          <w:color w:val="auto"/>
          <w:sz w:val="32"/>
          <w:szCs w:val="32"/>
          <w:highlight w:val="none"/>
          <w:lang w:val="zh-CN" w:eastAsia="zh-CN"/>
        </w:rPr>
        <w:t>套）。</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8" w:name="_Toc11283"/>
      <w:bookmarkStart w:id="29" w:name="_Toc435"/>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一</w:t>
      </w:r>
      <w:r>
        <w:rPr>
          <w:rFonts w:hint="eastAsia" w:ascii="黑体" w:hAnsi="黑体" w:eastAsia="黑体" w:cs="宋体"/>
          <w:bCs/>
          <w:color w:val="auto"/>
          <w:kern w:val="0"/>
          <w:sz w:val="32"/>
          <w:szCs w:val="32"/>
          <w:highlight w:val="none"/>
          <w:lang w:eastAsia="zh-CN"/>
        </w:rPr>
        <w:t>、预算绩效的情况说明</w:t>
      </w:r>
      <w:bookmarkEnd w:id="28"/>
      <w:bookmarkEnd w:id="29"/>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宋体" w:eastAsia="仿宋_GB2312" w:cs="仿宋_GB2312"/>
          <w:i w:val="0"/>
          <w:caps w:val="0"/>
          <w:color w:val="000000"/>
          <w:spacing w:val="0"/>
          <w:sz w:val="31"/>
          <w:szCs w:val="31"/>
          <w:shd w:val="clear" w:fill="FFFFFF"/>
        </w:rPr>
      </w:pPr>
      <w:r>
        <w:rPr>
          <w:rFonts w:hint="eastAsia" w:ascii="仿宋_GB2312" w:eastAsia="仿宋_GB2312"/>
          <w:color w:val="auto"/>
          <w:sz w:val="32"/>
          <w:szCs w:val="32"/>
          <w:highlight w:val="none"/>
          <w:lang w:eastAsia="zh-CN"/>
        </w:rPr>
        <w:t>根据预算绩效管理要求，我</w:t>
      </w:r>
      <w:r>
        <w:rPr>
          <w:rFonts w:hint="eastAsia" w:ascii="仿宋_GB2312" w:eastAsia="仿宋_GB2312"/>
          <w:color w:val="auto"/>
          <w:sz w:val="32"/>
          <w:szCs w:val="32"/>
          <w:highlight w:val="none"/>
          <w:lang w:val="en-US" w:eastAsia="zh-CN"/>
        </w:rPr>
        <w:t>部门</w:t>
      </w:r>
      <w:r>
        <w:rPr>
          <w:rFonts w:hint="eastAsia" w:ascii="仿宋_GB2312" w:eastAsia="仿宋_GB2312"/>
          <w:color w:val="auto"/>
          <w:sz w:val="32"/>
          <w:szCs w:val="32"/>
          <w:highlight w:val="none"/>
          <w:lang w:eastAsia="zh-CN"/>
        </w:rPr>
        <w:t>2023年度</w:t>
      </w:r>
      <w:r>
        <w:rPr>
          <w:rFonts w:hint="eastAsia" w:ascii="仿宋_GB2312" w:hAnsi="仿宋_GB2312" w:eastAsia="仿宋_GB2312" w:cs="仿宋_GB2312"/>
          <w:color w:val="auto"/>
          <w:kern w:val="0"/>
          <w:sz w:val="32"/>
          <w:szCs w:val="32"/>
          <w:highlight w:val="none"/>
        </w:rPr>
        <w:t>预算绩效管理整体</w:t>
      </w:r>
      <w:r>
        <w:rPr>
          <w:rFonts w:hint="eastAsia" w:ascii="仿宋_GB2312" w:hAnsi="仿宋_GB2312" w:eastAsia="仿宋_GB2312" w:cs="仿宋_GB2312"/>
          <w:color w:val="auto"/>
          <w:kern w:val="0"/>
          <w:sz w:val="32"/>
          <w:szCs w:val="32"/>
          <w:highlight w:val="none"/>
          <w:lang w:val="en-US" w:eastAsia="zh-CN"/>
        </w:rPr>
        <w:t>支出</w:t>
      </w:r>
      <w:r>
        <w:rPr>
          <w:rFonts w:hint="eastAsia" w:ascii="仿宋_GB2312" w:hAnsi="仿宋_GB2312" w:eastAsia="仿宋_GB2312" w:cs="仿宋_GB2312"/>
          <w:color w:val="auto"/>
          <w:kern w:val="0"/>
          <w:sz w:val="32"/>
          <w:szCs w:val="32"/>
          <w:highlight w:val="none"/>
        </w:rPr>
        <w:t>绩效自评表</w:t>
      </w:r>
      <w:r>
        <w:rPr>
          <w:rFonts w:hint="eastAsia" w:ascii="仿宋_GB2312" w:eastAsia="仿宋_GB2312"/>
          <w:color w:val="auto"/>
          <w:sz w:val="32"/>
          <w:szCs w:val="32"/>
          <w:highlight w:val="none"/>
          <w:lang w:val="en-US" w:eastAsia="zh-CN"/>
        </w:rPr>
        <w:t>0</w:t>
      </w:r>
      <w:r>
        <w:rPr>
          <w:rFonts w:hint="eastAsia" w:ascii="仿宋_GB2312" w:hAnsi="仿宋_GB2312" w:eastAsia="仿宋_GB2312" w:cs="仿宋_GB2312"/>
          <w:color w:val="auto"/>
          <w:kern w:val="0"/>
          <w:sz w:val="32"/>
          <w:szCs w:val="32"/>
          <w:highlight w:val="none"/>
          <w:lang w:val="en-US" w:eastAsia="zh-CN"/>
        </w:rPr>
        <w:t>个，全年</w:t>
      </w:r>
      <w:r>
        <w:rPr>
          <w:rFonts w:hint="eastAsia" w:ascii="仿宋_GB2312" w:eastAsia="仿宋_GB2312"/>
          <w:color w:val="auto"/>
          <w:sz w:val="32"/>
          <w:szCs w:val="32"/>
          <w:highlight w:val="none"/>
          <w:lang w:val="en-US" w:eastAsia="zh-CN"/>
        </w:rPr>
        <w:t>预算总额0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实际执行总额0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；预算绩效评价项目</w:t>
      </w:r>
      <w:r>
        <w:rPr>
          <w:rFonts w:hint="eastAsia" w:ascii="仿宋_GB2312" w:eastAsia="仿宋_GB2312"/>
          <w:color w:val="auto"/>
          <w:sz w:val="32"/>
          <w:szCs w:val="32"/>
          <w:highlight w:val="none"/>
          <w:lang w:val="en-US" w:eastAsia="zh-CN"/>
        </w:rPr>
        <w:t>36</w:t>
      </w:r>
      <w:r>
        <w:rPr>
          <w:rFonts w:hint="eastAsia" w:ascii="仿宋_GB2312" w:eastAsia="仿宋_GB2312"/>
          <w:color w:val="auto"/>
          <w:sz w:val="32"/>
          <w:szCs w:val="32"/>
          <w:highlight w:val="none"/>
          <w:lang w:eastAsia="zh-CN"/>
        </w:rPr>
        <w:t>个，</w:t>
      </w:r>
      <w:r>
        <w:rPr>
          <w:rFonts w:hint="eastAsia" w:ascii="仿宋_GB2312" w:eastAsia="仿宋_GB2312"/>
          <w:color w:val="auto"/>
          <w:sz w:val="32"/>
          <w:szCs w:val="32"/>
          <w:highlight w:val="none"/>
          <w:lang w:val="en-US" w:eastAsia="zh-CN"/>
        </w:rPr>
        <w:t>全年预算数</w:t>
      </w:r>
      <w:r>
        <w:rPr>
          <w:rFonts w:hint="eastAsia" w:ascii="仿宋_GB2312" w:eastAsia="仿宋_GB2312"/>
          <w:color w:val="auto"/>
          <w:sz w:val="32"/>
          <w:szCs w:val="32"/>
          <w:highlight w:val="none"/>
          <w:lang w:eastAsia="zh-CN"/>
        </w:rPr>
        <w:t>4759.9</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全年执行数</w:t>
      </w:r>
      <w:r>
        <w:rPr>
          <w:rFonts w:hint="eastAsia" w:ascii="仿宋_GB2312" w:eastAsia="仿宋_GB2312"/>
          <w:color w:val="auto"/>
          <w:sz w:val="32"/>
          <w:szCs w:val="32"/>
          <w:highlight w:val="none"/>
          <w:lang w:eastAsia="zh-CN"/>
        </w:rPr>
        <w:t>4516.03</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hAnsi="微软雅黑" w:eastAsia="仿宋_GB2312" w:cs="仿宋_GB2312"/>
          <w:i w:val="0"/>
          <w:iCs w:val="0"/>
          <w:caps w:val="0"/>
          <w:color w:val="000000"/>
          <w:spacing w:val="0"/>
          <w:sz w:val="32"/>
          <w:szCs w:val="32"/>
        </w:rPr>
        <w:t>预算绩效管理取得的成效：一是依法管理、依法行事的理念得到进一步的巩固。实施绩效管理，明确工作任务，建立绩效指标，实施绩效考核，为依法管理奠定了基础。各单位现逐步实现了业务工作与财务工作的融合，改变了由财务人员单一编制预算为业务部门共同参与编制预算的氛围。二是讲究资金使用效益的理念得到深化，“花钱必讲效，无效必问责”是绩效管理的根本目的。水文系统各单位设立了预算管理工作机构、制定和完善了内部控制制度、梳理了单位项目工作内容和工作流程，使资金管理更加科学，资金使用更加明晰，资金</w:t>
      </w:r>
      <w:r>
        <w:rPr>
          <w:rFonts w:ascii="仿宋_GB2312" w:hAnsi="宋体" w:eastAsia="仿宋_GB2312" w:cs="仿宋_GB2312"/>
          <w:i w:val="0"/>
          <w:caps w:val="0"/>
          <w:color w:val="000000"/>
          <w:spacing w:val="0"/>
          <w:sz w:val="31"/>
          <w:szCs w:val="31"/>
        </w:rPr>
        <w:t>使用效果</w:t>
      </w:r>
      <w:r>
        <w:rPr>
          <w:rFonts w:hint="eastAsia" w:ascii="仿宋_GB2312" w:hAnsi="微软雅黑" w:eastAsia="仿宋_GB2312" w:cs="仿宋_GB2312"/>
          <w:i w:val="0"/>
          <w:iCs w:val="0"/>
          <w:caps w:val="0"/>
          <w:color w:val="000000"/>
          <w:spacing w:val="0"/>
          <w:sz w:val="32"/>
          <w:szCs w:val="32"/>
        </w:rPr>
        <w:t>显著提升。三是水文事业的发展和</w:t>
      </w:r>
      <w:r>
        <w:rPr>
          <w:rFonts w:ascii="仿宋_GB2312" w:hAnsi="宋体" w:eastAsia="仿宋_GB2312" w:cs="仿宋_GB2312"/>
          <w:i w:val="0"/>
          <w:caps w:val="0"/>
          <w:color w:val="000000"/>
          <w:spacing w:val="0"/>
          <w:sz w:val="31"/>
          <w:szCs w:val="31"/>
        </w:rPr>
        <w:t>改革</w:t>
      </w:r>
      <w:r>
        <w:rPr>
          <w:rFonts w:hint="eastAsia" w:ascii="仿宋_GB2312" w:hAnsi="微软雅黑" w:eastAsia="仿宋_GB2312" w:cs="仿宋_GB2312"/>
          <w:i w:val="0"/>
          <w:iCs w:val="0"/>
          <w:caps w:val="0"/>
          <w:color w:val="000000"/>
          <w:spacing w:val="0"/>
          <w:sz w:val="32"/>
          <w:szCs w:val="32"/>
        </w:rPr>
        <w:t>取得了成效。通过绩效管理，水文现代化建设稳步推进，水文监测、预测、预报能力对防汛抗旱发挥的贡献突出，水文监测预测对应急抢险发挥了积极作用。发现的问题及原因：一是预算绩效指标的设立还需不断地优化和量化。由于水文行业出台了业务经费定额标准，要充分运用这个行业标准，制定工作任务，设立工作指标，使任务指标的完成可量化。二是财务管理成效的定性定量指标要</w:t>
      </w:r>
      <w:r>
        <w:rPr>
          <w:rFonts w:ascii="仿宋_GB2312" w:hAnsi="宋体" w:eastAsia="仿宋_GB2312" w:cs="仿宋_GB2312"/>
          <w:i w:val="0"/>
          <w:caps w:val="0"/>
          <w:color w:val="000000"/>
          <w:spacing w:val="0"/>
          <w:sz w:val="31"/>
          <w:szCs w:val="31"/>
        </w:rPr>
        <w:t>不断地</w:t>
      </w:r>
      <w:r>
        <w:rPr>
          <w:rFonts w:hint="eastAsia" w:ascii="仿宋_GB2312" w:hAnsi="微软雅黑" w:eastAsia="仿宋_GB2312" w:cs="仿宋_GB2312"/>
          <w:i w:val="0"/>
          <w:iCs w:val="0"/>
          <w:caps w:val="0"/>
          <w:color w:val="000000"/>
          <w:spacing w:val="0"/>
          <w:sz w:val="32"/>
          <w:szCs w:val="32"/>
        </w:rPr>
        <w:t>更新，特别是我们公益性事业单位，要细化出财务管理成效的考核指标，以调动财务管理的工作动力。三是预算绩效专项审计的面还不够宽，审计的方式方法还要总结，审计的结果</w:t>
      </w:r>
      <w:r>
        <w:rPr>
          <w:rFonts w:ascii="仿宋_GB2312" w:hAnsi="宋体" w:eastAsia="仿宋_GB2312" w:cs="仿宋_GB2312"/>
          <w:i w:val="0"/>
          <w:caps w:val="0"/>
          <w:color w:val="000000"/>
          <w:spacing w:val="0"/>
          <w:sz w:val="31"/>
          <w:szCs w:val="31"/>
        </w:rPr>
        <w:t>不断地</w:t>
      </w:r>
      <w:r>
        <w:rPr>
          <w:rFonts w:hint="eastAsia" w:ascii="仿宋_GB2312" w:hAnsi="微软雅黑" w:eastAsia="仿宋_GB2312" w:cs="仿宋_GB2312"/>
          <w:i w:val="0"/>
          <w:iCs w:val="0"/>
          <w:caps w:val="0"/>
          <w:color w:val="000000"/>
          <w:spacing w:val="0"/>
          <w:sz w:val="32"/>
          <w:szCs w:val="32"/>
        </w:rPr>
        <w:t>还不彻底。下一步改进措施：一是要充分运用好《水文业务经费定额标准》，认真编制和审核预算绩效指标，让指标紧贴工作任务实际，让指标可执行可量化可考核。</w:t>
      </w:r>
      <w:r>
        <w:rPr>
          <w:rFonts w:ascii="仿宋_GB2312" w:hAnsi="宋体" w:eastAsia="仿宋_GB2312" w:cs="仿宋_GB2312"/>
          <w:i w:val="0"/>
          <w:caps w:val="0"/>
          <w:color w:val="000000"/>
          <w:spacing w:val="0"/>
          <w:sz w:val="31"/>
          <w:szCs w:val="31"/>
          <w:shd w:val="clear" w:fill="FFFFFF"/>
        </w:rPr>
        <w:t>二是加强宣传、培训，以业务工作为出发点，积极</w:t>
      </w:r>
      <w:r>
        <w:rPr>
          <w:rFonts w:hint="eastAsia" w:ascii="仿宋_GB2312" w:hAnsi="宋体" w:eastAsia="仿宋_GB2312" w:cs="仿宋_GB2312"/>
          <w:i w:val="0"/>
          <w:caps w:val="0"/>
          <w:color w:val="000000"/>
          <w:spacing w:val="0"/>
          <w:sz w:val="31"/>
          <w:szCs w:val="31"/>
        </w:rPr>
        <w:t>推进</w:t>
      </w:r>
      <w:r>
        <w:rPr>
          <w:rFonts w:hint="eastAsia" w:ascii="仿宋_GB2312" w:hAnsi="宋体" w:eastAsia="仿宋_GB2312" w:cs="仿宋_GB2312"/>
          <w:i w:val="0"/>
          <w:caps w:val="0"/>
          <w:color w:val="000000"/>
          <w:spacing w:val="0"/>
          <w:sz w:val="31"/>
          <w:szCs w:val="31"/>
          <w:shd w:val="clear" w:fill="FFFFFF"/>
        </w:rPr>
        <w:t>单位全面参与预算编制工作，实施全面科学的预算绩效管理。三是持续开展预算绩效专项审计，拓展审计面，总结审计经验，通过审计，促进预算绩效管理落实到实处。具体项目自评情况附绩效自评表。</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二</w:t>
      </w:r>
      <w:r>
        <w:rPr>
          <w:rFonts w:hint="eastAsia" w:ascii="黑体" w:hAnsi="黑体" w:eastAsia="黑体" w:cs="宋体"/>
          <w:bCs/>
          <w:color w:val="auto"/>
          <w:kern w:val="0"/>
          <w:sz w:val="32"/>
          <w:szCs w:val="32"/>
          <w:highlight w:val="none"/>
          <w:lang w:eastAsia="zh-CN"/>
        </w:rPr>
        <w:t>、其他需说明的事项</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本部门无其他需说明事项</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30" w:name="_Toc24143"/>
      <w:bookmarkStart w:id="31" w:name="_Toc3250"/>
      <w:r>
        <w:rPr>
          <w:rFonts w:hint="eastAsia" w:ascii="黑体" w:hAnsi="黑体" w:eastAsia="黑体"/>
          <w:color w:val="auto"/>
          <w:sz w:val="32"/>
          <w:szCs w:val="32"/>
          <w:highlight w:val="none"/>
        </w:rPr>
        <w:br w:type="page"/>
      </w: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三</w:t>
      </w:r>
      <w:r>
        <w:rPr>
          <w:rFonts w:hint="eastAsia" w:ascii="黑体" w:hAnsi="黑体" w:eastAsia="黑体"/>
          <w:color w:val="auto"/>
          <w:sz w:val="32"/>
          <w:szCs w:val="32"/>
          <w:highlight w:val="none"/>
        </w:rPr>
        <w:t>部分 专业名词解释</w:t>
      </w:r>
      <w:bookmarkEnd w:id="30"/>
      <w:bookmarkEnd w:id="31"/>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一、</w:t>
      </w:r>
      <w:r>
        <w:rPr>
          <w:rFonts w:hint="eastAsia" w:ascii="仿宋_GB2312" w:eastAsia="仿宋_GB2312"/>
          <w:b/>
          <w:bCs/>
          <w:color w:val="auto"/>
          <w:sz w:val="32"/>
          <w:szCs w:val="32"/>
          <w:highlight w:val="none"/>
        </w:rPr>
        <w:t>财政拨款收入：</w:t>
      </w:r>
      <w:r>
        <w:rPr>
          <w:rFonts w:hint="eastAsia" w:ascii="仿宋_GB2312" w:eastAsia="仿宋_GB2312"/>
          <w:color w:val="auto"/>
          <w:sz w:val="32"/>
          <w:szCs w:val="32"/>
          <w:highlight w:val="none"/>
        </w:rPr>
        <w:t>指同级财政当年拨付的资金。</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二、</w:t>
      </w:r>
      <w:r>
        <w:rPr>
          <w:rFonts w:hint="eastAsia" w:ascii="仿宋_GB2312" w:eastAsia="仿宋_GB2312"/>
          <w:b/>
          <w:bCs/>
          <w:color w:val="auto"/>
          <w:sz w:val="32"/>
          <w:szCs w:val="32"/>
          <w:highlight w:val="none"/>
        </w:rPr>
        <w:t>上级补助收入：</w:t>
      </w:r>
      <w:r>
        <w:rPr>
          <w:rFonts w:hint="eastAsia" w:ascii="仿宋_GB2312" w:eastAsia="仿宋_GB2312"/>
          <w:color w:val="auto"/>
          <w:sz w:val="32"/>
          <w:szCs w:val="32"/>
          <w:highlight w:val="none"/>
        </w:rPr>
        <w:t>指事业单位从主管部门和上级单位取得的非财政补助收入。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三、</w:t>
      </w:r>
      <w:r>
        <w:rPr>
          <w:rFonts w:hint="eastAsia" w:ascii="仿宋_GB2312" w:eastAsia="仿宋_GB2312"/>
          <w:b/>
          <w:bCs/>
          <w:color w:val="auto"/>
          <w:sz w:val="32"/>
          <w:szCs w:val="32"/>
          <w:highlight w:val="none"/>
        </w:rPr>
        <w:t>事业收入：</w:t>
      </w:r>
      <w:r>
        <w:rPr>
          <w:rFonts w:hint="eastAsia" w:ascii="仿宋_GB2312" w:eastAsia="仿宋_GB2312"/>
          <w:color w:val="auto"/>
          <w:sz w:val="32"/>
          <w:szCs w:val="32"/>
          <w:highlight w:val="none"/>
        </w:rPr>
        <w:t>指事业单位开展专业业务活动及其辅助活动所取得的收入。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四、</w:t>
      </w:r>
      <w:r>
        <w:rPr>
          <w:rFonts w:hint="eastAsia" w:ascii="仿宋_GB2312" w:eastAsia="仿宋_GB2312"/>
          <w:b/>
          <w:bCs/>
          <w:color w:val="auto"/>
          <w:sz w:val="32"/>
          <w:szCs w:val="32"/>
          <w:highlight w:val="none"/>
        </w:rPr>
        <w:t>经营收入：</w:t>
      </w:r>
      <w:r>
        <w:rPr>
          <w:rFonts w:hint="eastAsia" w:ascii="仿宋_GB2312" w:eastAsia="仿宋_GB2312"/>
          <w:color w:val="auto"/>
          <w:sz w:val="32"/>
          <w:szCs w:val="32"/>
          <w:highlight w:val="none"/>
        </w:rPr>
        <w:t>指事业单位在专业业务活动及其辅助活动之外开展非独立核算经营活动取得的收入。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五、</w:t>
      </w:r>
      <w:r>
        <w:rPr>
          <w:rFonts w:hint="eastAsia" w:ascii="仿宋_GB2312" w:eastAsia="仿宋_GB2312"/>
          <w:b/>
          <w:bCs/>
          <w:color w:val="auto"/>
          <w:sz w:val="32"/>
          <w:szCs w:val="32"/>
          <w:highlight w:val="none"/>
        </w:rPr>
        <w:t>附属单位上缴收入：</w:t>
      </w:r>
      <w:r>
        <w:rPr>
          <w:rFonts w:hint="eastAsia" w:ascii="仿宋_GB2312" w:eastAsia="仿宋_GB2312"/>
          <w:color w:val="auto"/>
          <w:sz w:val="32"/>
          <w:szCs w:val="32"/>
          <w:highlight w:val="none"/>
        </w:rPr>
        <w:t>指事业单位附属的独立核算单位按有关规定上缴的收入。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六、</w:t>
      </w:r>
      <w:r>
        <w:rPr>
          <w:rFonts w:hint="eastAsia" w:ascii="仿宋_GB2312" w:eastAsia="仿宋_GB2312"/>
          <w:b/>
          <w:bCs/>
          <w:color w:val="auto"/>
          <w:sz w:val="32"/>
          <w:szCs w:val="32"/>
          <w:highlight w:val="none"/>
        </w:rPr>
        <w:t>其他收入：</w:t>
      </w:r>
      <w:r>
        <w:rPr>
          <w:rFonts w:hint="eastAsia" w:ascii="仿宋_GB2312" w:eastAsia="仿宋_GB2312"/>
          <w:color w:val="auto"/>
          <w:sz w:val="32"/>
          <w:szCs w:val="32"/>
          <w:highlight w:val="none"/>
        </w:rPr>
        <w:t>指除上述“财政拨款收入”、“事业收入”、“经营收入”、“附属单位上缴收入”等之外取得的收入。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七、</w:t>
      </w:r>
      <w:r>
        <w:rPr>
          <w:rFonts w:hint="eastAsia" w:ascii="仿宋_GB2312" w:eastAsia="仿宋_GB2312"/>
          <w:b/>
          <w:bCs/>
          <w:color w:val="auto"/>
          <w:sz w:val="32"/>
          <w:szCs w:val="32"/>
          <w:highlight w:val="none"/>
          <w:lang w:eastAsia="zh-CN"/>
        </w:rPr>
        <w:t>年初</w:t>
      </w:r>
      <w:r>
        <w:rPr>
          <w:rFonts w:hint="eastAsia" w:ascii="仿宋_GB2312" w:eastAsia="仿宋_GB2312"/>
          <w:b/>
          <w:bCs/>
          <w:color w:val="auto"/>
          <w:sz w:val="32"/>
          <w:szCs w:val="32"/>
          <w:highlight w:val="none"/>
        </w:rPr>
        <w:t>结转和结余：</w:t>
      </w:r>
      <w:r>
        <w:rPr>
          <w:rFonts w:hint="eastAsia" w:ascii="仿宋_GB2312" w:eastAsia="仿宋_GB2312"/>
          <w:color w:val="auto"/>
          <w:sz w:val="32"/>
          <w:szCs w:val="32"/>
          <w:highlight w:val="none"/>
        </w:rPr>
        <w:t>指以前年度支出预算因客观条件变化未执行完毕、结转到本年度按有关规定继续使用的资金，既包括财政拨款结转和结余，也包括事业收入、经营收入、其他收入的结转和结余。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八、</w:t>
      </w:r>
      <w:r>
        <w:rPr>
          <w:rFonts w:hint="eastAsia" w:ascii="仿宋_GB2312" w:eastAsia="仿宋_GB2312"/>
          <w:b/>
          <w:bCs/>
          <w:color w:val="auto"/>
          <w:sz w:val="32"/>
          <w:szCs w:val="32"/>
          <w:highlight w:val="none"/>
        </w:rPr>
        <w:t>年末结转和结余：</w:t>
      </w:r>
      <w:r>
        <w:rPr>
          <w:rFonts w:hint="eastAsia" w:ascii="仿宋_GB2312" w:eastAsia="仿宋_GB2312"/>
          <w:color w:val="auto"/>
          <w:sz w:val="32"/>
          <w:szCs w:val="32"/>
          <w:highlight w:val="none"/>
        </w:rPr>
        <w:t>指本年度或以前年度预算安排、因客观条件发生变化无法按原计划实施，需要延迟到以后年度按有关规定继续使用的资金，既包括财政拨款结转和结余，也包括事业收入、经营收入、其他收入的结转和结余。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九、</w:t>
      </w:r>
      <w:r>
        <w:rPr>
          <w:rFonts w:hint="eastAsia" w:ascii="仿宋_GB2312" w:eastAsia="仿宋_GB2312"/>
          <w:b/>
          <w:bCs/>
          <w:color w:val="auto"/>
          <w:sz w:val="32"/>
          <w:szCs w:val="32"/>
          <w:highlight w:val="none"/>
        </w:rPr>
        <w:t>基本支出：</w:t>
      </w:r>
      <w:r>
        <w:rPr>
          <w:rFonts w:hint="eastAsia" w:ascii="仿宋_GB2312" w:eastAsia="仿宋_GB2312"/>
          <w:color w:val="auto"/>
          <w:sz w:val="32"/>
          <w:szCs w:val="32"/>
          <w:highlight w:val="none"/>
        </w:rPr>
        <w:t>指为保障机构正常运转、完成日常工作任务而发生的人员支出和公用支出。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w:t>
      </w:r>
      <w:r>
        <w:rPr>
          <w:rFonts w:hint="eastAsia" w:ascii="仿宋_GB2312" w:eastAsia="仿宋_GB2312"/>
          <w:b/>
          <w:bCs/>
          <w:color w:val="auto"/>
          <w:sz w:val="32"/>
          <w:szCs w:val="32"/>
          <w:highlight w:val="none"/>
        </w:rPr>
        <w:t>项目支出：</w:t>
      </w:r>
      <w:r>
        <w:rPr>
          <w:rFonts w:hint="eastAsia" w:ascii="仿宋_GB2312" w:eastAsia="仿宋_GB2312"/>
          <w:color w:val="auto"/>
          <w:sz w:val="32"/>
          <w:szCs w:val="32"/>
          <w:highlight w:val="none"/>
        </w:rPr>
        <w:t>指在基本支出之外为完成特定行政任务和事业发展目标所发生的支出。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十一、</w:t>
      </w:r>
      <w:r>
        <w:rPr>
          <w:rFonts w:hint="eastAsia" w:ascii="仿宋_GB2312" w:eastAsia="仿宋_GB2312"/>
          <w:b/>
          <w:bCs/>
          <w:color w:val="auto"/>
          <w:sz w:val="32"/>
          <w:szCs w:val="32"/>
          <w:highlight w:val="none"/>
        </w:rPr>
        <w:t>经营支出：</w:t>
      </w:r>
      <w:r>
        <w:rPr>
          <w:rFonts w:hint="eastAsia" w:ascii="仿宋_GB2312" w:eastAsia="仿宋_GB2312"/>
          <w:color w:val="auto"/>
          <w:sz w:val="32"/>
          <w:szCs w:val="32"/>
          <w:highlight w:val="none"/>
        </w:rPr>
        <w:t>指事业单位在专业业务活动及其辅助活动之外开展非独立核算经营活动发生的支出。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十二、</w:t>
      </w:r>
      <w:r>
        <w:rPr>
          <w:rFonts w:hint="eastAsia" w:ascii="仿宋_GB2312" w:eastAsia="仿宋_GB2312"/>
          <w:b/>
          <w:bCs/>
          <w:color w:val="auto"/>
          <w:sz w:val="32"/>
          <w:szCs w:val="32"/>
          <w:highlight w:val="none"/>
        </w:rPr>
        <w:t>对附属单位补助支出：</w:t>
      </w:r>
      <w:r>
        <w:rPr>
          <w:rFonts w:hint="eastAsia" w:ascii="仿宋_GB2312" w:eastAsia="仿宋_GB2312"/>
          <w:color w:val="auto"/>
          <w:sz w:val="32"/>
          <w:szCs w:val="32"/>
          <w:highlight w:val="none"/>
        </w:rPr>
        <w:t>指事业单位发生的用非财政预算资金对附属单位的补助支出。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lang w:eastAsia="zh-CN"/>
        </w:rPr>
      </w:pPr>
      <w:r>
        <w:rPr>
          <w:rFonts w:hint="eastAsia" w:ascii="仿宋_GB2312" w:eastAsia="仿宋_GB2312"/>
          <w:b/>
          <w:bCs/>
          <w:color w:val="auto"/>
          <w:sz w:val="32"/>
          <w:szCs w:val="32"/>
          <w:highlight w:val="none"/>
          <w:lang w:val="en-US" w:eastAsia="zh-CN"/>
        </w:rPr>
        <w:t>十三、</w:t>
      </w:r>
      <w:r>
        <w:rPr>
          <w:rFonts w:hint="eastAsia" w:ascii="仿宋_GB2312" w:eastAsia="仿宋_GB2312"/>
          <w:b/>
          <w:bCs/>
          <w:color w:val="auto"/>
          <w:sz w:val="32"/>
          <w:szCs w:val="32"/>
          <w:highlight w:val="none"/>
        </w:rPr>
        <w:t>“三公”经费：</w:t>
      </w:r>
      <w:r>
        <w:rPr>
          <w:rFonts w:hint="eastAsia" w:ascii="仿宋_GB2312" w:eastAsia="仿宋_GB2312"/>
          <w:color w:val="auto"/>
          <w:sz w:val="32"/>
          <w:szCs w:val="32"/>
          <w:highlight w:val="none"/>
        </w:rPr>
        <w:t>指用财政拨款安排的因公出国（境）费、公务用车购置及运行费和公务接待费。其中，因公出国（境）费反映单位公务出国（境）的</w:t>
      </w:r>
      <w:r>
        <w:rPr>
          <w:rFonts w:hint="eastAsia" w:ascii="仿宋_GB2312" w:eastAsia="仿宋_GB2312"/>
          <w:color w:val="auto"/>
          <w:sz w:val="32"/>
          <w:szCs w:val="32"/>
          <w:highlight w:val="none"/>
          <w:lang w:eastAsia="zh-CN"/>
        </w:rPr>
        <w:t>国际旅费、国外城市间交通费、</w:t>
      </w:r>
      <w:r>
        <w:rPr>
          <w:rFonts w:hint="eastAsia" w:ascii="仿宋_GB2312" w:eastAsia="仿宋_GB2312"/>
          <w:color w:val="auto"/>
          <w:sz w:val="32"/>
          <w:szCs w:val="32"/>
          <w:highlight w:val="none"/>
        </w:rPr>
        <w:t>住宿费、伙食费、培训费、</w:t>
      </w:r>
      <w:r>
        <w:rPr>
          <w:rFonts w:hint="eastAsia" w:ascii="仿宋_GB2312" w:eastAsia="仿宋_GB2312"/>
          <w:color w:val="auto"/>
          <w:sz w:val="32"/>
          <w:szCs w:val="32"/>
          <w:highlight w:val="none"/>
          <w:lang w:eastAsia="zh-CN"/>
        </w:rPr>
        <w:t>公</w:t>
      </w:r>
      <w:r>
        <w:rPr>
          <w:rFonts w:hint="eastAsia" w:ascii="仿宋_GB2312" w:eastAsia="仿宋_GB2312"/>
          <w:color w:val="auto"/>
          <w:sz w:val="32"/>
          <w:szCs w:val="32"/>
          <w:highlight w:val="none"/>
        </w:rPr>
        <w:t>杂费等支出；公务用车购置费</w:t>
      </w:r>
      <w:r>
        <w:rPr>
          <w:rFonts w:hint="eastAsia" w:ascii="仿宋_GB2312" w:eastAsia="仿宋_GB2312"/>
          <w:color w:val="auto"/>
          <w:sz w:val="32"/>
          <w:szCs w:val="32"/>
          <w:highlight w:val="none"/>
          <w:lang w:eastAsia="zh-CN"/>
        </w:rPr>
        <w:t>反映公务用车购置支出（含车辆购置税、牌照费）；</w:t>
      </w:r>
      <w:r>
        <w:rPr>
          <w:rFonts w:hint="eastAsia" w:ascii="仿宋_GB2312" w:eastAsia="仿宋_GB2312"/>
          <w:color w:val="auto"/>
          <w:sz w:val="32"/>
          <w:szCs w:val="32"/>
          <w:highlight w:val="none"/>
        </w:rPr>
        <w:t>公务用车运行</w:t>
      </w:r>
      <w:r>
        <w:rPr>
          <w:rFonts w:hint="eastAsia" w:ascii="仿宋_GB2312" w:eastAsia="仿宋_GB2312"/>
          <w:color w:val="auto"/>
          <w:sz w:val="32"/>
          <w:szCs w:val="32"/>
          <w:highlight w:val="none"/>
          <w:lang w:eastAsia="zh-CN"/>
        </w:rPr>
        <w:t>维护</w:t>
      </w:r>
      <w:r>
        <w:rPr>
          <w:rFonts w:hint="eastAsia" w:ascii="仿宋_GB2312" w:eastAsia="仿宋_GB2312"/>
          <w:color w:val="auto"/>
          <w:sz w:val="32"/>
          <w:szCs w:val="32"/>
          <w:highlight w:val="none"/>
        </w:rPr>
        <w:t>费反映</w:t>
      </w:r>
      <w:r>
        <w:rPr>
          <w:rFonts w:hint="eastAsia" w:ascii="仿宋_GB2312" w:eastAsia="仿宋_GB2312"/>
          <w:color w:val="auto"/>
          <w:sz w:val="32"/>
          <w:szCs w:val="32"/>
          <w:highlight w:val="none"/>
          <w:lang w:eastAsia="zh-CN"/>
        </w:rPr>
        <w:t>单位按规定保留的公务用车燃料费、维修费、</w:t>
      </w:r>
      <w:r>
        <w:rPr>
          <w:rFonts w:hint="eastAsia" w:ascii="仿宋_GB2312" w:eastAsia="仿宋_GB2312"/>
          <w:color w:val="auto"/>
          <w:sz w:val="32"/>
          <w:szCs w:val="32"/>
          <w:highlight w:val="none"/>
        </w:rPr>
        <w:t>过路过桥费、保险费、安全奖励费用等支出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公务接待费反映单位按规定开支的各类公务接待（含外宾接待）</w:t>
      </w:r>
      <w:r>
        <w:rPr>
          <w:rFonts w:hint="eastAsia" w:ascii="仿宋_GB2312" w:eastAsia="仿宋_GB2312"/>
          <w:color w:val="auto"/>
          <w:sz w:val="32"/>
          <w:szCs w:val="32"/>
          <w:highlight w:val="none"/>
          <w:lang w:eastAsia="zh-CN"/>
        </w:rPr>
        <w:t>费用</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十四、</w:t>
      </w:r>
      <w:r>
        <w:rPr>
          <w:rFonts w:hint="eastAsia" w:ascii="仿宋_GB2312" w:eastAsia="仿宋_GB2312"/>
          <w:b/>
          <w:bCs/>
          <w:color w:val="auto"/>
          <w:sz w:val="32"/>
          <w:szCs w:val="32"/>
          <w:highlight w:val="none"/>
        </w:rPr>
        <w:t>机关运行经费：</w:t>
      </w:r>
      <w:r>
        <w:rPr>
          <w:rFonts w:hint="eastAsia" w:ascii="仿宋_GB2312" w:eastAsia="仿宋_GB2312"/>
          <w:color w:val="auto"/>
          <w:sz w:val="32"/>
          <w:szCs w:val="32"/>
          <w:highlight w:val="none"/>
        </w:rPr>
        <w:t>行政单位和参照公务员法管理的事业单位财政拨款基本支出中的公用经费支出。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黑体" w:hAnsi="黑体" w:eastAsia="黑体"/>
          <w:color w:val="auto"/>
          <w:sz w:val="32"/>
          <w:szCs w:val="32"/>
          <w:highlight w:val="none"/>
        </w:rPr>
      </w:pPr>
      <w:r>
        <w:rPr>
          <w:rFonts w:hint="eastAsia" w:ascii="仿宋_GB2312" w:eastAsia="仿宋_GB2312"/>
          <w:color w:val="auto"/>
          <w:sz w:val="32"/>
          <w:szCs w:val="32"/>
          <w:highlight w:val="none"/>
        </w:rPr>
        <w:br w:type="page"/>
      </w:r>
      <w:r>
        <w:rPr>
          <w:rFonts w:hint="eastAsia" w:ascii="黑体" w:hAnsi="黑体" w:eastAsia="黑体"/>
          <w:color w:val="auto"/>
          <w:sz w:val="32"/>
          <w:szCs w:val="32"/>
          <w:highlight w:val="none"/>
        </w:rPr>
        <w:t>第四部分 部门决算报表（见附表）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2" w:name="_Toc2183"/>
      <w:bookmarkStart w:id="33" w:name="_Toc6062"/>
      <w:r>
        <w:rPr>
          <w:rFonts w:hint="eastAsia" w:ascii="黑体" w:hAnsi="黑体" w:eastAsia="仿宋_GB2312" w:cs="宋体"/>
          <w:bCs/>
          <w:color w:val="auto"/>
          <w:kern w:val="0"/>
          <w:sz w:val="32"/>
          <w:szCs w:val="32"/>
          <w:highlight w:val="none"/>
        </w:rPr>
        <w:t>一、《收入支出决算总表》</w:t>
      </w:r>
      <w:bookmarkEnd w:id="32"/>
      <w:bookmarkEnd w:id="3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4" w:name="_Toc30364"/>
      <w:bookmarkStart w:id="35" w:name="_Toc24532"/>
      <w:r>
        <w:rPr>
          <w:rFonts w:hint="eastAsia" w:ascii="黑体" w:hAnsi="黑体" w:eastAsia="仿宋_GB2312" w:cs="宋体"/>
          <w:bCs/>
          <w:color w:val="auto"/>
          <w:kern w:val="0"/>
          <w:sz w:val="32"/>
          <w:szCs w:val="32"/>
          <w:highlight w:val="none"/>
        </w:rPr>
        <w:t>二、《收入决算表》</w:t>
      </w:r>
      <w:bookmarkEnd w:id="34"/>
      <w:bookmarkEnd w:id="3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6" w:name="_Toc32434"/>
      <w:bookmarkStart w:id="37" w:name="_Toc21304"/>
      <w:r>
        <w:rPr>
          <w:rFonts w:hint="eastAsia" w:ascii="黑体" w:hAnsi="黑体" w:eastAsia="仿宋_GB2312" w:cs="宋体"/>
          <w:bCs/>
          <w:color w:val="auto"/>
          <w:kern w:val="0"/>
          <w:sz w:val="32"/>
          <w:szCs w:val="32"/>
          <w:highlight w:val="none"/>
        </w:rPr>
        <w:t>三、《支出决算表》</w:t>
      </w:r>
      <w:bookmarkEnd w:id="36"/>
      <w:bookmarkEnd w:id="3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8" w:name="_Toc14238"/>
      <w:bookmarkStart w:id="39" w:name="_Toc28786"/>
      <w:r>
        <w:rPr>
          <w:rFonts w:hint="eastAsia" w:ascii="黑体" w:hAnsi="黑体" w:eastAsia="仿宋_GB2312" w:cs="宋体"/>
          <w:bCs/>
          <w:color w:val="auto"/>
          <w:kern w:val="0"/>
          <w:sz w:val="32"/>
          <w:szCs w:val="32"/>
          <w:highlight w:val="none"/>
        </w:rPr>
        <w:t>四、《财政拨款收入支出决算总表》</w:t>
      </w:r>
      <w:bookmarkEnd w:id="38"/>
      <w:bookmarkEnd w:id="3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0" w:name="_Toc14869"/>
      <w:bookmarkStart w:id="41" w:name="_Toc10347"/>
      <w:r>
        <w:rPr>
          <w:rFonts w:hint="eastAsia" w:ascii="黑体" w:hAnsi="黑体" w:eastAsia="仿宋_GB2312" w:cs="宋体"/>
          <w:bCs/>
          <w:color w:val="auto"/>
          <w:kern w:val="0"/>
          <w:sz w:val="32"/>
          <w:szCs w:val="32"/>
          <w:highlight w:val="none"/>
        </w:rPr>
        <w:t>五、《一般公共预算财政拨款支出决算表》</w:t>
      </w:r>
      <w:bookmarkEnd w:id="40"/>
      <w:bookmarkEnd w:id="4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2" w:name="_Toc5626"/>
      <w:bookmarkStart w:id="43" w:name="_Toc8884"/>
      <w:r>
        <w:rPr>
          <w:rFonts w:hint="eastAsia" w:ascii="黑体" w:hAnsi="黑体" w:eastAsia="仿宋_GB2312" w:cs="宋体"/>
          <w:bCs/>
          <w:color w:val="auto"/>
          <w:kern w:val="0"/>
          <w:sz w:val="32"/>
          <w:szCs w:val="32"/>
          <w:highlight w:val="none"/>
        </w:rPr>
        <w:t>六、《一般公共预算财政拨款基本支出决算表》</w:t>
      </w:r>
      <w:bookmarkEnd w:id="42"/>
      <w:bookmarkEnd w:id="4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rPr>
        <w:t>七、</w:t>
      </w:r>
      <w:bookmarkStart w:id="44" w:name="_Toc29106"/>
      <w:bookmarkStart w:id="45" w:name="_Toc32663"/>
      <w:r>
        <w:rPr>
          <w:rFonts w:hint="eastAsia" w:ascii="黑体" w:hAnsi="黑体" w:eastAsia="仿宋_GB2312" w:cs="宋体"/>
          <w:bCs/>
          <w:color w:val="auto"/>
          <w:kern w:val="0"/>
          <w:sz w:val="32"/>
          <w:szCs w:val="32"/>
          <w:highlight w:val="none"/>
        </w:rPr>
        <w:t>《财政拨款“三公”经费支出决算表》</w:t>
      </w:r>
      <w:bookmarkEnd w:id="44"/>
      <w:bookmarkEnd w:id="4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6" w:name="_Toc5453"/>
      <w:bookmarkStart w:id="47" w:name="_Toc7643"/>
      <w:r>
        <w:rPr>
          <w:rFonts w:hint="eastAsia" w:ascii="黑体" w:hAnsi="黑体" w:eastAsia="仿宋_GB2312" w:cs="宋体"/>
          <w:bCs/>
          <w:color w:val="auto"/>
          <w:kern w:val="0"/>
          <w:sz w:val="32"/>
          <w:szCs w:val="32"/>
          <w:highlight w:val="none"/>
        </w:rPr>
        <w:t>八、《政府性基金预算财政拨款收入支出决算表》</w:t>
      </w:r>
      <w:bookmarkEnd w:id="46"/>
      <w:bookmarkEnd w:id="4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lang w:val="en-US" w:eastAsia="zh-CN"/>
        </w:rPr>
        <w:t>九</w:t>
      </w:r>
      <w:r>
        <w:rPr>
          <w:rFonts w:hint="eastAsia" w:ascii="黑体" w:hAnsi="黑体" w:eastAsia="仿宋_GB2312" w:cs="宋体"/>
          <w:bCs/>
          <w:color w:val="auto"/>
          <w:kern w:val="0"/>
          <w:sz w:val="32"/>
          <w:szCs w:val="32"/>
          <w:highlight w:val="none"/>
        </w:rPr>
        <w:t>、《</w:t>
      </w:r>
      <w:r>
        <w:rPr>
          <w:rFonts w:hint="eastAsia" w:ascii="黑体" w:hAnsi="黑体" w:eastAsia="仿宋_GB2312" w:cs="宋体"/>
          <w:bCs/>
          <w:color w:val="auto"/>
          <w:kern w:val="0"/>
          <w:sz w:val="32"/>
          <w:szCs w:val="32"/>
          <w:highlight w:val="none"/>
          <w:lang w:eastAsia="zh-CN"/>
        </w:rPr>
        <w:t>国有资本经营</w:t>
      </w:r>
      <w:r>
        <w:rPr>
          <w:rFonts w:hint="eastAsia" w:ascii="黑体" w:hAnsi="黑体" w:eastAsia="仿宋_GB2312" w:cs="宋体"/>
          <w:bCs/>
          <w:color w:val="auto"/>
          <w:kern w:val="0"/>
          <w:sz w:val="32"/>
          <w:szCs w:val="32"/>
          <w:highlight w:val="none"/>
        </w:rPr>
        <w:t>预算财政拨款收入支出决算表》</w:t>
      </w:r>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panose1 w:val="02010609030101010101"/>
    <w:charset w:val="86"/>
    <w:family w:val="modern"/>
    <w:pitch w:val="default"/>
    <w:sig w:usb0="00000001" w:usb1="080E0000" w:usb2="00000000" w:usb3="00000000" w:csb0="00040000" w:csb1="00000000"/>
  </w:font>
  <w:font w:name="DejaVu Sans">
    <w:altName w:val="Segoe Print"/>
    <w:panose1 w:val="020B0603030804020204"/>
    <w:charset w:val="00"/>
    <w:family w:val="auto"/>
    <w:pitch w:val="default"/>
    <w:sig w:usb0="00000000" w:usb1="00000000" w:usb2="0A246029" w:usb3="0400200C" w:csb0="600001FF" w:csb1="DFFF0000"/>
  </w:font>
  <w:font w:name="方正书宋_GBK">
    <w:altName w:val="微软雅黑"/>
    <w:panose1 w:val="02000000000000000000"/>
    <w:charset w:val="86"/>
    <w:family w:val="auto"/>
    <w:pitch w:val="default"/>
    <w:sig w:usb0="00000000" w:usb1="00000000" w:usb2="00000000" w:usb3="00000000" w:csb0="00040000" w:csb1="00000000"/>
  </w:font>
  <w:font w:name="方正黑体_GBK">
    <w:panose1 w:val="03000509000000000000"/>
    <w:charset w:val="86"/>
    <w:family w:val="auto"/>
    <w:pitch w:val="default"/>
    <w:sig w:usb0="00000001" w:usb1="080E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 w:name="MathJax_Vector">
    <w:altName w:val="Trebuchet MS"/>
    <w:panose1 w:val="02000603000000000000"/>
    <w:charset w:val="00"/>
    <w:family w:val="auto"/>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 w:name="Trebuchet MS">
    <w:panose1 w:val="020B0603020202020204"/>
    <w:charset w:val="00"/>
    <w:family w:val="auto"/>
    <w:pitch w:val="default"/>
    <w:sig w:usb0="00000687" w:usb1="00000000" w:usb2="00000000" w:usb3="00000000" w:csb0="2000009F" w:csb1="00000000"/>
  </w:font>
  <w:font w:name="仿宋">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AgtDAhwwEAAHADAAAOAAAAAAAAAAEAIAAAAB4BAABkcnMvZTJvRG9jLnhtbFBL&#10;BQYAAAAABgAGAFkBAABTBQ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abstractNum w:abstractNumId="1">
    <w:nsid w:val="66D15F3D"/>
    <w:multiLevelType w:val="singleLevel"/>
    <w:tmpl w:val="66D15F3D"/>
    <w:lvl w:ilvl="0" w:tentative="0">
      <w:start w:val="1"/>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AyOGZmZWJiZjkzMTc5MjUxM2FlYjUzNmFjOTJhZmYifQ=="/>
    <w:docVar w:name="KSO_WPS_MARK_KEY" w:val="41ee2a61-2d54-4f93-83be-afdb9a40d732"/>
  </w:docVars>
  <w:rsids>
    <w:rsidRoot w:val="00000000"/>
    <w:rsid w:val="00213C59"/>
    <w:rsid w:val="003210CE"/>
    <w:rsid w:val="00B70D59"/>
    <w:rsid w:val="00F52A8D"/>
    <w:rsid w:val="010C6AE7"/>
    <w:rsid w:val="019404F8"/>
    <w:rsid w:val="02A900A0"/>
    <w:rsid w:val="02BD3108"/>
    <w:rsid w:val="02F73D26"/>
    <w:rsid w:val="034D4FEF"/>
    <w:rsid w:val="035D1785"/>
    <w:rsid w:val="039E682A"/>
    <w:rsid w:val="039F47CE"/>
    <w:rsid w:val="03E05CE8"/>
    <w:rsid w:val="03F973EE"/>
    <w:rsid w:val="043E5B56"/>
    <w:rsid w:val="04AB4C8A"/>
    <w:rsid w:val="04C04386"/>
    <w:rsid w:val="04D35845"/>
    <w:rsid w:val="04D96608"/>
    <w:rsid w:val="04FA68C4"/>
    <w:rsid w:val="05035BE4"/>
    <w:rsid w:val="053F5AE6"/>
    <w:rsid w:val="057C0B0F"/>
    <w:rsid w:val="05EF4B48"/>
    <w:rsid w:val="05F76ECA"/>
    <w:rsid w:val="063A731E"/>
    <w:rsid w:val="06792773"/>
    <w:rsid w:val="07093795"/>
    <w:rsid w:val="07762023"/>
    <w:rsid w:val="07804730"/>
    <w:rsid w:val="079052BE"/>
    <w:rsid w:val="08145C21"/>
    <w:rsid w:val="08422688"/>
    <w:rsid w:val="085854ED"/>
    <w:rsid w:val="0879188F"/>
    <w:rsid w:val="08A0354D"/>
    <w:rsid w:val="08CD4C49"/>
    <w:rsid w:val="09114954"/>
    <w:rsid w:val="095A5B83"/>
    <w:rsid w:val="096466E3"/>
    <w:rsid w:val="0968304D"/>
    <w:rsid w:val="0972096A"/>
    <w:rsid w:val="09AF3D17"/>
    <w:rsid w:val="0A1327F7"/>
    <w:rsid w:val="0A7809B7"/>
    <w:rsid w:val="0A7B4867"/>
    <w:rsid w:val="0A840954"/>
    <w:rsid w:val="0A9928ED"/>
    <w:rsid w:val="0B61769D"/>
    <w:rsid w:val="0B796359"/>
    <w:rsid w:val="0B8B0513"/>
    <w:rsid w:val="0B8C3ECC"/>
    <w:rsid w:val="0B9C639D"/>
    <w:rsid w:val="0BB052B2"/>
    <w:rsid w:val="0BC56BCE"/>
    <w:rsid w:val="0BD33FFC"/>
    <w:rsid w:val="0BE97AC1"/>
    <w:rsid w:val="0C1C4780"/>
    <w:rsid w:val="0C3613A3"/>
    <w:rsid w:val="0C5E519C"/>
    <w:rsid w:val="0C7227A7"/>
    <w:rsid w:val="0CA52EE8"/>
    <w:rsid w:val="0CB77A4B"/>
    <w:rsid w:val="0CBD6988"/>
    <w:rsid w:val="0CD208AC"/>
    <w:rsid w:val="0D4903E8"/>
    <w:rsid w:val="0D7A4A46"/>
    <w:rsid w:val="0DA810BA"/>
    <w:rsid w:val="0DFF0838"/>
    <w:rsid w:val="0E640559"/>
    <w:rsid w:val="0F1113DA"/>
    <w:rsid w:val="0F78534A"/>
    <w:rsid w:val="0F89358A"/>
    <w:rsid w:val="0F8C6D51"/>
    <w:rsid w:val="10501BF0"/>
    <w:rsid w:val="105B0B5E"/>
    <w:rsid w:val="1119508E"/>
    <w:rsid w:val="112E58D0"/>
    <w:rsid w:val="113D1AB2"/>
    <w:rsid w:val="11731CAC"/>
    <w:rsid w:val="119500A0"/>
    <w:rsid w:val="11C0733B"/>
    <w:rsid w:val="11D50D17"/>
    <w:rsid w:val="120E0809"/>
    <w:rsid w:val="123A3A1A"/>
    <w:rsid w:val="12794B0C"/>
    <w:rsid w:val="127F665A"/>
    <w:rsid w:val="12F7068C"/>
    <w:rsid w:val="1414576F"/>
    <w:rsid w:val="14207DC0"/>
    <w:rsid w:val="14B932DA"/>
    <w:rsid w:val="150A66AF"/>
    <w:rsid w:val="154C1139"/>
    <w:rsid w:val="157A24D0"/>
    <w:rsid w:val="158C5B77"/>
    <w:rsid w:val="15E50828"/>
    <w:rsid w:val="160D1149"/>
    <w:rsid w:val="163563C0"/>
    <w:rsid w:val="164315EF"/>
    <w:rsid w:val="16557DFE"/>
    <w:rsid w:val="167268FB"/>
    <w:rsid w:val="16770D0A"/>
    <w:rsid w:val="16D50C50"/>
    <w:rsid w:val="16E120E1"/>
    <w:rsid w:val="17385A05"/>
    <w:rsid w:val="173B3901"/>
    <w:rsid w:val="176747F9"/>
    <w:rsid w:val="17954A6E"/>
    <w:rsid w:val="180059E9"/>
    <w:rsid w:val="184510FD"/>
    <w:rsid w:val="188242E7"/>
    <w:rsid w:val="18E07449"/>
    <w:rsid w:val="190648B0"/>
    <w:rsid w:val="19071D6C"/>
    <w:rsid w:val="19AB0A1B"/>
    <w:rsid w:val="19D26CD4"/>
    <w:rsid w:val="19E60D19"/>
    <w:rsid w:val="1A3E3450"/>
    <w:rsid w:val="1A5014AF"/>
    <w:rsid w:val="1A7F70C7"/>
    <w:rsid w:val="1ABF157C"/>
    <w:rsid w:val="1AD807E5"/>
    <w:rsid w:val="1B39345B"/>
    <w:rsid w:val="1BFB2A1F"/>
    <w:rsid w:val="1C015D4A"/>
    <w:rsid w:val="1C290ED5"/>
    <w:rsid w:val="1C317E4F"/>
    <w:rsid w:val="1C472464"/>
    <w:rsid w:val="1CAF6CFA"/>
    <w:rsid w:val="1CD141F0"/>
    <w:rsid w:val="1D22799A"/>
    <w:rsid w:val="1D5C1A72"/>
    <w:rsid w:val="1D9B6F59"/>
    <w:rsid w:val="1DAF458D"/>
    <w:rsid w:val="1E086ACE"/>
    <w:rsid w:val="1E62130A"/>
    <w:rsid w:val="1E97358B"/>
    <w:rsid w:val="1EAA4A5F"/>
    <w:rsid w:val="1ECD2147"/>
    <w:rsid w:val="1EE869A7"/>
    <w:rsid w:val="1F7009C8"/>
    <w:rsid w:val="1FA15E62"/>
    <w:rsid w:val="1FED69B6"/>
    <w:rsid w:val="20632B0C"/>
    <w:rsid w:val="2064678E"/>
    <w:rsid w:val="20902ABB"/>
    <w:rsid w:val="20DC1AB9"/>
    <w:rsid w:val="20DD6197"/>
    <w:rsid w:val="212631E0"/>
    <w:rsid w:val="21A53757"/>
    <w:rsid w:val="221236C6"/>
    <w:rsid w:val="22150361"/>
    <w:rsid w:val="221B099F"/>
    <w:rsid w:val="22244AC1"/>
    <w:rsid w:val="22D7662C"/>
    <w:rsid w:val="23326B7F"/>
    <w:rsid w:val="23550D74"/>
    <w:rsid w:val="2380045B"/>
    <w:rsid w:val="23BC04D2"/>
    <w:rsid w:val="23EF1892"/>
    <w:rsid w:val="23F81EB0"/>
    <w:rsid w:val="2483647E"/>
    <w:rsid w:val="24A32D55"/>
    <w:rsid w:val="251D1A58"/>
    <w:rsid w:val="25292727"/>
    <w:rsid w:val="252E5CA9"/>
    <w:rsid w:val="256F7692"/>
    <w:rsid w:val="25A82597"/>
    <w:rsid w:val="25BA2154"/>
    <w:rsid w:val="25C8773F"/>
    <w:rsid w:val="26446959"/>
    <w:rsid w:val="264A7253"/>
    <w:rsid w:val="26F0170C"/>
    <w:rsid w:val="27201D62"/>
    <w:rsid w:val="27286E73"/>
    <w:rsid w:val="27CF2642"/>
    <w:rsid w:val="27E777F5"/>
    <w:rsid w:val="27EA1D4C"/>
    <w:rsid w:val="27EA2E41"/>
    <w:rsid w:val="282459E2"/>
    <w:rsid w:val="283A7FE5"/>
    <w:rsid w:val="285564B7"/>
    <w:rsid w:val="285F51FF"/>
    <w:rsid w:val="28745D7D"/>
    <w:rsid w:val="28DF2665"/>
    <w:rsid w:val="29072599"/>
    <w:rsid w:val="291029F3"/>
    <w:rsid w:val="299314CA"/>
    <w:rsid w:val="29CB58F0"/>
    <w:rsid w:val="2A053397"/>
    <w:rsid w:val="2A145E96"/>
    <w:rsid w:val="2A2131BB"/>
    <w:rsid w:val="2A4873A1"/>
    <w:rsid w:val="2AF5378F"/>
    <w:rsid w:val="2BB94DBF"/>
    <w:rsid w:val="2C6F314E"/>
    <w:rsid w:val="2C766BBD"/>
    <w:rsid w:val="2CC206BE"/>
    <w:rsid w:val="2CDE093B"/>
    <w:rsid w:val="2D1136DF"/>
    <w:rsid w:val="2D20606D"/>
    <w:rsid w:val="2DB87198"/>
    <w:rsid w:val="2DB93C54"/>
    <w:rsid w:val="2DFA4CED"/>
    <w:rsid w:val="2E3D144C"/>
    <w:rsid w:val="2E891204"/>
    <w:rsid w:val="2F3F0A28"/>
    <w:rsid w:val="2F960F04"/>
    <w:rsid w:val="2FBF7029"/>
    <w:rsid w:val="2FD0187F"/>
    <w:rsid w:val="2FD27414"/>
    <w:rsid w:val="2FFE4BB0"/>
    <w:rsid w:val="300E7B60"/>
    <w:rsid w:val="300F6E18"/>
    <w:rsid w:val="30862F5F"/>
    <w:rsid w:val="314029C9"/>
    <w:rsid w:val="31C63837"/>
    <w:rsid w:val="31C82E39"/>
    <w:rsid w:val="32601BAD"/>
    <w:rsid w:val="327815B2"/>
    <w:rsid w:val="329F6389"/>
    <w:rsid w:val="3389023A"/>
    <w:rsid w:val="33CB74FA"/>
    <w:rsid w:val="33DB1123"/>
    <w:rsid w:val="34124CF8"/>
    <w:rsid w:val="343642F2"/>
    <w:rsid w:val="343F3010"/>
    <w:rsid w:val="345D0A00"/>
    <w:rsid w:val="34713BFD"/>
    <w:rsid w:val="34C13589"/>
    <w:rsid w:val="353369E3"/>
    <w:rsid w:val="35E00D72"/>
    <w:rsid w:val="36965B9D"/>
    <w:rsid w:val="36C549FD"/>
    <w:rsid w:val="377E0F79"/>
    <w:rsid w:val="37A755DD"/>
    <w:rsid w:val="37F94FA0"/>
    <w:rsid w:val="380D3381"/>
    <w:rsid w:val="38115B1F"/>
    <w:rsid w:val="385E3AC3"/>
    <w:rsid w:val="387D6B9E"/>
    <w:rsid w:val="38B75FF0"/>
    <w:rsid w:val="38D45016"/>
    <w:rsid w:val="38D90432"/>
    <w:rsid w:val="3914510A"/>
    <w:rsid w:val="3926770B"/>
    <w:rsid w:val="398D3668"/>
    <w:rsid w:val="39DA0497"/>
    <w:rsid w:val="3A3C211F"/>
    <w:rsid w:val="3A893816"/>
    <w:rsid w:val="3A893B6D"/>
    <w:rsid w:val="3AD1763A"/>
    <w:rsid w:val="3B6716E3"/>
    <w:rsid w:val="3B6C6B2D"/>
    <w:rsid w:val="3BB81056"/>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494B1C"/>
    <w:rsid w:val="3F4B4CD2"/>
    <w:rsid w:val="3FB77A1D"/>
    <w:rsid w:val="3FDC3674"/>
    <w:rsid w:val="3FED7F8A"/>
    <w:rsid w:val="40094AEF"/>
    <w:rsid w:val="405470BD"/>
    <w:rsid w:val="40794A29"/>
    <w:rsid w:val="40834692"/>
    <w:rsid w:val="40E902BF"/>
    <w:rsid w:val="41431AD5"/>
    <w:rsid w:val="414B3C0F"/>
    <w:rsid w:val="416B2CD8"/>
    <w:rsid w:val="417C1CE7"/>
    <w:rsid w:val="41900018"/>
    <w:rsid w:val="41944406"/>
    <w:rsid w:val="41CE128F"/>
    <w:rsid w:val="41DA6F12"/>
    <w:rsid w:val="42171FB1"/>
    <w:rsid w:val="42C62A87"/>
    <w:rsid w:val="431812C1"/>
    <w:rsid w:val="434E6957"/>
    <w:rsid w:val="43BA0E31"/>
    <w:rsid w:val="43BF3093"/>
    <w:rsid w:val="43C15147"/>
    <w:rsid w:val="43E14DD2"/>
    <w:rsid w:val="43F800E9"/>
    <w:rsid w:val="443A7E4B"/>
    <w:rsid w:val="44CC7EF4"/>
    <w:rsid w:val="452F5B3A"/>
    <w:rsid w:val="454E7FD2"/>
    <w:rsid w:val="4593409C"/>
    <w:rsid w:val="46061BDC"/>
    <w:rsid w:val="461404F8"/>
    <w:rsid w:val="46413018"/>
    <w:rsid w:val="464B7E04"/>
    <w:rsid w:val="46652537"/>
    <w:rsid w:val="467E4DF9"/>
    <w:rsid w:val="468041AA"/>
    <w:rsid w:val="468123C6"/>
    <w:rsid w:val="46901EEE"/>
    <w:rsid w:val="469810B6"/>
    <w:rsid w:val="469C74D2"/>
    <w:rsid w:val="46B95839"/>
    <w:rsid w:val="47445515"/>
    <w:rsid w:val="474B4782"/>
    <w:rsid w:val="478638D0"/>
    <w:rsid w:val="47D90D14"/>
    <w:rsid w:val="48387FB0"/>
    <w:rsid w:val="483A6114"/>
    <w:rsid w:val="488727DB"/>
    <w:rsid w:val="48B82268"/>
    <w:rsid w:val="48C354B3"/>
    <w:rsid w:val="493D58B5"/>
    <w:rsid w:val="494A7A04"/>
    <w:rsid w:val="49AF5817"/>
    <w:rsid w:val="49DB5E94"/>
    <w:rsid w:val="4A0A26D2"/>
    <w:rsid w:val="4A2019A5"/>
    <w:rsid w:val="4A241A0B"/>
    <w:rsid w:val="4A7B2875"/>
    <w:rsid w:val="4A934476"/>
    <w:rsid w:val="4AAA220A"/>
    <w:rsid w:val="4AE12E67"/>
    <w:rsid w:val="4B4C0111"/>
    <w:rsid w:val="4B683EE6"/>
    <w:rsid w:val="4B8553A9"/>
    <w:rsid w:val="4BDB3730"/>
    <w:rsid w:val="4C200F7A"/>
    <w:rsid w:val="4C2E4CD2"/>
    <w:rsid w:val="4CEE3180"/>
    <w:rsid w:val="4D0F4AF6"/>
    <w:rsid w:val="4DF94F37"/>
    <w:rsid w:val="4E0A1DD5"/>
    <w:rsid w:val="4E144E93"/>
    <w:rsid w:val="4E3160E5"/>
    <w:rsid w:val="4E4D37AF"/>
    <w:rsid w:val="4E8C6496"/>
    <w:rsid w:val="4EFD18DE"/>
    <w:rsid w:val="4F144236"/>
    <w:rsid w:val="4F354D4A"/>
    <w:rsid w:val="4F557255"/>
    <w:rsid w:val="4F663C87"/>
    <w:rsid w:val="4F7E29A8"/>
    <w:rsid w:val="4F9E1FFC"/>
    <w:rsid w:val="4FBA0C29"/>
    <w:rsid w:val="50447CC2"/>
    <w:rsid w:val="50874A7C"/>
    <w:rsid w:val="50895EE7"/>
    <w:rsid w:val="50921B9D"/>
    <w:rsid w:val="50D16158"/>
    <w:rsid w:val="50DB5F45"/>
    <w:rsid w:val="50F90AA8"/>
    <w:rsid w:val="51025EB1"/>
    <w:rsid w:val="51141503"/>
    <w:rsid w:val="515C4E3F"/>
    <w:rsid w:val="51883D80"/>
    <w:rsid w:val="518D0ED5"/>
    <w:rsid w:val="51AF6E08"/>
    <w:rsid w:val="51D9081D"/>
    <w:rsid w:val="525C687F"/>
    <w:rsid w:val="52E91CAD"/>
    <w:rsid w:val="52F647F7"/>
    <w:rsid w:val="52F92565"/>
    <w:rsid w:val="53C93937"/>
    <w:rsid w:val="53D03877"/>
    <w:rsid w:val="542F73CA"/>
    <w:rsid w:val="5430786D"/>
    <w:rsid w:val="545A1D2A"/>
    <w:rsid w:val="545A4133"/>
    <w:rsid w:val="54C811C0"/>
    <w:rsid w:val="54FF611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A06E31"/>
    <w:rsid w:val="58CD2491"/>
    <w:rsid w:val="591B41B2"/>
    <w:rsid w:val="59254A26"/>
    <w:rsid w:val="59326325"/>
    <w:rsid w:val="595C505B"/>
    <w:rsid w:val="595E3B7C"/>
    <w:rsid w:val="595E55C3"/>
    <w:rsid w:val="596E7E20"/>
    <w:rsid w:val="598D25EB"/>
    <w:rsid w:val="59945EED"/>
    <w:rsid w:val="5A60780B"/>
    <w:rsid w:val="5AB34579"/>
    <w:rsid w:val="5AFC6609"/>
    <w:rsid w:val="5B113480"/>
    <w:rsid w:val="5B203BDD"/>
    <w:rsid w:val="5BD456CE"/>
    <w:rsid w:val="5C0D1F49"/>
    <w:rsid w:val="5CBB0CE2"/>
    <w:rsid w:val="5CC17177"/>
    <w:rsid w:val="5CD876CA"/>
    <w:rsid w:val="5CF306BC"/>
    <w:rsid w:val="5D3F3D64"/>
    <w:rsid w:val="5D833043"/>
    <w:rsid w:val="5DCD75D9"/>
    <w:rsid w:val="5DD92690"/>
    <w:rsid w:val="5DDB1CFD"/>
    <w:rsid w:val="5E6E3BC2"/>
    <w:rsid w:val="5E7E6D93"/>
    <w:rsid w:val="5ED44800"/>
    <w:rsid w:val="5ED82368"/>
    <w:rsid w:val="5F350BDE"/>
    <w:rsid w:val="5F61632C"/>
    <w:rsid w:val="5F681B33"/>
    <w:rsid w:val="5FA17648"/>
    <w:rsid w:val="5FE705CB"/>
    <w:rsid w:val="603D5080"/>
    <w:rsid w:val="60D0261B"/>
    <w:rsid w:val="614D2681"/>
    <w:rsid w:val="618E3791"/>
    <w:rsid w:val="61947DCA"/>
    <w:rsid w:val="61A46A97"/>
    <w:rsid w:val="61D1382F"/>
    <w:rsid w:val="61F114A2"/>
    <w:rsid w:val="62512BB4"/>
    <w:rsid w:val="625D7D1A"/>
    <w:rsid w:val="62C91D01"/>
    <w:rsid w:val="62DD7D21"/>
    <w:rsid w:val="62F94DF7"/>
    <w:rsid w:val="637D586B"/>
    <w:rsid w:val="63A5560B"/>
    <w:rsid w:val="63E9091F"/>
    <w:rsid w:val="64322AF9"/>
    <w:rsid w:val="64D6010D"/>
    <w:rsid w:val="64D82665"/>
    <w:rsid w:val="64E47C96"/>
    <w:rsid w:val="651E5741"/>
    <w:rsid w:val="65567A6C"/>
    <w:rsid w:val="658A4877"/>
    <w:rsid w:val="65A00902"/>
    <w:rsid w:val="65AC6EDD"/>
    <w:rsid w:val="65D97752"/>
    <w:rsid w:val="65EF5A9D"/>
    <w:rsid w:val="66085536"/>
    <w:rsid w:val="66105BF7"/>
    <w:rsid w:val="66150023"/>
    <w:rsid w:val="6628010D"/>
    <w:rsid w:val="667C4D2C"/>
    <w:rsid w:val="669B4528"/>
    <w:rsid w:val="66CC12D7"/>
    <w:rsid w:val="66E7646A"/>
    <w:rsid w:val="67134CEF"/>
    <w:rsid w:val="671F1ABD"/>
    <w:rsid w:val="67521A59"/>
    <w:rsid w:val="67B76464"/>
    <w:rsid w:val="67C304AB"/>
    <w:rsid w:val="68040308"/>
    <w:rsid w:val="683F0658"/>
    <w:rsid w:val="689C6793"/>
    <w:rsid w:val="68DB0208"/>
    <w:rsid w:val="68FB170C"/>
    <w:rsid w:val="691B3D98"/>
    <w:rsid w:val="691B76B2"/>
    <w:rsid w:val="693748F0"/>
    <w:rsid w:val="69846A0E"/>
    <w:rsid w:val="69AA1366"/>
    <w:rsid w:val="69AD798C"/>
    <w:rsid w:val="69D005C0"/>
    <w:rsid w:val="69D80B96"/>
    <w:rsid w:val="69EB0343"/>
    <w:rsid w:val="6A35496B"/>
    <w:rsid w:val="6A664100"/>
    <w:rsid w:val="6ABE7C96"/>
    <w:rsid w:val="6B68175F"/>
    <w:rsid w:val="6BFD799F"/>
    <w:rsid w:val="6C126F0F"/>
    <w:rsid w:val="6C221593"/>
    <w:rsid w:val="6C4A2E5A"/>
    <w:rsid w:val="6C8138D0"/>
    <w:rsid w:val="6CD61FB4"/>
    <w:rsid w:val="6CEF0725"/>
    <w:rsid w:val="6D4B2604"/>
    <w:rsid w:val="6D5173BD"/>
    <w:rsid w:val="6D8030E4"/>
    <w:rsid w:val="6DF14842"/>
    <w:rsid w:val="6E0E35C4"/>
    <w:rsid w:val="6E0F7A08"/>
    <w:rsid w:val="6E3947F5"/>
    <w:rsid w:val="6E9C74ED"/>
    <w:rsid w:val="6EEA6C9E"/>
    <w:rsid w:val="6EF72976"/>
    <w:rsid w:val="6F10620F"/>
    <w:rsid w:val="6F5205E5"/>
    <w:rsid w:val="6F780453"/>
    <w:rsid w:val="6F795A80"/>
    <w:rsid w:val="6F7C1D2E"/>
    <w:rsid w:val="6F8E0407"/>
    <w:rsid w:val="6FDD069F"/>
    <w:rsid w:val="702B4D16"/>
    <w:rsid w:val="70AA6621"/>
    <w:rsid w:val="7111480F"/>
    <w:rsid w:val="71261F49"/>
    <w:rsid w:val="712E6956"/>
    <w:rsid w:val="71473612"/>
    <w:rsid w:val="714E39B1"/>
    <w:rsid w:val="71504F32"/>
    <w:rsid w:val="7152309F"/>
    <w:rsid w:val="717F4284"/>
    <w:rsid w:val="718F7F65"/>
    <w:rsid w:val="727B234E"/>
    <w:rsid w:val="729F03DE"/>
    <w:rsid w:val="72D068C7"/>
    <w:rsid w:val="72E42ED8"/>
    <w:rsid w:val="73277E8A"/>
    <w:rsid w:val="7355128B"/>
    <w:rsid w:val="735F4CB9"/>
    <w:rsid w:val="73674C62"/>
    <w:rsid w:val="7374792C"/>
    <w:rsid w:val="73845865"/>
    <w:rsid w:val="739B6D9E"/>
    <w:rsid w:val="73BC1D76"/>
    <w:rsid w:val="73FB6630"/>
    <w:rsid w:val="744B0C68"/>
    <w:rsid w:val="748D790E"/>
    <w:rsid w:val="74935968"/>
    <w:rsid w:val="749820CC"/>
    <w:rsid w:val="74AC6413"/>
    <w:rsid w:val="74CE04EC"/>
    <w:rsid w:val="74E076DB"/>
    <w:rsid w:val="74E76DCD"/>
    <w:rsid w:val="751D7C0A"/>
    <w:rsid w:val="754B48F8"/>
    <w:rsid w:val="75722D56"/>
    <w:rsid w:val="75DB5477"/>
    <w:rsid w:val="75FC6AC3"/>
    <w:rsid w:val="7616619B"/>
    <w:rsid w:val="76660D7C"/>
    <w:rsid w:val="766C5968"/>
    <w:rsid w:val="76BE0C8F"/>
    <w:rsid w:val="76CD53B2"/>
    <w:rsid w:val="770719AC"/>
    <w:rsid w:val="771A1680"/>
    <w:rsid w:val="776526CC"/>
    <w:rsid w:val="77A262E1"/>
    <w:rsid w:val="77B13C33"/>
    <w:rsid w:val="77ED6F44"/>
    <w:rsid w:val="77F45548"/>
    <w:rsid w:val="784E7CA6"/>
    <w:rsid w:val="78574801"/>
    <w:rsid w:val="7873527F"/>
    <w:rsid w:val="790A6425"/>
    <w:rsid w:val="790E2D96"/>
    <w:rsid w:val="791B54B2"/>
    <w:rsid w:val="795A0A34"/>
    <w:rsid w:val="797339C3"/>
    <w:rsid w:val="79C83F68"/>
    <w:rsid w:val="79D57D57"/>
    <w:rsid w:val="79F00650"/>
    <w:rsid w:val="7A111C67"/>
    <w:rsid w:val="7A6242BF"/>
    <w:rsid w:val="7A794513"/>
    <w:rsid w:val="7AD45CDE"/>
    <w:rsid w:val="7AE649F4"/>
    <w:rsid w:val="7AE952D2"/>
    <w:rsid w:val="7AFA5234"/>
    <w:rsid w:val="7C7248A0"/>
    <w:rsid w:val="7C976D69"/>
    <w:rsid w:val="7CD752DA"/>
    <w:rsid w:val="7CDE40AB"/>
    <w:rsid w:val="7CF057E2"/>
    <w:rsid w:val="7D1548B5"/>
    <w:rsid w:val="7D2D08BF"/>
    <w:rsid w:val="7D756AF0"/>
    <w:rsid w:val="7D931C80"/>
    <w:rsid w:val="7DF84014"/>
    <w:rsid w:val="7E207949"/>
    <w:rsid w:val="7E5C0A47"/>
    <w:rsid w:val="7E670C75"/>
    <w:rsid w:val="7EE24272"/>
    <w:rsid w:val="7EEA6053"/>
    <w:rsid w:val="7F175477"/>
    <w:rsid w:val="7F487C04"/>
    <w:rsid w:val="7FB45F21"/>
    <w:rsid w:val="7FE57088"/>
    <w:rsid w:val="7FF37FA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qFormat/>
    <w:uiPriority w:val="0"/>
  </w:style>
  <w:style w:type="table" w:default="1" w:styleId="11">
    <w:name w:val="Normal Table"/>
    <w:semiHidden/>
    <w:qFormat/>
    <w:uiPriority w:val="0"/>
    <w:tblPr>
      <w:tblLayout w:type="fixed"/>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10">
    <w:name w:val="Strong"/>
    <w:basedOn w:val="9"/>
    <w:qFormat/>
    <w:uiPriority w:val="0"/>
    <w:rPr>
      <w:b/>
    </w:rPr>
  </w:style>
  <w:style w:type="paragraph" w:customStyle="1" w:styleId="12">
    <w:name w:val="WPSOffice手动目录 3"/>
    <w:qFormat/>
    <w:uiPriority w:val="0"/>
    <w:pPr>
      <w:ind w:leftChars="400"/>
    </w:pPr>
    <w:rPr>
      <w:rFonts w:ascii="Times New Roman" w:hAnsi="Times New Roman" w:eastAsia="宋体" w:cs="Times New Roman"/>
      <w:sz w:val="20"/>
      <w:szCs w:val="20"/>
    </w:rPr>
  </w:style>
  <w:style w:type="paragraph" w:customStyle="1" w:styleId="13">
    <w:name w:val="WPSOffice手动目录 2"/>
    <w:qFormat/>
    <w:uiPriority w:val="0"/>
    <w:pPr>
      <w:ind w:leftChars="200"/>
    </w:pPr>
    <w:rPr>
      <w:rFonts w:ascii="Times New Roman" w:hAnsi="Times New Roman" w:eastAsia="宋体" w:cs="Times New Roman"/>
      <w:sz w:val="20"/>
      <w:szCs w:val="20"/>
    </w:rPr>
  </w:style>
  <w:style w:type="paragraph" w:customStyle="1" w:styleId="14">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21</Pages>
  <Words>7628</Words>
  <Characters>8693</Characters>
  <Lines>0</Lines>
  <Paragraphs>0</Paragraphs>
  <TotalTime>0</TotalTime>
  <ScaleCrop>false</ScaleCrop>
  <LinksUpToDate>false</LinksUpToDate>
  <CharactersWithSpaces>8720</CharactersWithSpaces>
  <Application>WPS Office_10.8.0.6470_F1E327BC-269C-435d-A152-05C5408002CA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安琴</cp:lastModifiedBy>
  <dcterms:modified xsi:type="dcterms:W3CDTF">2024-09-06T11:19:33Z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2052-10.8.0.6470</vt:lpwstr>
  </property>
  <property fmtid="{D5CDD505-2E9C-101B-9397-08002B2CF9AE}" pid="3" name="ICV">
    <vt:lpwstr>D624B15633CD43C8BF9435464A96BF70</vt:lpwstr>
  </property>
</Properties>
</file>