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新疆维吾尔自治区水文局水文实验站</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pStyle w:val="15"/>
        <w:spacing w:line="560" w:lineRule="exact"/>
        <w:ind w:firstLine="56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新疆维吾尔自治区水文局水文实验站担负着乌鲁木齐河上游地表水的水量、泥沙测验和水质的监测，收集和分析研究水资源量和水质质量资料信息，及其动态变化规律，防洪抗旱水文情报预报，水资源调查评价，工程水文设计分析，为水资源合理利用与规划的前期服务等任务，是为乌鲁木齐河上游的国民经济建设积累和提供水文信息服务的尖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b/>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新疆维吾尔自治区水文局水文实验站</w:t>
      </w:r>
      <w:r>
        <w:rPr>
          <w:rFonts w:hint="default" w:ascii="Times New Roman" w:hAnsi="Times New Roman" w:eastAsia="仿宋_GB2312" w:cs="Times New Roman"/>
          <w:color w:val="auto"/>
          <w:sz w:val="32"/>
          <w:szCs w:val="32"/>
          <w:highlight w:val="none"/>
          <w:lang w:eastAsia="zh-CN"/>
        </w:rPr>
        <w:t>2023年度，</w:t>
      </w:r>
      <w:r>
        <w:rPr>
          <w:rFonts w:hint="default" w:ascii="Times New Roman" w:hAnsi="Times New Roman" w:eastAsia="仿宋_GB2312" w:cs="Times New Roman"/>
          <w:color w:val="auto"/>
          <w:sz w:val="32"/>
          <w:szCs w:val="32"/>
          <w:highlight w:val="none"/>
        </w:rPr>
        <w:t>实有人数</w:t>
      </w:r>
      <w:r>
        <w:rPr>
          <w:rFonts w:hint="default" w:ascii="Times New Roman" w:hAnsi="Times New Roman" w:eastAsia="仿宋_GB2312" w:cs="Times New Roman"/>
          <w:color w:val="auto"/>
          <w:sz w:val="32"/>
          <w:szCs w:val="32"/>
          <w:highlight w:val="none"/>
          <w:lang w:val="zh-CN" w:eastAsia="zh-CN"/>
        </w:rPr>
        <w:t>69</w:t>
      </w:r>
      <w:r>
        <w:rPr>
          <w:rFonts w:hint="default" w:ascii="Times New Roman" w:hAnsi="Times New Roman" w:eastAsia="仿宋_GB2312" w:cs="Times New Roman"/>
          <w:color w:val="auto"/>
          <w:sz w:val="32"/>
          <w:szCs w:val="32"/>
          <w:highlight w:val="none"/>
        </w:rPr>
        <w:t>人，其中：在职人员</w:t>
      </w:r>
      <w:r>
        <w:rPr>
          <w:rFonts w:hint="default" w:ascii="Times New Roman" w:hAnsi="Times New Roman" w:eastAsia="仿宋_GB2312" w:cs="Times New Roman"/>
          <w:color w:val="auto"/>
          <w:sz w:val="32"/>
          <w:szCs w:val="32"/>
          <w:highlight w:val="none"/>
          <w:lang w:val="zh-CN" w:eastAsia="zh-CN"/>
        </w:rPr>
        <w:t>42</w:t>
      </w:r>
      <w:r>
        <w:rPr>
          <w:rFonts w:hint="default" w:ascii="Times New Roman" w:hAnsi="Times New Roman" w:eastAsia="仿宋_GB2312" w:cs="Times New Roman"/>
          <w:color w:val="auto"/>
          <w:sz w:val="32"/>
          <w:szCs w:val="32"/>
          <w:highlight w:val="none"/>
        </w:rPr>
        <w:t>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离休人员</w:t>
      </w:r>
      <w:r>
        <w:rPr>
          <w:rFonts w:hint="default" w:ascii="Times New Roman" w:hAnsi="Times New Roman" w:eastAsia="仿宋_GB2312" w:cs="Times New Roman"/>
          <w:color w:val="auto"/>
          <w:sz w:val="32"/>
          <w:szCs w:val="32"/>
          <w:highlight w:val="none"/>
          <w:lang w:val="zh-CN" w:eastAsia="zh-CN"/>
        </w:rPr>
        <w:t>0</w:t>
      </w:r>
      <w:r>
        <w:rPr>
          <w:rFonts w:hint="default" w:ascii="Times New Roman" w:hAnsi="Times New Roman" w:eastAsia="仿宋_GB2312" w:cs="Times New Roman"/>
          <w:color w:val="auto"/>
          <w:sz w:val="32"/>
          <w:szCs w:val="32"/>
          <w:highlight w:val="none"/>
        </w:rPr>
        <w:t>人，退休人员</w:t>
      </w:r>
      <w:r>
        <w:rPr>
          <w:rFonts w:hint="default" w:ascii="Times New Roman" w:hAnsi="Times New Roman" w:eastAsia="仿宋_GB2312" w:cs="Times New Roman"/>
          <w:color w:val="auto"/>
          <w:sz w:val="32"/>
          <w:szCs w:val="32"/>
          <w:highlight w:val="none"/>
          <w:lang w:val="zh-CN" w:eastAsia="zh-CN"/>
        </w:rPr>
        <w:t>27</w:t>
      </w:r>
      <w:r>
        <w:rPr>
          <w:rFonts w:hint="default" w:ascii="Times New Roman" w:hAnsi="Times New Roman" w:eastAsia="仿宋_GB2312" w:cs="Times New Roman"/>
          <w:color w:val="auto"/>
          <w:sz w:val="32"/>
          <w:szCs w:val="32"/>
          <w:highlight w:val="none"/>
        </w:rPr>
        <w:t>人。</w:t>
      </w:r>
    </w:p>
    <w:p>
      <w:pPr>
        <w:pStyle w:val="15"/>
        <w:spacing w:line="560" w:lineRule="exact"/>
        <w:ind w:firstLine="56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单位无下属预算单位，下设</w:t>
      </w:r>
      <w:r>
        <w:rPr>
          <w:rFonts w:hint="eastAsia" w:eastAsia="仿宋_GB2312" w:cs="Times New Roman"/>
          <w:color w:val="auto"/>
          <w:kern w:val="2"/>
          <w:sz w:val="32"/>
          <w:szCs w:val="32"/>
          <w:highlight w:val="none"/>
          <w:lang w:val="en-US" w:eastAsia="zh-CN" w:bidi="ar-SA"/>
        </w:rPr>
        <w:t>5</w:t>
      </w:r>
      <w:r>
        <w:rPr>
          <w:rFonts w:hint="default" w:ascii="Times New Roman" w:hAnsi="Times New Roman" w:eastAsia="仿宋_GB2312" w:cs="Times New Roman"/>
          <w:color w:val="auto"/>
          <w:kern w:val="2"/>
          <w:sz w:val="32"/>
          <w:szCs w:val="32"/>
          <w:highlight w:val="none"/>
          <w:lang w:val="en-US" w:eastAsia="zh-CN" w:bidi="ar-SA"/>
        </w:rPr>
        <w:t>个</w:t>
      </w:r>
      <w:r>
        <w:rPr>
          <w:rFonts w:hint="eastAsia" w:eastAsia="仿宋_GB2312" w:cs="Times New Roman"/>
          <w:color w:val="auto"/>
          <w:kern w:val="2"/>
          <w:sz w:val="32"/>
          <w:szCs w:val="32"/>
          <w:highlight w:val="none"/>
          <w:lang w:val="en-US" w:eastAsia="zh-CN" w:bidi="ar-SA"/>
        </w:rPr>
        <w:t>科</w:t>
      </w:r>
      <w:r>
        <w:rPr>
          <w:rFonts w:hint="default" w:ascii="Times New Roman" w:hAnsi="Times New Roman" w:eastAsia="仿宋_GB2312" w:cs="Times New Roman"/>
          <w:color w:val="auto"/>
          <w:kern w:val="2"/>
          <w:sz w:val="32"/>
          <w:szCs w:val="32"/>
          <w:highlight w:val="none"/>
          <w:lang w:val="en-US" w:eastAsia="zh-CN" w:bidi="ar-SA"/>
        </w:rPr>
        <w:t>室，分别是：办公室、党建科、技术科、后峡水文实验基地、西部水文仪器检定中心。</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Times New Roman" w:hAnsi="Times New Roman" w:eastAsia="仿宋_GB2312" w:cs="Times New Roman"/>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eastAsia="zh-CN"/>
        </w:rPr>
        <w:t>2023年度</w:t>
      </w:r>
      <w:r>
        <w:rPr>
          <w:rFonts w:hint="default" w:ascii="Times New Roman" w:hAnsi="Times New Roman" w:eastAsia="仿宋_GB2312" w:cs="Times New Roman"/>
          <w:color w:val="auto"/>
          <w:spacing w:val="0"/>
          <w:sz w:val="32"/>
          <w:szCs w:val="32"/>
          <w:highlight w:val="none"/>
          <w:lang w:val="en-US" w:eastAsia="zh-CN"/>
        </w:rPr>
        <w:t>收入总计</w:t>
      </w:r>
      <w:r>
        <w:rPr>
          <w:rFonts w:hint="default" w:ascii="Times New Roman" w:hAnsi="Times New Roman" w:eastAsia="仿宋_GB2312" w:cs="Times New Roman"/>
          <w:color w:val="auto"/>
          <w:spacing w:val="0"/>
          <w:sz w:val="32"/>
          <w:szCs w:val="32"/>
          <w:highlight w:val="none"/>
          <w:lang w:eastAsia="zh-CN"/>
        </w:rPr>
        <w:t>925.05万元，</w:t>
      </w:r>
      <w:r>
        <w:rPr>
          <w:rFonts w:hint="default" w:ascii="Times New Roman" w:hAnsi="Times New Roman" w:eastAsia="仿宋_GB2312" w:cs="Times New Roman"/>
          <w:color w:val="auto"/>
          <w:spacing w:val="0"/>
          <w:sz w:val="32"/>
          <w:szCs w:val="32"/>
          <w:highlight w:val="none"/>
          <w:lang w:val="en-US" w:eastAsia="zh-CN"/>
        </w:rPr>
        <w:t>其中：本年收入合计</w:t>
      </w:r>
      <w:r>
        <w:rPr>
          <w:rFonts w:hint="default" w:ascii="Times New Roman" w:hAnsi="Times New Roman" w:eastAsia="仿宋_GB2312" w:cs="Times New Roman"/>
          <w:color w:val="auto"/>
          <w:spacing w:val="0"/>
          <w:sz w:val="32"/>
          <w:szCs w:val="32"/>
          <w:highlight w:val="none"/>
          <w:lang w:eastAsia="zh-CN"/>
        </w:rPr>
        <w:t>925.05万元，使用非财政拨款结余0.00万元，年初结转和结余0.00万元。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val="en-US" w:eastAsia="zh-CN"/>
        </w:rPr>
        <w:t>2023</w:t>
      </w:r>
      <w:r>
        <w:rPr>
          <w:rFonts w:hint="default" w:ascii="Times New Roman" w:hAnsi="Times New Roman" w:eastAsia="仿宋_GB2312" w:cs="Times New Roman"/>
          <w:color w:val="auto"/>
          <w:spacing w:val="0"/>
          <w:sz w:val="32"/>
          <w:szCs w:val="32"/>
          <w:highlight w:val="none"/>
          <w:lang w:eastAsia="zh-CN"/>
        </w:rPr>
        <w:t>年</w:t>
      </w:r>
      <w:r>
        <w:rPr>
          <w:rFonts w:hint="default" w:ascii="Times New Roman" w:hAnsi="Times New Roman" w:eastAsia="仿宋_GB2312" w:cs="Times New Roman"/>
          <w:color w:val="auto"/>
          <w:spacing w:val="0"/>
          <w:sz w:val="32"/>
          <w:szCs w:val="32"/>
          <w:highlight w:val="none"/>
          <w:lang w:val="en-US" w:eastAsia="zh-CN"/>
        </w:rPr>
        <w:t>度</w:t>
      </w:r>
      <w:r>
        <w:rPr>
          <w:rFonts w:hint="default" w:ascii="Times New Roman" w:hAnsi="Times New Roman" w:eastAsia="仿宋_GB2312" w:cs="Times New Roman"/>
          <w:color w:val="auto"/>
          <w:spacing w:val="0"/>
          <w:sz w:val="32"/>
          <w:szCs w:val="32"/>
          <w:highlight w:val="none"/>
          <w:lang w:eastAsia="zh-CN"/>
        </w:rPr>
        <w:t>支出</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eastAsia="zh-CN"/>
        </w:rPr>
        <w:t>925.05万元，</w:t>
      </w:r>
      <w:r>
        <w:rPr>
          <w:rFonts w:hint="default" w:ascii="Times New Roman" w:hAnsi="Times New Roman" w:eastAsia="仿宋_GB2312" w:cs="Times New Roman"/>
          <w:color w:val="auto"/>
          <w:spacing w:val="0"/>
          <w:sz w:val="32"/>
          <w:szCs w:val="32"/>
          <w:highlight w:val="none"/>
          <w:lang w:val="en-US" w:eastAsia="zh-CN"/>
        </w:rPr>
        <w:t>其中：本年支出合计</w:t>
      </w:r>
      <w:r>
        <w:rPr>
          <w:rFonts w:hint="default" w:ascii="Times New Roman" w:hAnsi="Times New Roman" w:eastAsia="仿宋_GB2312" w:cs="Times New Roman"/>
          <w:color w:val="auto"/>
          <w:spacing w:val="0"/>
          <w:sz w:val="32"/>
          <w:szCs w:val="32"/>
          <w:highlight w:val="none"/>
          <w:lang w:eastAsia="zh-CN"/>
        </w:rPr>
        <w:t>923.74万元，</w:t>
      </w:r>
      <w:r>
        <w:rPr>
          <w:rFonts w:hint="default" w:ascii="Times New Roman" w:hAnsi="Times New Roman" w:eastAsia="仿宋_GB2312" w:cs="Times New Roman"/>
          <w:color w:val="auto"/>
          <w:spacing w:val="0"/>
          <w:sz w:val="32"/>
          <w:szCs w:val="32"/>
          <w:highlight w:val="none"/>
          <w:lang w:val="en-US" w:eastAsia="zh-CN"/>
        </w:rPr>
        <w:t>结余分配</w:t>
      </w:r>
      <w:r>
        <w:rPr>
          <w:rFonts w:hint="default" w:ascii="Times New Roman" w:hAnsi="Times New Roman" w:eastAsia="仿宋_GB2312" w:cs="Times New Roman"/>
          <w:color w:val="auto"/>
          <w:spacing w:val="0"/>
          <w:sz w:val="32"/>
          <w:szCs w:val="32"/>
          <w:highlight w:val="none"/>
          <w:lang w:eastAsia="zh-CN"/>
        </w:rPr>
        <w:t>1.3</w:t>
      </w:r>
      <w:r>
        <w:rPr>
          <w:rFonts w:hint="eastAsia" w:eastAsia="仿宋_GB2312" w:cs="Times New Roman"/>
          <w:color w:val="auto"/>
          <w:spacing w:val="0"/>
          <w:sz w:val="32"/>
          <w:szCs w:val="32"/>
          <w:highlight w:val="none"/>
          <w:lang w:val="en-US" w:eastAsia="zh-CN"/>
        </w:rPr>
        <w:t>2</w:t>
      </w:r>
      <w:r>
        <w:rPr>
          <w:rFonts w:hint="default" w:ascii="Times New Roman" w:hAnsi="Times New Roman" w:eastAsia="仿宋_GB2312" w:cs="Times New Roman"/>
          <w:color w:val="auto"/>
          <w:spacing w:val="0"/>
          <w:sz w:val="32"/>
          <w:szCs w:val="32"/>
          <w:highlight w:val="none"/>
          <w:lang w:eastAsia="zh-CN"/>
        </w:rPr>
        <w:t>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val="en-US" w:eastAsia="zh-CN"/>
        </w:rPr>
        <w:t>收入支出总体与上年相比</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增加31.2</w:t>
      </w:r>
      <w:r>
        <w:rPr>
          <w:rFonts w:hint="eastAsia" w:eastAsia="仿宋_GB2312" w:cs="Times New Roman"/>
          <w:color w:val="auto"/>
          <w:spacing w:val="0"/>
          <w:sz w:val="32"/>
          <w:szCs w:val="32"/>
          <w:highlight w:val="none"/>
          <w:lang w:val="en-US" w:eastAsia="zh-CN"/>
        </w:rPr>
        <w:t>8</w:t>
      </w:r>
      <w:r>
        <w:rPr>
          <w:rFonts w:hint="default" w:ascii="Times New Roman" w:hAnsi="Times New Roman" w:eastAsia="仿宋_GB2312" w:cs="Times New Roman"/>
          <w:color w:val="auto"/>
          <w:spacing w:val="0"/>
          <w:sz w:val="32"/>
          <w:szCs w:val="32"/>
          <w:highlight w:val="none"/>
          <w:lang w:val="zh-CN" w:eastAsia="zh-CN"/>
        </w:rPr>
        <w:t>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增长3.50%</w:t>
      </w:r>
      <w:r>
        <w:rPr>
          <w:rFonts w:hint="default" w:ascii="Times New Roman" w:hAnsi="Times New Roman" w:eastAsia="仿宋_GB2312" w:cs="Times New Roman"/>
          <w:color w:val="auto"/>
          <w:spacing w:val="0"/>
          <w:sz w:val="32"/>
          <w:szCs w:val="32"/>
          <w:highlight w:val="none"/>
          <w:lang w:eastAsia="zh-CN"/>
        </w:rPr>
        <w:t>，主要原因是：经营收入</w:t>
      </w:r>
      <w:r>
        <w:rPr>
          <w:rFonts w:hint="default" w:ascii="Times New Roman" w:hAnsi="Times New Roman" w:eastAsia="仿宋_GB2312" w:cs="Times New Roman"/>
          <w:color w:val="auto"/>
          <w:spacing w:val="0"/>
          <w:sz w:val="32"/>
          <w:szCs w:val="32"/>
          <w:highlight w:val="none"/>
          <w:lang w:val="en-US" w:eastAsia="zh-CN"/>
        </w:rPr>
        <w:t>将往年应收未收经营合同款基本追回。致使收入支出总体比上年有所增长。</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本年收入</w:t>
      </w:r>
      <w:r>
        <w:rPr>
          <w:rFonts w:hint="default" w:ascii="Times New Roman" w:hAnsi="Times New Roman" w:eastAsia="仿宋_GB2312" w:cs="Times New Roman"/>
          <w:color w:val="auto"/>
          <w:sz w:val="32"/>
          <w:szCs w:val="32"/>
          <w:highlight w:val="none"/>
          <w:lang w:eastAsia="zh-CN"/>
        </w:rPr>
        <w:t>925.05</w:t>
      </w:r>
      <w:r>
        <w:rPr>
          <w:rFonts w:hint="default" w:ascii="Times New Roman" w:hAnsi="Times New Roman" w:eastAsia="仿宋_GB2312" w:cs="Times New Roman"/>
          <w:color w:val="auto"/>
          <w:sz w:val="32"/>
          <w:szCs w:val="32"/>
          <w:highlight w:val="none"/>
        </w:rPr>
        <w:t>万元，其中：财政拨款收入</w:t>
      </w:r>
      <w:r>
        <w:rPr>
          <w:rFonts w:hint="default" w:ascii="Times New Roman" w:hAnsi="Times New Roman" w:eastAsia="仿宋_GB2312" w:cs="Times New Roman"/>
          <w:color w:val="auto"/>
          <w:sz w:val="32"/>
          <w:szCs w:val="32"/>
          <w:highlight w:val="none"/>
          <w:lang w:val="zh-CN"/>
        </w:rPr>
        <w:t>834.29</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90.19</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；上级补助收入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；事业收入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；经营收入</w:t>
      </w:r>
      <w:r>
        <w:rPr>
          <w:rFonts w:hint="default" w:ascii="Times New Roman" w:hAnsi="Times New Roman" w:eastAsia="仿宋_GB2312" w:cs="Times New Roman"/>
          <w:color w:val="auto"/>
          <w:sz w:val="32"/>
          <w:szCs w:val="32"/>
          <w:highlight w:val="none"/>
          <w:lang w:val="zh-CN"/>
        </w:rPr>
        <w:t>90.72</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9.81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附属单位上缴收入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；其他收入</w:t>
      </w:r>
      <w:r>
        <w:rPr>
          <w:rFonts w:hint="default" w:ascii="Times New Roman" w:hAnsi="Times New Roman" w:eastAsia="仿宋_GB2312" w:cs="Times New Roman"/>
          <w:color w:val="auto"/>
          <w:sz w:val="32"/>
          <w:szCs w:val="32"/>
          <w:highlight w:val="none"/>
          <w:lang w:val="zh-CN"/>
        </w:rPr>
        <w:t>0.05</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0"/>
          <w:szCs w:val="30"/>
          <w:highlight w:val="none"/>
          <w:lang w:val="zh-CN" w:eastAsia="zh-CN"/>
        </w:rPr>
      </w:pPr>
      <w:r>
        <w:rPr>
          <w:rFonts w:hint="default" w:ascii="Times New Roman" w:hAnsi="Times New Roman" w:eastAsia="仿宋_GB2312" w:cs="Times New Roman"/>
          <w:color w:val="auto"/>
          <w:sz w:val="32"/>
          <w:szCs w:val="32"/>
          <w:highlight w:val="none"/>
          <w:lang w:val="zh-CN" w:eastAsia="zh-CN"/>
        </w:rPr>
        <w:t>本年支出923.74万元，其中：基本支出777.29万元，占84.15%；项目支出57.00万元，占6.17%；上缴上级支出0.00万元，占0.00%；经营支出89.45万元，占9.68%；对附属单位补助支出0.00万元，占0.00%。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eastAsia="zh-CN"/>
        </w:rPr>
        <w:t>2023年度财政拨款收入</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val="zh-CN" w:eastAsia="zh-CN"/>
        </w:rPr>
        <w:t>834.29</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其中：年初财政拨款结转和结余</w:t>
      </w:r>
      <w:r>
        <w:rPr>
          <w:rFonts w:hint="default" w:ascii="Times New Roman" w:hAnsi="Times New Roman" w:eastAsia="仿宋_GB2312" w:cs="Times New Roman"/>
          <w:color w:val="auto"/>
          <w:spacing w:val="0"/>
          <w:sz w:val="32"/>
          <w:szCs w:val="32"/>
          <w:highlight w:val="none"/>
          <w:lang w:val="zh-CN" w:eastAsia="zh-CN"/>
        </w:rPr>
        <w:t>0.00</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本年财政拨款收入</w:t>
      </w:r>
      <w:r>
        <w:rPr>
          <w:rFonts w:hint="default" w:ascii="Times New Roman" w:hAnsi="Times New Roman" w:eastAsia="仿宋_GB2312" w:cs="Times New Roman"/>
          <w:color w:val="auto"/>
          <w:spacing w:val="0"/>
          <w:sz w:val="32"/>
          <w:szCs w:val="32"/>
          <w:highlight w:val="none"/>
          <w:lang w:val="zh-CN" w:eastAsia="zh-CN"/>
        </w:rPr>
        <w:t>834.29</w:t>
      </w:r>
      <w:r>
        <w:rPr>
          <w:rFonts w:hint="default" w:ascii="Times New Roman" w:hAnsi="Times New Roman" w:eastAsia="仿宋_GB2312" w:cs="Times New Roman"/>
          <w:color w:val="auto"/>
          <w:spacing w:val="0"/>
          <w:sz w:val="32"/>
          <w:szCs w:val="32"/>
          <w:highlight w:val="none"/>
          <w:lang w:eastAsia="zh-CN"/>
        </w:rPr>
        <w:t>万元。财政拨款支出</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val="zh-CN" w:eastAsia="zh-CN"/>
        </w:rPr>
        <w:t>834.29</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其中：年末财政拨款结转和结余</w:t>
      </w:r>
      <w:r>
        <w:rPr>
          <w:rFonts w:hint="default" w:ascii="Times New Roman" w:hAnsi="Times New Roman" w:eastAsia="仿宋_GB2312" w:cs="Times New Roman"/>
          <w:color w:val="auto"/>
          <w:spacing w:val="0"/>
          <w:sz w:val="32"/>
          <w:szCs w:val="32"/>
          <w:highlight w:val="none"/>
          <w:lang w:val="zh-CN" w:eastAsia="zh-CN"/>
        </w:rPr>
        <w:t>0.00</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本年财政拨款支出</w:t>
      </w:r>
      <w:r>
        <w:rPr>
          <w:rFonts w:hint="default" w:ascii="Times New Roman" w:hAnsi="Times New Roman" w:eastAsia="仿宋_GB2312" w:cs="Times New Roman"/>
          <w:color w:val="auto"/>
          <w:spacing w:val="0"/>
          <w:sz w:val="32"/>
          <w:szCs w:val="32"/>
          <w:highlight w:val="none"/>
          <w:lang w:val="zh-CN" w:eastAsia="zh-CN"/>
        </w:rPr>
        <w:t>834.29</w:t>
      </w:r>
      <w:r>
        <w:rPr>
          <w:rFonts w:hint="default" w:ascii="Times New Roman" w:hAnsi="Times New Roman" w:eastAsia="仿宋_GB2312" w:cs="Times New Roman"/>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财政拨款收入支出总体与上年相比</w:t>
      </w:r>
      <w:r>
        <w:rPr>
          <w:rFonts w:hint="default" w:ascii="Times New Roman" w:hAnsi="Times New Roman" w:eastAsia="仿宋_GB2312" w:cs="Times New Roman"/>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val="zh-CN" w:eastAsia="zh-CN"/>
        </w:rPr>
        <w:t>减少14.66万元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下降1.73%，</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color w:val="auto"/>
          <w:spacing w:val="0"/>
          <w:sz w:val="32"/>
          <w:szCs w:val="32"/>
          <w:highlight w:val="none"/>
          <w:lang w:val="en-US" w:eastAsia="zh-CN"/>
        </w:rPr>
        <w:t>一方面我单位2023年减少了水利发展资金项目、另一方面按照相关政策调减退休人员医疗费，故较上年有所减少。</w:t>
      </w:r>
      <w:r>
        <w:rPr>
          <w:rFonts w:hint="default" w:ascii="Times New Roman" w:hAnsi="Times New Roman" w:eastAsia="仿宋_GB2312" w:cs="Times New Roman"/>
          <w:color w:val="auto"/>
          <w:spacing w:val="0"/>
          <w:sz w:val="32"/>
          <w:szCs w:val="32"/>
          <w:highlight w:val="none"/>
          <w:lang w:eastAsia="zh-CN"/>
        </w:rPr>
        <w:t>与年初预算相比，年初预算数</w:t>
      </w:r>
      <w:r>
        <w:rPr>
          <w:rFonts w:hint="default" w:ascii="Times New Roman" w:hAnsi="Times New Roman" w:eastAsia="仿宋_GB2312" w:cs="Times New Roman"/>
          <w:color w:val="auto"/>
          <w:spacing w:val="0"/>
          <w:sz w:val="32"/>
          <w:szCs w:val="32"/>
          <w:highlight w:val="none"/>
          <w:lang w:val="zh-CN" w:eastAsia="zh-CN"/>
        </w:rPr>
        <w:t>722.02</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834.29</w:t>
      </w:r>
      <w:r>
        <w:rPr>
          <w:rFonts w:hint="default" w:ascii="Times New Roman" w:hAnsi="Times New Roman" w:eastAsia="仿宋_GB2312" w:cs="Times New Roman"/>
          <w:color w:val="auto"/>
          <w:spacing w:val="0"/>
          <w:sz w:val="32"/>
          <w:szCs w:val="32"/>
          <w:highlight w:val="none"/>
          <w:lang w:eastAsia="zh-CN"/>
        </w:rPr>
        <w:t>万元，预决算差异率15.55%，主要原因是：</w:t>
      </w:r>
      <w:r>
        <w:rPr>
          <w:rFonts w:hint="default" w:ascii="Times New Roman" w:hAnsi="Times New Roman" w:eastAsia="仿宋_GB2312" w:cs="Times New Roman"/>
          <w:color w:val="auto"/>
          <w:spacing w:val="0"/>
          <w:sz w:val="32"/>
          <w:szCs w:val="32"/>
          <w:highlight w:val="none"/>
          <w:lang w:val="en-US" w:eastAsia="zh-CN"/>
        </w:rPr>
        <w:t>年中追加人员经费</w:t>
      </w:r>
      <w:r>
        <w:rPr>
          <w:rFonts w:hint="default" w:ascii="Times New Roman" w:hAnsi="Times New Roman" w:eastAsia="仿宋_GB2312" w:cs="Times New Roman"/>
          <w:color w:val="auto"/>
          <w:spacing w:val="0"/>
          <w:sz w:val="32"/>
          <w:szCs w:val="32"/>
          <w:highlight w:val="none"/>
          <w:lang w:eastAsia="zh-CN"/>
        </w:rPr>
        <w:t>。致使财政拨款支出预、决算产生差异。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2023年度一般公共预算财政拨款支出834.29万元，占本年支出合计的</w:t>
      </w:r>
      <w:r>
        <w:rPr>
          <w:rFonts w:hint="default" w:ascii="Times New Roman" w:hAnsi="Times New Roman" w:eastAsia="仿宋_GB2312" w:cs="Times New Roman"/>
          <w:color w:val="auto"/>
          <w:spacing w:val="0"/>
          <w:sz w:val="32"/>
          <w:szCs w:val="32"/>
          <w:highlight w:val="none"/>
          <w:lang w:val="zh-CN" w:eastAsia="zh-CN"/>
        </w:rPr>
        <w:t>90.32%</w:t>
      </w:r>
      <w:r>
        <w:rPr>
          <w:rFonts w:hint="default" w:ascii="Times New Roman" w:hAnsi="Times New Roman" w:eastAsia="仿宋_GB2312" w:cs="Times New Roman"/>
          <w:color w:val="auto"/>
          <w:spacing w:val="0"/>
          <w:sz w:val="32"/>
          <w:szCs w:val="32"/>
          <w:highlight w:val="none"/>
          <w:lang w:eastAsia="zh-CN"/>
        </w:rPr>
        <w:t>。与上年相比，</w:t>
      </w:r>
      <w:r>
        <w:rPr>
          <w:rFonts w:hint="default" w:ascii="Times New Roman" w:hAnsi="Times New Roman" w:eastAsia="仿宋_GB2312" w:cs="Times New Roman"/>
          <w:color w:val="auto"/>
          <w:spacing w:val="0"/>
          <w:sz w:val="32"/>
          <w:szCs w:val="32"/>
          <w:highlight w:val="none"/>
          <w:lang w:val="zh-CN" w:eastAsia="zh-CN"/>
        </w:rPr>
        <w:t>减少14.66万元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下降1.73%，</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color w:val="auto"/>
          <w:spacing w:val="0"/>
          <w:sz w:val="32"/>
          <w:szCs w:val="32"/>
          <w:highlight w:val="none"/>
          <w:lang w:val="en-US" w:eastAsia="zh-CN"/>
        </w:rPr>
        <w:t>一方面我单位2023年减少了水利发展资金项目、另一方面按照相关政策调减退休人员医疗费</w:t>
      </w:r>
      <w:r>
        <w:rPr>
          <w:rFonts w:hint="default" w:ascii="Times New Roman" w:hAnsi="Times New Roman" w:eastAsia="仿宋_GB2312" w:cs="Times New Roman"/>
          <w:color w:val="auto"/>
          <w:spacing w:val="0"/>
          <w:sz w:val="32"/>
          <w:szCs w:val="32"/>
          <w:highlight w:val="none"/>
          <w:lang w:eastAsia="zh-CN"/>
        </w:rPr>
        <w:t>。使一般公共预算财政拨款支出有所减少。与年初预算相比，年初预算数</w:t>
      </w:r>
      <w:r>
        <w:rPr>
          <w:rFonts w:hint="default" w:ascii="Times New Roman" w:hAnsi="Times New Roman" w:eastAsia="仿宋_GB2312" w:cs="Times New Roman"/>
          <w:color w:val="auto"/>
          <w:spacing w:val="0"/>
          <w:sz w:val="32"/>
          <w:szCs w:val="32"/>
          <w:highlight w:val="none"/>
          <w:lang w:val="zh-CN" w:eastAsia="zh-CN"/>
        </w:rPr>
        <w:t>722.02</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834.29</w:t>
      </w:r>
      <w:r>
        <w:rPr>
          <w:rFonts w:hint="default" w:ascii="Times New Roman" w:hAnsi="Times New Roman" w:eastAsia="仿宋_GB2312" w:cs="Times New Roman"/>
          <w:color w:val="auto"/>
          <w:spacing w:val="0"/>
          <w:sz w:val="32"/>
          <w:szCs w:val="32"/>
          <w:highlight w:val="none"/>
          <w:lang w:eastAsia="zh-CN"/>
        </w:rPr>
        <w:t>万元，预决算差异率</w:t>
      </w:r>
      <w:r>
        <w:rPr>
          <w:rFonts w:hint="default" w:ascii="Times New Roman" w:hAnsi="Times New Roman" w:eastAsia="仿宋_GB2312" w:cs="Times New Roman"/>
          <w:color w:val="auto"/>
          <w:spacing w:val="0"/>
          <w:sz w:val="32"/>
          <w:szCs w:val="32"/>
          <w:highlight w:val="none"/>
          <w:lang w:val="zh-CN" w:eastAsia="zh-CN"/>
        </w:rPr>
        <w:t>15.55%</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color w:val="auto"/>
          <w:spacing w:val="0"/>
          <w:sz w:val="32"/>
          <w:szCs w:val="32"/>
          <w:highlight w:val="none"/>
          <w:lang w:val="en-US" w:eastAsia="zh-CN"/>
        </w:rPr>
        <w:t>年中追加人员经费</w:t>
      </w:r>
      <w:r>
        <w:rPr>
          <w:rFonts w:hint="default" w:ascii="Times New Roman" w:hAnsi="Times New Roman" w:eastAsia="仿宋_GB2312" w:cs="Times New Roman"/>
          <w:color w:val="auto"/>
          <w:spacing w:val="0"/>
          <w:sz w:val="32"/>
          <w:szCs w:val="32"/>
          <w:highlight w:val="none"/>
          <w:lang w:eastAsia="zh-CN"/>
        </w:rPr>
        <w:t>。致使一般公共预算财政拨款支出</w:t>
      </w:r>
      <w:r>
        <w:rPr>
          <w:rFonts w:hint="eastAsia" w:eastAsia="仿宋_GB2312" w:cs="Times New Roman"/>
          <w:color w:val="auto"/>
          <w:spacing w:val="0"/>
          <w:sz w:val="32"/>
          <w:szCs w:val="32"/>
          <w:highlight w:val="none"/>
          <w:lang w:eastAsia="zh-CN"/>
        </w:rPr>
        <w:t>与</w:t>
      </w:r>
      <w:r>
        <w:rPr>
          <w:rFonts w:hint="default" w:ascii="Times New Roman" w:hAnsi="Times New Roman" w:eastAsia="仿宋_GB2312" w:cs="Times New Roman"/>
          <w:color w:val="auto"/>
          <w:spacing w:val="0"/>
          <w:sz w:val="32"/>
          <w:szCs w:val="32"/>
          <w:highlight w:val="none"/>
          <w:lang w:eastAsia="zh-CN"/>
        </w:rPr>
        <w:t>预、决算产生差异。</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1</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社会保障和就业支出（类）137.21万元，占16.45%；</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2</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卫生健康支出（类）57.63万元，占6.91%；</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3</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农林水支出（类）591.76万元，占70.93%；</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4</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住房保障支出（类）47.69万元，占5.72%。</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1.卫生健康支出（类）行政事业单位医疗（款）事业单位医疗（项）:支出决算数为29.81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w:t>
      </w:r>
      <w:r>
        <w:rPr>
          <w:rFonts w:hint="eastAsia" w:eastAsia="仿宋_GB2312" w:cs="Times New Roman"/>
          <w:color w:val="auto"/>
          <w:kern w:val="2"/>
          <w:sz w:val="32"/>
          <w:szCs w:val="32"/>
          <w:highlight w:val="none"/>
          <w:lang w:val="en-US" w:eastAsia="zh-CN" w:bidi="ar-SA"/>
        </w:rPr>
        <w:t>52万元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4.8</w:t>
      </w: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本年度人员变动较大，使该项支出总体减少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2.农林水支出（类）水利（款）水文测报（项）:支出决算数为546.76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29.35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5.09%，主要原因是：</w:t>
      </w:r>
      <w:r>
        <w:rPr>
          <w:rFonts w:hint="eastAsia" w:eastAsia="仿宋_GB2312" w:cs="Times New Roman"/>
          <w:color w:val="auto"/>
          <w:kern w:val="2"/>
          <w:sz w:val="32"/>
          <w:szCs w:val="32"/>
          <w:highlight w:val="none"/>
          <w:lang w:val="en-US" w:eastAsia="zh-CN" w:bidi="ar-SA"/>
        </w:rPr>
        <w:t>一是2023年我单位减少水利发展资金项目；二是2023年我单位新增人员较多，应由财政承担的部分人员经费由单位</w:t>
      </w:r>
      <w:r>
        <w:rPr>
          <w:rFonts w:ascii="仿宋_GB2312" w:hAnsi="宋体" w:eastAsia="仿宋_GB2312" w:cs="仿宋_GB2312"/>
          <w:i w:val="0"/>
          <w:caps w:val="0"/>
          <w:color w:val="000000"/>
          <w:spacing w:val="0"/>
          <w:sz w:val="31"/>
          <w:szCs w:val="31"/>
        </w:rPr>
        <w:t>自有资金</w:t>
      </w:r>
      <w:r>
        <w:rPr>
          <w:rFonts w:hint="eastAsia" w:eastAsia="仿宋_GB2312" w:cs="Times New Roman"/>
          <w:color w:val="auto"/>
          <w:kern w:val="2"/>
          <w:sz w:val="32"/>
          <w:szCs w:val="32"/>
          <w:highlight w:val="none"/>
          <w:lang w:val="en-US" w:eastAsia="zh-CN" w:bidi="ar-SA"/>
        </w:rPr>
        <w:t>垫支；三是</w:t>
      </w:r>
      <w:r>
        <w:rPr>
          <w:rFonts w:hint="eastAsia" w:eastAsia="仿宋_GB2312" w:cs="Times New Roman"/>
          <w:color w:val="auto"/>
          <w:sz w:val="32"/>
          <w:szCs w:val="32"/>
          <w:highlight w:val="none"/>
          <w:lang w:val="zh-CN" w:eastAsia="zh-CN"/>
        </w:rPr>
        <w:t>我单位贯彻落实自治区过“紧日子”</w:t>
      </w:r>
      <w:r>
        <w:rPr>
          <w:rFonts w:hint="eastAsia" w:ascii="仿宋_GB2312" w:eastAsia="仿宋_GB2312"/>
          <w:sz w:val="32"/>
          <w:szCs w:val="32"/>
        </w:rPr>
        <w:t>重要指示精神</w:t>
      </w:r>
      <w:r>
        <w:rPr>
          <w:rFonts w:hint="eastAsia" w:ascii="仿宋_GB2312" w:eastAsia="仿宋_GB2312"/>
          <w:sz w:val="32"/>
          <w:szCs w:val="32"/>
          <w:lang w:eastAsia="zh-CN"/>
        </w:rPr>
        <w:t>，</w:t>
      </w:r>
      <w:r>
        <w:rPr>
          <w:rFonts w:hint="eastAsia" w:ascii="仿宋_GB2312" w:eastAsia="仿宋_GB2312"/>
          <w:sz w:val="32"/>
          <w:szCs w:val="32"/>
        </w:rPr>
        <w:t>勤俭节</w:t>
      </w:r>
      <w:r>
        <w:rPr>
          <w:rFonts w:hint="eastAsia" w:ascii="Times New Roman" w:hAnsi="Times New Roman" w:eastAsia="仿宋_GB2312" w:cs="Times New Roman"/>
          <w:color w:val="auto"/>
          <w:sz w:val="32"/>
          <w:szCs w:val="32"/>
          <w:highlight w:val="none"/>
          <w:lang w:val="zh-CN" w:eastAsia="zh-CN"/>
        </w:rPr>
        <w:t>约、</w:t>
      </w:r>
      <w:r>
        <w:rPr>
          <w:rFonts w:hint="eastAsia" w:ascii="Times New Roman" w:hAnsi="Times New Roman" w:eastAsia="仿宋_GB2312" w:cs="Times New Roman"/>
          <w:color w:val="auto"/>
          <w:sz w:val="32"/>
          <w:szCs w:val="32"/>
          <w:highlight w:val="none"/>
          <w:lang w:val="en-US" w:eastAsia="zh-CN"/>
        </w:rPr>
        <w:t>严格管控</w:t>
      </w:r>
      <w:r>
        <w:rPr>
          <w:rFonts w:hint="eastAsia" w:ascii="Times New Roman" w:hAnsi="Times New Roman" w:eastAsia="仿宋_GB2312" w:cs="Times New Roman"/>
          <w:color w:val="auto"/>
          <w:sz w:val="32"/>
          <w:szCs w:val="32"/>
          <w:highlight w:val="none"/>
          <w:lang w:val="zh-CN" w:eastAsia="zh-CN"/>
        </w:rPr>
        <w:t>公用经费支出</w:t>
      </w:r>
      <w:r>
        <w:rPr>
          <w:rFonts w:hint="eastAsia" w:eastAsia="仿宋_GB2312" w:cs="Times New Roman"/>
          <w:color w:val="auto"/>
          <w:sz w:val="32"/>
          <w:szCs w:val="32"/>
          <w:highlight w:val="none"/>
          <w:lang w:val="zh-CN" w:eastAsia="zh-CN"/>
        </w:rPr>
        <w:t>。故与上年决算相比有所减少。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3.卫生健康支出（类）行政事业单位医疗（款）公务员医疗补助（项）:支出决算数为27.82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3.45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14.1</w:t>
      </w:r>
      <w:r>
        <w:rPr>
          <w:rFonts w:hint="eastAsia" w:eastAsia="仿宋_GB2312" w:cs="Times New Roman"/>
          <w:color w:val="auto"/>
          <w:kern w:val="2"/>
          <w:sz w:val="32"/>
          <w:szCs w:val="32"/>
          <w:highlight w:val="none"/>
          <w:lang w:val="en-US" w:eastAsia="zh-CN" w:bidi="ar-SA"/>
        </w:rPr>
        <w:t>6</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人员工资调整</w:t>
      </w:r>
      <w:r>
        <w:rPr>
          <w:rFonts w:hint="eastAsia" w:eastAsia="仿宋_GB2312" w:cs="Times New Roman"/>
          <w:color w:val="auto"/>
          <w:kern w:val="2"/>
          <w:sz w:val="32"/>
          <w:szCs w:val="32"/>
          <w:highlight w:val="none"/>
          <w:lang w:val="zh-CN" w:eastAsia="zh-CN" w:bidi="ar-SA"/>
        </w:rPr>
        <w:t>，公务员医疗补助基数调整，致使该项支出增加。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4.住房保障支出（类）住房改革支出（款）住房公积金（项）:支出决算数为47.69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9.2</w:t>
      </w: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人员工资调整</w:t>
      </w:r>
      <w:r>
        <w:rPr>
          <w:rFonts w:hint="eastAsia" w:eastAsia="仿宋_GB2312" w:cs="Times New Roman"/>
          <w:color w:val="auto"/>
          <w:kern w:val="2"/>
          <w:sz w:val="32"/>
          <w:szCs w:val="32"/>
          <w:highlight w:val="none"/>
          <w:lang w:val="zh-CN" w:eastAsia="zh-CN" w:bidi="ar-SA"/>
        </w:rPr>
        <w:t>，住房公积金基数调整，致使该项支出增加。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5.农林水支出（类）水利（款）水利技术推广（项）:支出决算数为45.00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0.00%，主要原因是：</w:t>
      </w:r>
      <w:r>
        <w:rPr>
          <w:rFonts w:hint="eastAsia" w:eastAsia="仿宋_GB2312" w:cs="Times New Roman"/>
          <w:color w:val="auto"/>
          <w:kern w:val="2"/>
          <w:sz w:val="32"/>
          <w:szCs w:val="32"/>
          <w:highlight w:val="none"/>
          <w:lang w:val="en-US" w:eastAsia="zh-CN" w:bidi="ar-SA"/>
        </w:rPr>
        <w:t>该项目与上年相比资金无变化，但项目实施内容不同</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6.社会保障和就业支出（类）行政事业单位养老支出（款）事业单位离退休（项）:支出决算数为50.27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12.43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19.82%，主要原因是：按照相关政策调减退休人员医疗费致使</w:t>
      </w:r>
      <w:r>
        <w:rPr>
          <w:rFonts w:hint="eastAsia" w:eastAsia="仿宋_GB2312" w:cs="Times New Roman"/>
          <w:color w:val="auto"/>
          <w:kern w:val="2"/>
          <w:sz w:val="32"/>
          <w:szCs w:val="32"/>
          <w:highlight w:val="none"/>
          <w:lang w:val="en-US" w:eastAsia="zh-CN" w:bidi="ar-SA"/>
        </w:rPr>
        <w:t>该项</w:t>
      </w:r>
      <w:r>
        <w:rPr>
          <w:rFonts w:hint="eastAsia" w:ascii="Times New Roman" w:hAnsi="Times New Roman" w:eastAsia="仿宋_GB2312" w:cs="Times New Roman"/>
          <w:color w:val="auto"/>
          <w:kern w:val="2"/>
          <w:sz w:val="32"/>
          <w:szCs w:val="32"/>
          <w:highlight w:val="none"/>
          <w:lang w:val="en-US" w:eastAsia="zh-CN" w:bidi="ar-SA"/>
        </w:rPr>
        <w:t>较上年</w:t>
      </w:r>
      <w:r>
        <w:rPr>
          <w:rFonts w:hint="eastAsia" w:eastAsia="仿宋_GB2312" w:cs="Times New Roman"/>
          <w:color w:val="auto"/>
          <w:kern w:val="2"/>
          <w:sz w:val="32"/>
          <w:szCs w:val="32"/>
          <w:highlight w:val="none"/>
          <w:lang w:val="en-US" w:eastAsia="zh-CN" w:bidi="ar-SA"/>
        </w:rPr>
        <w:t>有所</w:t>
      </w:r>
      <w:r>
        <w:rPr>
          <w:rFonts w:hint="eastAsia" w:ascii="Times New Roman" w:hAnsi="Times New Roman"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7.社会保障和就业支出（类）行政事业单位养老支出（款）机关事业单位职业年金缴费支出（项）:支出决算数为23.35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15.78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208.</w:t>
      </w:r>
      <w:r>
        <w:rPr>
          <w:rFonts w:hint="eastAsia" w:eastAsia="仿宋_GB2312" w:cs="Times New Roman"/>
          <w:color w:val="auto"/>
          <w:kern w:val="2"/>
          <w:sz w:val="32"/>
          <w:szCs w:val="32"/>
          <w:highlight w:val="none"/>
          <w:lang w:val="en-US" w:eastAsia="zh-CN" w:bidi="ar-SA"/>
        </w:rPr>
        <w:t>45</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zh-CN" w:eastAsia="zh-CN" w:bidi="ar-SA"/>
        </w:rPr>
        <w:t>一是</w:t>
      </w:r>
      <w:r>
        <w:rPr>
          <w:rFonts w:hint="eastAsia" w:eastAsia="仿宋_GB2312" w:cs="Times New Roman"/>
          <w:color w:val="auto"/>
          <w:kern w:val="2"/>
          <w:sz w:val="32"/>
          <w:szCs w:val="32"/>
          <w:highlight w:val="none"/>
          <w:lang w:val="en-US" w:eastAsia="zh-CN" w:bidi="ar-SA"/>
        </w:rPr>
        <w:t>2022年第四季度退休人员职业年金于2023年一季度下达，二是我单位2023年新增2名退休人员</w:t>
      </w:r>
      <w:r>
        <w:rPr>
          <w:rFonts w:ascii="仿宋_GB2312" w:hAnsi="宋体" w:eastAsia="仿宋_GB2312" w:cs="仿宋_GB2312"/>
          <w:i w:val="0"/>
          <w:caps w:val="0"/>
          <w:color w:val="000000"/>
          <w:spacing w:val="0"/>
          <w:sz w:val="31"/>
          <w:szCs w:val="31"/>
        </w:rPr>
        <w:t>。</w:t>
      </w:r>
      <w:r>
        <w:rPr>
          <w:rFonts w:hint="eastAsia" w:eastAsia="仿宋_GB2312" w:cs="Times New Roman"/>
          <w:color w:val="auto"/>
          <w:kern w:val="2"/>
          <w:sz w:val="32"/>
          <w:szCs w:val="32"/>
          <w:highlight w:val="none"/>
          <w:lang w:val="zh-CN" w:eastAsia="zh-CN" w:bidi="ar-SA"/>
        </w:rPr>
        <w:t>故比上年有所增长。</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8.社会保障和就业支出（类）行政事业单位养老支出（款）机关事业单位基本养老保险缴费支出（项）:支出决算数为63.59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5.38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9.24%，主要原因是：</w:t>
      </w:r>
      <w:r>
        <w:rPr>
          <w:rFonts w:hint="eastAsia" w:eastAsia="仿宋_GB2312" w:cs="Times New Roman"/>
          <w:color w:val="auto"/>
          <w:kern w:val="2"/>
          <w:sz w:val="32"/>
          <w:szCs w:val="32"/>
          <w:highlight w:val="none"/>
          <w:lang w:val="en-US" w:eastAsia="zh-CN" w:bidi="ar-SA"/>
        </w:rPr>
        <w:t>人员工资调整，单位基本养老保险缴费基数增加，使该项支出增加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2023年度</w:t>
      </w:r>
      <w:r>
        <w:rPr>
          <w:rFonts w:hint="default" w:ascii="Times New Roman" w:hAnsi="Times New Roman" w:eastAsia="仿宋_GB2312" w:cs="Times New Roman"/>
          <w:color w:val="auto"/>
          <w:sz w:val="32"/>
          <w:szCs w:val="32"/>
          <w:highlight w:val="none"/>
        </w:rPr>
        <w:t>一般公共预算财政拨款基本支出</w:t>
      </w:r>
      <w:r>
        <w:rPr>
          <w:rFonts w:hint="default" w:ascii="Times New Roman" w:hAnsi="Times New Roman" w:eastAsia="仿宋_GB2312" w:cs="Times New Roman"/>
          <w:color w:val="auto"/>
          <w:sz w:val="32"/>
          <w:szCs w:val="32"/>
          <w:highlight w:val="none"/>
          <w:lang w:eastAsia="zh-CN"/>
        </w:rPr>
        <w:t>777.29</w:t>
      </w:r>
      <w:r>
        <w:rPr>
          <w:rFonts w:hint="default" w:ascii="Times New Roman" w:hAnsi="Times New Roman" w:eastAsia="仿宋_GB2312" w:cs="Times New Roman"/>
          <w:color w:val="auto"/>
          <w:sz w:val="32"/>
          <w:szCs w:val="32"/>
          <w:highlight w:val="none"/>
        </w:rPr>
        <w:t>万元，其中：人员经费</w:t>
      </w:r>
      <w:r>
        <w:rPr>
          <w:rFonts w:hint="default" w:ascii="Times New Roman" w:hAnsi="Times New Roman" w:eastAsia="仿宋_GB2312" w:cs="Times New Roman"/>
          <w:color w:val="auto"/>
          <w:sz w:val="32"/>
          <w:szCs w:val="32"/>
          <w:highlight w:val="none"/>
          <w:lang w:eastAsia="zh-CN"/>
        </w:rPr>
        <w:t>738.73</w:t>
      </w:r>
      <w:r>
        <w:rPr>
          <w:rFonts w:hint="default" w:ascii="Times New Roman" w:hAnsi="Times New Roman" w:eastAsia="仿宋_GB2312" w:cs="Times New Roman"/>
          <w:color w:val="auto"/>
          <w:sz w:val="32"/>
          <w:szCs w:val="32"/>
          <w:highlight w:val="none"/>
        </w:rPr>
        <w:t>万元，包括：</w:t>
      </w:r>
      <w:r>
        <w:rPr>
          <w:rFonts w:hint="default" w:ascii="Times New Roman" w:hAnsi="Times New Roman" w:eastAsia="仿宋_GB2312" w:cs="Times New Roman"/>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奖励金、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red"/>
          <w:lang w:val="en-US" w:eastAsia="zh-CN"/>
        </w:rPr>
      </w:pPr>
      <w:r>
        <w:rPr>
          <w:rFonts w:hint="default" w:ascii="Times New Roman" w:hAnsi="Times New Roman" w:eastAsia="仿宋_GB2312" w:cs="Times New Roman"/>
          <w:color w:val="auto"/>
          <w:sz w:val="32"/>
          <w:szCs w:val="32"/>
          <w:highlight w:val="none"/>
        </w:rPr>
        <w:t>公用经费</w:t>
      </w:r>
      <w:r>
        <w:rPr>
          <w:rFonts w:hint="default" w:ascii="Times New Roman" w:hAnsi="Times New Roman" w:eastAsia="仿宋_GB2312" w:cs="Times New Roman"/>
          <w:color w:val="auto"/>
          <w:sz w:val="32"/>
          <w:szCs w:val="32"/>
          <w:highlight w:val="none"/>
          <w:lang w:eastAsia="zh-CN"/>
        </w:rPr>
        <w:t>38.56</w:t>
      </w:r>
      <w:r>
        <w:rPr>
          <w:rFonts w:hint="default" w:ascii="Times New Roman" w:hAnsi="Times New Roman" w:eastAsia="仿宋_GB2312" w:cs="Times New Roman"/>
          <w:color w:val="auto"/>
          <w:sz w:val="32"/>
          <w:szCs w:val="32"/>
          <w:highlight w:val="none"/>
        </w:rPr>
        <w:t>万元，包括：</w:t>
      </w:r>
      <w:r>
        <w:rPr>
          <w:rFonts w:hint="default" w:ascii="Times New Roman" w:hAnsi="Times New Roman" w:eastAsia="仿宋_GB2312" w:cs="Times New Roman"/>
          <w:color w:val="auto"/>
          <w:sz w:val="32"/>
          <w:szCs w:val="32"/>
          <w:highlight w:val="none"/>
          <w:lang w:val="en-US" w:eastAsia="zh-CN"/>
        </w:rPr>
        <w:t>办公费、电费、邮电费、差旅费、工会经费、福利费、其他交通费用、其他商品和服务支出。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zh-CN" w:eastAsia="zh-CN"/>
        </w:rPr>
        <w:t>“三公”经费支出0.00万元，</w:t>
      </w:r>
      <w:r>
        <w:rPr>
          <w:rFonts w:hint="default" w:ascii="Times New Roman" w:hAnsi="Times New Roman" w:eastAsia="仿宋_GB2312" w:cs="Times New Roman"/>
          <w:color w:val="auto"/>
          <w:sz w:val="32"/>
          <w:szCs w:val="32"/>
          <w:highlight w:val="none"/>
          <w:lang w:val="en-US" w:eastAsia="zh-CN"/>
        </w:rPr>
        <w:t>比上年</w:t>
      </w:r>
      <w:r>
        <w:rPr>
          <w:rFonts w:hint="default" w:ascii="Times New Roman" w:hAnsi="Times New Roman" w:eastAsia="仿宋_GB2312" w:cs="Times New Roman"/>
          <w:color w:val="auto"/>
          <w:sz w:val="32"/>
          <w:szCs w:val="32"/>
          <w:highlight w:val="none"/>
          <w:lang w:val="zh-CN" w:eastAsia="zh-CN"/>
        </w:rPr>
        <w:t>增加0.00万元，增长0.00%，主要原因是：我单位无财政拨款“三公”经费。其中：因公出国（境）费支出0.00万元，占0.00%，比上年增加0.00万元，增长0.00%，主要原因是：我单位无因公出国（境）费支出；公务用车购置及运行维护费支出0.00万元，占0.00%，比上年增加0.00万元，增长0.00%，主要原因是：我单位无公务用车购置及运行维护费支出；公务接待费支出0.00万元，占0.00%，比上年增加0.00万元，增长0.00%，主要原因是：我单位无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公务用车购置及运行维护费0.00万元，其中：公务用车购置费0.00万元，公务用车运行维护费0.00万元。公务用车运行维护费开支内容包括我单位无公务用车购置及运行维护费支出。公务用车购置数0辆，公务用车保有量0辆。国有资产占用情况</w:t>
      </w:r>
      <w:r>
        <w:rPr>
          <w:rFonts w:hint="default" w:ascii="Times New Roman" w:hAnsi="Times New Roman" w:eastAsia="仿宋_GB2312" w:cs="Times New Roman"/>
          <w:color w:val="auto"/>
          <w:sz w:val="32"/>
          <w:szCs w:val="32"/>
          <w:highlight w:val="none"/>
          <w:lang w:val="en-US" w:eastAsia="zh-CN"/>
        </w:rPr>
        <w:t>中固定资产车辆</w:t>
      </w:r>
      <w:r>
        <w:rPr>
          <w:rFonts w:hint="default" w:ascii="Times New Roman" w:hAnsi="Times New Roman" w:eastAsia="仿宋_GB2312" w:cs="Times New Roman"/>
          <w:color w:val="auto"/>
          <w:sz w:val="32"/>
          <w:szCs w:val="32"/>
          <w:highlight w:val="none"/>
          <w:lang w:val="zh-CN" w:eastAsia="zh-CN"/>
        </w:rPr>
        <w:t>3辆，</w:t>
      </w:r>
      <w:r>
        <w:rPr>
          <w:rFonts w:hint="default" w:ascii="Times New Roman" w:hAnsi="Times New Roman" w:eastAsia="仿宋_GB2312" w:cs="Times New Roman"/>
          <w:color w:val="auto"/>
          <w:sz w:val="32"/>
          <w:szCs w:val="32"/>
          <w:highlight w:val="none"/>
          <w:lang w:val="en-US" w:eastAsia="zh-CN"/>
        </w:rPr>
        <w:t>与</w:t>
      </w:r>
      <w:r>
        <w:rPr>
          <w:rFonts w:hint="default" w:ascii="Times New Roman" w:hAnsi="Times New Roman" w:eastAsia="仿宋_GB2312" w:cs="Times New Roman"/>
          <w:color w:val="auto"/>
          <w:sz w:val="32"/>
          <w:szCs w:val="32"/>
          <w:highlight w:val="none"/>
          <w:lang w:val="zh-CN" w:eastAsia="zh-CN"/>
        </w:rPr>
        <w:t>公务用车</w:t>
      </w:r>
      <w:r>
        <w:rPr>
          <w:rFonts w:hint="default" w:ascii="Times New Roman" w:hAnsi="Times New Roman" w:eastAsia="仿宋_GB2312" w:cs="Times New Roman"/>
          <w:color w:val="auto"/>
          <w:sz w:val="32"/>
          <w:szCs w:val="32"/>
          <w:highlight w:val="none"/>
          <w:lang w:val="en-US" w:eastAsia="zh-CN"/>
        </w:rPr>
        <w:t>保有量差异</w:t>
      </w:r>
      <w:r>
        <w:rPr>
          <w:rFonts w:hint="default" w:ascii="Times New Roman" w:hAnsi="Times New Roman" w:eastAsia="仿宋_GB2312" w:cs="Times New Roman"/>
          <w:color w:val="auto"/>
          <w:sz w:val="32"/>
          <w:szCs w:val="32"/>
          <w:highlight w:val="none"/>
          <w:lang w:val="zh-CN" w:eastAsia="zh-CN"/>
        </w:rPr>
        <w:t>原因是：一是</w:t>
      </w:r>
      <w:r>
        <w:rPr>
          <w:rFonts w:hint="default" w:ascii="Times New Roman" w:hAnsi="Times New Roman" w:eastAsia="仿宋_GB2312" w:cs="Times New Roman"/>
          <w:sz w:val="32"/>
          <w:szCs w:val="32"/>
          <w:lang w:eastAsia="zh-CN"/>
        </w:rPr>
        <w:t>我单位</w:t>
      </w:r>
      <w:r>
        <w:rPr>
          <w:rFonts w:hint="default" w:ascii="Times New Roman" w:hAnsi="Times New Roman" w:eastAsia="仿宋_GB2312" w:cs="Times New Roman"/>
          <w:sz w:val="32"/>
          <w:szCs w:val="32"/>
        </w:rPr>
        <w:t>自1989年</w:t>
      </w:r>
      <w:r>
        <w:rPr>
          <w:rFonts w:hint="default" w:ascii="Times New Roman" w:hAnsi="Times New Roman" w:eastAsia="仿宋_GB2312" w:cs="Times New Roman"/>
          <w:sz w:val="32"/>
          <w:szCs w:val="32"/>
          <w:lang w:eastAsia="zh-CN"/>
        </w:rPr>
        <w:t>购入</w:t>
      </w:r>
      <w:r>
        <w:rPr>
          <w:rFonts w:hint="eastAsia" w:eastAsia="仿宋_GB2312" w:cs="Times New Roman"/>
          <w:sz w:val="32"/>
          <w:szCs w:val="32"/>
          <w:lang w:val="en-US" w:eastAsia="zh-CN"/>
        </w:rPr>
        <w:t>2辆车</w:t>
      </w:r>
      <w:r>
        <w:rPr>
          <w:rFonts w:hint="default" w:ascii="Times New Roman" w:hAnsi="Times New Roman" w:eastAsia="仿宋_GB2312" w:cs="Times New Roman"/>
          <w:sz w:val="32"/>
          <w:szCs w:val="32"/>
        </w:rPr>
        <w:t>，</w:t>
      </w:r>
      <w:r>
        <w:rPr>
          <w:rFonts w:hint="eastAsia" w:eastAsia="仿宋_GB2312" w:cs="Times New Roman"/>
          <w:sz w:val="32"/>
          <w:szCs w:val="32"/>
          <w:lang w:eastAsia="zh-CN"/>
        </w:rPr>
        <w:t>因历史原因</w:t>
      </w:r>
      <w:r>
        <w:rPr>
          <w:rFonts w:hint="default" w:ascii="Times New Roman" w:hAnsi="Times New Roman" w:eastAsia="仿宋_GB2312" w:cs="Times New Roman"/>
          <w:sz w:val="32"/>
          <w:szCs w:val="32"/>
        </w:rPr>
        <w:t>上述</w:t>
      </w:r>
      <w:r>
        <w:rPr>
          <w:rFonts w:hint="default" w:ascii="Times New Roman" w:hAnsi="Times New Roman" w:eastAsia="仿宋_GB2312" w:cs="Times New Roman"/>
          <w:sz w:val="32"/>
          <w:szCs w:val="32"/>
          <w:lang w:val="en-US" w:eastAsia="zh-CN"/>
        </w:rPr>
        <w:t>2辆</w:t>
      </w:r>
      <w:r>
        <w:rPr>
          <w:rFonts w:hint="default" w:ascii="Times New Roman" w:hAnsi="Times New Roman" w:eastAsia="仿宋_GB2312" w:cs="Times New Roman"/>
          <w:sz w:val="32"/>
          <w:szCs w:val="32"/>
        </w:rPr>
        <w:t>车辆</w:t>
      </w:r>
      <w:r>
        <w:rPr>
          <w:rFonts w:hint="eastAsia" w:eastAsia="仿宋_GB2312" w:cs="Times New Roman"/>
          <w:sz w:val="32"/>
          <w:szCs w:val="32"/>
          <w:lang w:eastAsia="zh-CN"/>
        </w:rPr>
        <w:t>已于</w:t>
      </w:r>
      <w:r>
        <w:rPr>
          <w:rFonts w:hint="default" w:ascii="Times New Roman" w:hAnsi="Times New Roman" w:eastAsia="仿宋_GB2312" w:cs="Times New Roman"/>
          <w:sz w:val="32"/>
          <w:szCs w:val="32"/>
        </w:rPr>
        <w:t>多年前报废，</w:t>
      </w:r>
      <w:r>
        <w:rPr>
          <w:rFonts w:hint="eastAsia" w:eastAsia="仿宋_GB2312" w:cs="Times New Roman"/>
          <w:sz w:val="32"/>
          <w:szCs w:val="32"/>
          <w:lang w:eastAsia="zh-CN"/>
        </w:rPr>
        <w:t>资产系统和</w:t>
      </w:r>
      <w:r>
        <w:rPr>
          <w:rFonts w:hint="default" w:ascii="Times New Roman" w:hAnsi="Times New Roman" w:eastAsia="仿宋_GB2312" w:cs="Times New Roman"/>
          <w:sz w:val="32"/>
          <w:szCs w:val="32"/>
        </w:rPr>
        <w:t>账务</w:t>
      </w:r>
      <w:r>
        <w:rPr>
          <w:rFonts w:hint="eastAsia" w:eastAsia="仿宋_GB2312" w:cs="Times New Roman"/>
          <w:sz w:val="32"/>
          <w:szCs w:val="32"/>
          <w:lang w:eastAsia="zh-CN"/>
        </w:rPr>
        <w:t>系统未能及时核销，导致差异</w:t>
      </w:r>
      <w:r>
        <w:rPr>
          <w:rFonts w:hint="default" w:ascii="Times New Roman" w:hAnsi="Times New Roman" w:eastAsia="仿宋_GB2312" w:cs="Times New Roman"/>
          <w:color w:val="auto"/>
          <w:sz w:val="32"/>
          <w:szCs w:val="32"/>
          <w:highlight w:val="none"/>
          <w:lang w:val="zh-CN" w:eastAsia="zh-CN"/>
        </w:rPr>
        <w:t>。二是</w:t>
      </w:r>
      <w:r>
        <w:rPr>
          <w:rFonts w:hint="eastAsia" w:eastAsia="仿宋_GB2312" w:cs="Times New Roman"/>
          <w:color w:val="auto"/>
          <w:sz w:val="32"/>
          <w:szCs w:val="32"/>
          <w:highlight w:val="none"/>
          <w:lang w:val="zh-CN" w:eastAsia="zh-CN"/>
        </w:rPr>
        <w:t>根据工作需要，</w:t>
      </w:r>
      <w:r>
        <w:rPr>
          <w:rFonts w:hint="eastAsia" w:eastAsia="仿宋_GB2312" w:cs="Times New Roman"/>
          <w:color w:val="auto"/>
          <w:sz w:val="32"/>
          <w:szCs w:val="32"/>
          <w:highlight w:val="none"/>
          <w:lang w:val="en-US" w:eastAsia="zh-CN"/>
        </w:rPr>
        <w:t>经</w:t>
      </w:r>
      <w:r>
        <w:rPr>
          <w:rFonts w:ascii="仿宋_GB2312" w:hAnsi="宋体" w:eastAsia="仿宋_GB2312" w:cs="仿宋_GB2312"/>
          <w:i w:val="0"/>
          <w:caps w:val="0"/>
          <w:color w:val="000000"/>
          <w:spacing w:val="0"/>
          <w:sz w:val="31"/>
          <w:szCs w:val="31"/>
        </w:rPr>
        <w:t>批复于</w:t>
      </w:r>
      <w:r>
        <w:rPr>
          <w:rFonts w:hint="default" w:ascii="Times New Roman" w:hAnsi="Times New Roman" w:eastAsia="仿宋_GB2312" w:cs="Times New Roman"/>
          <w:color w:val="auto"/>
          <w:sz w:val="32"/>
          <w:szCs w:val="32"/>
          <w:highlight w:val="none"/>
          <w:lang w:val="en-US" w:eastAsia="zh-CN"/>
        </w:rPr>
        <w:t>2023年12月</w:t>
      </w:r>
      <w:r>
        <w:rPr>
          <w:rFonts w:hint="eastAsia" w:eastAsia="仿宋_GB2312" w:cs="Times New Roman"/>
          <w:color w:val="auto"/>
          <w:sz w:val="32"/>
          <w:szCs w:val="32"/>
          <w:highlight w:val="none"/>
          <w:lang w:val="en-US" w:eastAsia="zh-CN"/>
        </w:rPr>
        <w:t>由其他单位</w:t>
      </w:r>
      <w:r>
        <w:rPr>
          <w:rFonts w:hint="default" w:ascii="Times New Roman" w:hAnsi="Times New Roman" w:eastAsia="仿宋_GB2312" w:cs="Times New Roman"/>
          <w:color w:val="auto"/>
          <w:sz w:val="32"/>
          <w:szCs w:val="32"/>
          <w:highlight w:val="none"/>
          <w:lang w:val="en-US" w:eastAsia="zh-CN"/>
        </w:rPr>
        <w:t>调剂</w:t>
      </w:r>
      <w:r>
        <w:rPr>
          <w:rFonts w:hint="eastAsia" w:eastAsia="仿宋_GB2312" w:cs="Times New Roman"/>
          <w:color w:val="auto"/>
          <w:sz w:val="32"/>
          <w:szCs w:val="32"/>
          <w:highlight w:val="none"/>
          <w:lang w:val="en-US" w:eastAsia="zh-CN"/>
        </w:rPr>
        <w:t>我单位</w:t>
      </w:r>
      <w:r>
        <w:rPr>
          <w:rFonts w:hint="default" w:ascii="Times New Roman" w:hAnsi="Times New Roman" w:eastAsia="仿宋_GB2312" w:cs="Times New Roman"/>
          <w:color w:val="auto"/>
          <w:sz w:val="32"/>
          <w:szCs w:val="32"/>
          <w:highlight w:val="none"/>
          <w:lang w:val="en-US" w:eastAsia="zh-CN"/>
        </w:rPr>
        <w:t>1辆车。</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公务接待费0.00万元，开支内容包括我单位无公务接待费支出。单位全年安排的国内公务接待0批次，0人次。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与</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预算相比</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zh-CN" w:eastAsia="zh-CN"/>
        </w:rPr>
        <w:t>财政拨款“三公”经费支出</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预算数0.00万元，决算数0.00万元，预决算差异率0.00%，主要原因是：我单位</w:t>
      </w:r>
      <w:r>
        <w:rPr>
          <w:rFonts w:ascii="仿宋_GB2312" w:hAnsi="宋体" w:eastAsia="仿宋_GB2312" w:cs="仿宋_GB2312"/>
          <w:i w:val="0"/>
          <w:caps w:val="0"/>
          <w:color w:val="000000"/>
          <w:spacing w:val="0"/>
          <w:sz w:val="31"/>
          <w:szCs w:val="31"/>
        </w:rPr>
        <w:t>的</w:t>
      </w:r>
      <w:r>
        <w:rPr>
          <w:rFonts w:hint="default" w:ascii="Times New Roman" w:hAnsi="Times New Roman" w:eastAsia="仿宋_GB2312" w:cs="Times New Roman"/>
          <w:color w:val="auto"/>
          <w:sz w:val="32"/>
          <w:szCs w:val="32"/>
          <w:highlight w:val="none"/>
          <w:lang w:val="zh-CN" w:eastAsia="zh-CN"/>
        </w:rPr>
        <w:t>财政拨款“三公”经费支出。其中：因公出国（境）费</w:t>
      </w:r>
      <w:r>
        <w:rPr>
          <w:rFonts w:hint="default" w:ascii="Times New Roman" w:hAnsi="Times New Roman" w:eastAsia="仿宋_GB2312" w:cs="Times New Roman"/>
          <w:color w:val="auto"/>
          <w:sz w:val="32"/>
          <w:szCs w:val="32"/>
          <w:highlight w:val="none"/>
          <w:lang w:val="en-US" w:eastAsia="zh-CN"/>
        </w:rPr>
        <w:t>全年预算数</w:t>
      </w:r>
      <w:r>
        <w:rPr>
          <w:rFonts w:hint="default" w:ascii="Times New Roman" w:hAnsi="Times New Roman" w:eastAsia="仿宋_GB2312" w:cs="Times New Roman"/>
          <w:color w:val="auto"/>
          <w:sz w:val="32"/>
          <w:szCs w:val="32"/>
          <w:highlight w:val="none"/>
          <w:lang w:val="zh-CN" w:eastAsia="zh-CN"/>
        </w:rPr>
        <w:t>0.00万元，决算数0.00万元，预决算差异率0.00%，主要原因是：我单位无因公出国（境）费支出；公务用车购置费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预算数0.00万元，决算数0.00万元，预决算差异率0.00%，主要原因是：我单位无公务用车购置费支出；公务用车运行费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预算数0.00万元，决算数0.00万元，预决算差异率0.00%，主要原因是：我单位无公务用车运行维护费支出；公务接待费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预算数0.00万元，决算数0.00万元，预决算差异率0.00%，主要原因是：我单位无公务接待费支出。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新疆维吾尔自治区水文局水文实验站</w:t>
      </w:r>
      <w:r>
        <w:rPr>
          <w:rFonts w:hint="eastAsia" w:ascii="Times New Roman" w:hAnsi="Times New Roman" w:eastAsia="仿宋_GB2312" w:cs="Times New Roman"/>
          <w:color w:val="auto"/>
          <w:sz w:val="32"/>
          <w:szCs w:val="32"/>
          <w:highlight w:val="none"/>
          <w:lang w:val="zh-CN" w:eastAsia="zh-CN"/>
        </w:rPr>
        <w:t>（事业单位）公用经费支出38.56万元，比上年减少0.7</w:t>
      </w:r>
      <w:r>
        <w:rPr>
          <w:rFonts w:hint="eastAsia"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val="zh-CN" w:eastAsia="zh-CN"/>
        </w:rPr>
        <w:t>万元，下降1.</w:t>
      </w:r>
      <w:r>
        <w:rPr>
          <w:rFonts w:hint="eastAsia" w:eastAsia="仿宋_GB2312" w:cs="Times New Roman"/>
          <w:color w:val="auto"/>
          <w:sz w:val="32"/>
          <w:szCs w:val="32"/>
          <w:highlight w:val="none"/>
          <w:lang w:val="en-US" w:eastAsia="zh-CN"/>
        </w:rPr>
        <w:t>88</w:t>
      </w:r>
      <w:r>
        <w:rPr>
          <w:rFonts w:hint="eastAsia" w:ascii="Times New Roman" w:hAnsi="Times New Roman" w:eastAsia="仿宋_GB2312" w:cs="Times New Roman"/>
          <w:color w:val="auto"/>
          <w:sz w:val="32"/>
          <w:szCs w:val="32"/>
          <w:highlight w:val="none"/>
          <w:lang w:val="zh-CN" w:eastAsia="zh-CN"/>
        </w:rPr>
        <w:t>%，主要原因是：</w:t>
      </w:r>
      <w:r>
        <w:rPr>
          <w:rFonts w:hint="eastAsia" w:eastAsia="仿宋_GB2312" w:cs="Times New Roman"/>
          <w:color w:val="auto"/>
          <w:sz w:val="32"/>
          <w:szCs w:val="32"/>
          <w:highlight w:val="none"/>
          <w:lang w:val="zh-CN" w:eastAsia="zh-CN"/>
        </w:rPr>
        <w:t>我单位贯彻落实自治区过“紧日子”</w:t>
      </w:r>
      <w:r>
        <w:rPr>
          <w:rFonts w:hint="eastAsia" w:ascii="仿宋_GB2312" w:eastAsia="仿宋_GB2312"/>
          <w:sz w:val="32"/>
          <w:szCs w:val="32"/>
        </w:rPr>
        <w:t>重要指示精神</w:t>
      </w:r>
      <w:r>
        <w:rPr>
          <w:rFonts w:hint="eastAsia" w:ascii="仿宋_GB2312" w:eastAsia="仿宋_GB2312"/>
          <w:sz w:val="32"/>
          <w:szCs w:val="32"/>
          <w:lang w:eastAsia="zh-CN"/>
        </w:rPr>
        <w:t>，</w:t>
      </w:r>
      <w:r>
        <w:rPr>
          <w:rFonts w:hint="eastAsia" w:ascii="仿宋_GB2312" w:eastAsia="仿宋_GB2312"/>
          <w:sz w:val="32"/>
          <w:szCs w:val="32"/>
        </w:rPr>
        <w:t>勤俭节</w:t>
      </w:r>
      <w:r>
        <w:rPr>
          <w:rFonts w:hint="eastAsia" w:ascii="Times New Roman" w:hAnsi="Times New Roman" w:eastAsia="仿宋_GB2312" w:cs="Times New Roman"/>
          <w:color w:val="auto"/>
          <w:sz w:val="32"/>
          <w:szCs w:val="32"/>
          <w:highlight w:val="none"/>
          <w:lang w:val="zh-CN" w:eastAsia="zh-CN"/>
        </w:rPr>
        <w:t>约、</w:t>
      </w:r>
      <w:r>
        <w:rPr>
          <w:rFonts w:hint="eastAsia" w:ascii="Times New Roman" w:hAnsi="Times New Roman" w:eastAsia="仿宋_GB2312" w:cs="Times New Roman"/>
          <w:color w:val="auto"/>
          <w:sz w:val="32"/>
          <w:szCs w:val="32"/>
          <w:highlight w:val="none"/>
          <w:lang w:val="en-US" w:eastAsia="zh-CN"/>
        </w:rPr>
        <w:t>严格管控</w:t>
      </w:r>
      <w:r>
        <w:rPr>
          <w:rFonts w:hint="eastAsia" w:ascii="Times New Roman" w:hAnsi="Times New Roman" w:eastAsia="仿宋_GB2312" w:cs="Times New Roman"/>
          <w:color w:val="auto"/>
          <w:sz w:val="32"/>
          <w:szCs w:val="32"/>
          <w:highlight w:val="none"/>
          <w:lang w:val="zh-CN" w:eastAsia="zh-CN"/>
        </w:rPr>
        <w:t>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83.58万元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其中：政府采购货物支出33.22万元、政府采购工程支出3.00万元、政府采购服务支出47.36万元。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授予中小企业合同金额38.52万元，占政府采购支出总额的46.09</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，其中：授予小微企业合同金额29.59万元，占政府采购支出总额的35.40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bookmarkStart w:id="48" w:name="_GoBack"/>
      <w:bookmarkEnd w:id="4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140.27</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屋1072.86平方米，价值33.97万元。车辆3辆，价值41.95万元，其中：副部（省）级及以上领导用车0辆、主要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用车0辆、机要通信用车0辆、应急保障用车0辆、执法执勤用车0辆、特种专业技术用车1辆、离退休干部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用车0辆、其他用车2辆，其他用车主要是：</w:t>
      </w:r>
      <w:r>
        <w:rPr>
          <w:rFonts w:hint="eastAsia" w:eastAsia="仿宋_GB2312" w:cs="Times New Roman"/>
          <w:color w:val="auto"/>
          <w:sz w:val="32"/>
          <w:szCs w:val="32"/>
          <w:highlight w:val="none"/>
          <w:lang w:val="zh-CN" w:eastAsia="zh-CN"/>
        </w:rPr>
        <w:t>分别于</w:t>
      </w:r>
      <w:r>
        <w:rPr>
          <w:rFonts w:hint="eastAsia" w:eastAsia="仿宋_GB2312"/>
          <w:sz w:val="32"/>
          <w:szCs w:val="32"/>
        </w:rPr>
        <w:t>1989年</w:t>
      </w:r>
      <w:r>
        <w:rPr>
          <w:rFonts w:hint="eastAsia" w:eastAsia="仿宋_GB2312"/>
          <w:sz w:val="32"/>
          <w:szCs w:val="32"/>
          <w:lang w:eastAsia="zh-CN"/>
        </w:rPr>
        <w:t>、</w:t>
      </w:r>
      <w:r>
        <w:rPr>
          <w:rFonts w:hint="eastAsia" w:eastAsia="仿宋_GB2312"/>
          <w:sz w:val="32"/>
          <w:szCs w:val="32"/>
        </w:rPr>
        <w:t>1991年购买</w:t>
      </w:r>
      <w:r>
        <w:rPr>
          <w:rFonts w:hint="eastAsia" w:eastAsia="仿宋_GB2312"/>
          <w:sz w:val="32"/>
          <w:szCs w:val="32"/>
          <w:lang w:eastAsia="zh-CN"/>
        </w:rPr>
        <w:t>的</w:t>
      </w:r>
      <w:r>
        <w:rPr>
          <w:rFonts w:hint="eastAsia" w:eastAsia="仿宋_GB2312"/>
          <w:sz w:val="32"/>
          <w:szCs w:val="32"/>
        </w:rPr>
        <w:t>水政监察车及水质监测车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default" w:ascii="Times New Roman" w:hAnsi="Times New Roman" w:eastAsia="仿宋_GB2312" w:cs="Times New Roman"/>
          <w:color w:val="auto"/>
          <w:sz w:val="32"/>
          <w:szCs w:val="32"/>
          <w:highlight w:val="none"/>
          <w:lang w:eastAsia="zh-CN"/>
        </w:rPr>
        <w:t>根据预算绩效管理要求，我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2023年</w:t>
      </w:r>
      <w:r>
        <w:rPr>
          <w:rFonts w:hint="default" w:ascii="Times New Roman" w:hAnsi="Times New Roman" w:eastAsia="仿宋_GB2312" w:cs="Times New Roman"/>
          <w:color w:val="auto"/>
          <w:kern w:val="0"/>
          <w:sz w:val="32"/>
          <w:szCs w:val="32"/>
          <w:highlight w:val="none"/>
        </w:rPr>
        <w:t>整体</w:t>
      </w:r>
      <w:r>
        <w:rPr>
          <w:rFonts w:hint="default" w:ascii="Times New Roman" w:hAnsi="Times New Roman" w:eastAsia="仿宋_GB2312" w:cs="Times New Roman"/>
          <w:color w:val="auto"/>
          <w:kern w:val="0"/>
          <w:sz w:val="32"/>
          <w:szCs w:val="32"/>
          <w:highlight w:val="none"/>
          <w:lang w:val="en-US" w:eastAsia="zh-CN"/>
        </w:rPr>
        <w:t>支出</w:t>
      </w:r>
      <w:r>
        <w:rPr>
          <w:rFonts w:hint="default" w:ascii="Times New Roman" w:hAnsi="Times New Roman" w:eastAsia="仿宋_GB2312" w:cs="Times New Roman"/>
          <w:color w:val="auto"/>
          <w:kern w:val="0"/>
          <w:sz w:val="32"/>
          <w:szCs w:val="32"/>
          <w:highlight w:val="none"/>
        </w:rPr>
        <w:t>绩效自评表</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kern w:val="0"/>
          <w:sz w:val="32"/>
          <w:szCs w:val="32"/>
          <w:highlight w:val="none"/>
          <w:lang w:val="en-US" w:eastAsia="zh-CN"/>
        </w:rPr>
        <w:t>个，全年</w:t>
      </w:r>
      <w:r>
        <w:rPr>
          <w:rFonts w:hint="default" w:ascii="Times New Roman" w:hAnsi="Times New Roman" w:eastAsia="仿宋_GB2312" w:cs="Times New Roman"/>
          <w:color w:val="auto"/>
          <w:sz w:val="32"/>
          <w:szCs w:val="32"/>
          <w:highlight w:val="none"/>
          <w:lang w:val="en-US" w:eastAsia="zh-CN"/>
        </w:rPr>
        <w:t>预算总额</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实际执行总额</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w:t>
      </w:r>
      <w:r>
        <w:rPr>
          <w:rFonts w:hint="eastAsia" w:eastAsia="仿宋_GB2312" w:cs="Times New Roman"/>
          <w:color w:val="auto"/>
          <w:sz w:val="32"/>
          <w:szCs w:val="32"/>
          <w:highlight w:val="none"/>
          <w:lang w:eastAsia="zh-CN"/>
        </w:rPr>
        <w:t>。我单位整体支出绩效自评表由主管部门编制并公开。</w:t>
      </w:r>
      <w:r>
        <w:rPr>
          <w:rFonts w:hint="default" w:ascii="Times New Roman" w:hAnsi="Times New Roman" w:eastAsia="仿宋_GB2312" w:cs="Times New Roman"/>
          <w:color w:val="auto"/>
          <w:sz w:val="32"/>
          <w:szCs w:val="32"/>
          <w:highlight w:val="none"/>
          <w:lang w:eastAsia="zh-CN"/>
        </w:rPr>
        <w:t>预算绩效评价项目</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个，</w:t>
      </w:r>
      <w:r>
        <w:rPr>
          <w:rFonts w:hint="default" w:ascii="Times New Roman" w:hAnsi="Times New Roman" w:eastAsia="仿宋_GB2312" w:cs="Times New Roman"/>
          <w:color w:val="auto"/>
          <w:sz w:val="32"/>
          <w:szCs w:val="32"/>
          <w:highlight w:val="none"/>
          <w:lang w:val="en-US" w:eastAsia="zh-CN"/>
        </w:rPr>
        <w:t>全年预算数</w:t>
      </w:r>
      <w:r>
        <w:rPr>
          <w:rFonts w:hint="eastAsia" w:eastAsia="仿宋_GB2312" w:cs="Times New Roman"/>
          <w:color w:val="auto"/>
          <w:sz w:val="32"/>
          <w:szCs w:val="32"/>
          <w:highlight w:val="none"/>
          <w:lang w:val="en-US" w:eastAsia="zh-CN"/>
        </w:rPr>
        <w:t>63</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eastAsia" w:eastAsia="仿宋_GB2312" w:cs="Times New Roman"/>
          <w:color w:val="auto"/>
          <w:sz w:val="32"/>
          <w:szCs w:val="32"/>
          <w:highlight w:val="none"/>
          <w:lang w:val="en-US" w:eastAsia="zh-CN"/>
        </w:rPr>
        <w:t>63</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eastAsia" w:ascii="仿宋_GB2312" w:eastAsia="仿宋_GB2312"/>
          <w:color w:val="auto"/>
          <w:sz w:val="32"/>
          <w:szCs w:val="32"/>
          <w:highlight w:val="none"/>
          <w:lang w:eastAsia="zh-CN"/>
        </w:rPr>
        <w:t>预算绩效管理取得的成效：一是通过水文测报专项经费的</w:t>
      </w:r>
      <w:r>
        <w:rPr>
          <w:rFonts w:hint="eastAsia" w:ascii="仿宋_GB2312" w:eastAsia="仿宋_GB2312"/>
          <w:color w:val="auto"/>
          <w:sz w:val="32"/>
          <w:szCs w:val="32"/>
          <w:highlight w:val="none"/>
          <w:lang w:val="en-US" w:eastAsia="zh-CN"/>
        </w:rPr>
        <w:t>使用，确保关键的监测站点维修维护经费及人员培训等方面得到充足的支持</w:t>
      </w:r>
      <w:r>
        <w:rPr>
          <w:rFonts w:hint="eastAsia" w:ascii="仿宋_GB2312" w:eastAsia="仿宋_GB2312"/>
          <w:color w:val="auto"/>
          <w:sz w:val="32"/>
          <w:szCs w:val="32"/>
          <w:highlight w:val="none"/>
          <w:lang w:eastAsia="zh-CN"/>
        </w:rPr>
        <w:t>；二是明确绩效目标促使单位加大对监测技术的投入，提高水文数据的准确性和及时性，为水资源管理、防洪减灾等提供更可靠的依据。发现的问题及原因：一是预算编制的科学性、合理性、精确性有待提高。可能存在预算项目不细化、测算依据不充分等情况，导致预算与实际需求存在偏差；二是绩效目标设置不够精准。未能完全细化分解为具体工作任务，部分绩效指标不够清晰，可衡量性不足，影响对绩效的准确评估。三是协调机制不够健全。绩效管理工作往往只落实到财务人员头上，单位内部未建立有效的绩效评价协调机制，导致财务人员对绩效指标的基础数据和信息资料掌握不全面。下一步改进措施：一是优化预算编制，综合考虑，提高预算的科学性、合理性和可执行性；二是加强绩效目标管理，将目标细化分解为具体工作任务，并设定清晰、可衡量的绩效指标；三是强化部门绩效主体意识，加强内部沟通与协作。具体</w:t>
      </w:r>
      <w:r>
        <w:rPr>
          <w:rFonts w:hint="eastAsia" w:ascii="仿宋_GB2312" w:eastAsia="仿宋_GB2312"/>
          <w:color w:val="auto"/>
          <w:sz w:val="32"/>
          <w:szCs w:val="32"/>
          <w:highlight w:val="none"/>
        </w:rPr>
        <w:t>项目自评情况</w:t>
      </w:r>
      <w:r>
        <w:rPr>
          <w:rFonts w:hint="eastAsia" w:ascii="仿宋_GB2312" w:eastAsia="仿宋_GB2312"/>
          <w:color w:val="auto"/>
          <w:sz w:val="32"/>
          <w:szCs w:val="32"/>
          <w:highlight w:val="none"/>
          <w:lang w:eastAsia="zh-CN"/>
        </w:rPr>
        <w:t>见附件</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4NzYwYmFjMGU5ZGVkMThmMTJjMGI1NDhjNDBkMGUifQ=="/>
    <w:docVar w:name="KSO_WPS_MARK_KEY" w:val="41ee2a61-2d54-4f93-83be-afdb9a40d732"/>
  </w:docVars>
  <w:rsids>
    <w:rsidRoot w:val="00000000"/>
    <w:rsid w:val="00213C59"/>
    <w:rsid w:val="003210CE"/>
    <w:rsid w:val="00B70D59"/>
    <w:rsid w:val="00F52A8D"/>
    <w:rsid w:val="019404F8"/>
    <w:rsid w:val="028B6DBD"/>
    <w:rsid w:val="02BD3108"/>
    <w:rsid w:val="02F73D26"/>
    <w:rsid w:val="034D4FEF"/>
    <w:rsid w:val="035D1785"/>
    <w:rsid w:val="039F47CE"/>
    <w:rsid w:val="03E05CE8"/>
    <w:rsid w:val="03F973EE"/>
    <w:rsid w:val="043E5B56"/>
    <w:rsid w:val="048B4510"/>
    <w:rsid w:val="04C04386"/>
    <w:rsid w:val="04FA68C4"/>
    <w:rsid w:val="053F5AE6"/>
    <w:rsid w:val="057C0B0F"/>
    <w:rsid w:val="05BB1C04"/>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9D54D16"/>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663264"/>
    <w:rsid w:val="0F78534A"/>
    <w:rsid w:val="0F8404B1"/>
    <w:rsid w:val="0F89358A"/>
    <w:rsid w:val="0F8C6D51"/>
    <w:rsid w:val="105B0B5E"/>
    <w:rsid w:val="10A8207E"/>
    <w:rsid w:val="112E58D0"/>
    <w:rsid w:val="11731CAC"/>
    <w:rsid w:val="119500A0"/>
    <w:rsid w:val="11C0733B"/>
    <w:rsid w:val="11D50D17"/>
    <w:rsid w:val="120E0809"/>
    <w:rsid w:val="127F665A"/>
    <w:rsid w:val="128E5D4C"/>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7C50C8"/>
    <w:rsid w:val="1E97358B"/>
    <w:rsid w:val="1EAA4A5F"/>
    <w:rsid w:val="1EE869A7"/>
    <w:rsid w:val="1FA15E62"/>
    <w:rsid w:val="1FED69B6"/>
    <w:rsid w:val="2064678E"/>
    <w:rsid w:val="20785793"/>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0F5A9F"/>
    <w:rsid w:val="264A7253"/>
    <w:rsid w:val="26F0170C"/>
    <w:rsid w:val="27137562"/>
    <w:rsid w:val="27201D62"/>
    <w:rsid w:val="27286E73"/>
    <w:rsid w:val="27CF2642"/>
    <w:rsid w:val="27E777F5"/>
    <w:rsid w:val="27EA1D4C"/>
    <w:rsid w:val="27EA2E41"/>
    <w:rsid w:val="27F05B3B"/>
    <w:rsid w:val="282459E2"/>
    <w:rsid w:val="283A7FE5"/>
    <w:rsid w:val="285F51FF"/>
    <w:rsid w:val="28DF2665"/>
    <w:rsid w:val="29072599"/>
    <w:rsid w:val="291029F3"/>
    <w:rsid w:val="29CB58F0"/>
    <w:rsid w:val="2A053397"/>
    <w:rsid w:val="2A145E96"/>
    <w:rsid w:val="2ADE2A94"/>
    <w:rsid w:val="2AF5378F"/>
    <w:rsid w:val="2BB94DBF"/>
    <w:rsid w:val="2C5650DE"/>
    <w:rsid w:val="2C6F314E"/>
    <w:rsid w:val="2CC206BE"/>
    <w:rsid w:val="2D1136DF"/>
    <w:rsid w:val="2D20606D"/>
    <w:rsid w:val="2D442153"/>
    <w:rsid w:val="2DB87198"/>
    <w:rsid w:val="2DB93C54"/>
    <w:rsid w:val="2E3D144C"/>
    <w:rsid w:val="2E891204"/>
    <w:rsid w:val="2F3F0A28"/>
    <w:rsid w:val="2FBF7029"/>
    <w:rsid w:val="2FD0187F"/>
    <w:rsid w:val="2FD27414"/>
    <w:rsid w:val="2FFE4BB0"/>
    <w:rsid w:val="300E7B60"/>
    <w:rsid w:val="300F6E18"/>
    <w:rsid w:val="30862F5F"/>
    <w:rsid w:val="314029C9"/>
    <w:rsid w:val="31B925EE"/>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3F0B11"/>
    <w:rsid w:val="398D3668"/>
    <w:rsid w:val="39DA0497"/>
    <w:rsid w:val="3A893816"/>
    <w:rsid w:val="3A893B6D"/>
    <w:rsid w:val="3AC006F9"/>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0C62CD0"/>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680216"/>
    <w:rsid w:val="468041AA"/>
    <w:rsid w:val="468123C6"/>
    <w:rsid w:val="46901EEE"/>
    <w:rsid w:val="469C74D2"/>
    <w:rsid w:val="47445515"/>
    <w:rsid w:val="474B4782"/>
    <w:rsid w:val="47D90D14"/>
    <w:rsid w:val="48387FB0"/>
    <w:rsid w:val="483A6114"/>
    <w:rsid w:val="488727DB"/>
    <w:rsid w:val="48B82268"/>
    <w:rsid w:val="48C354B3"/>
    <w:rsid w:val="493D58B5"/>
    <w:rsid w:val="494A7A04"/>
    <w:rsid w:val="499A2D0F"/>
    <w:rsid w:val="4A0A26D2"/>
    <w:rsid w:val="4A2019A5"/>
    <w:rsid w:val="4A241A0B"/>
    <w:rsid w:val="4A7B2875"/>
    <w:rsid w:val="4A934476"/>
    <w:rsid w:val="4AAA220A"/>
    <w:rsid w:val="4AE12E67"/>
    <w:rsid w:val="4B4C0111"/>
    <w:rsid w:val="4B8553A9"/>
    <w:rsid w:val="4BDB3730"/>
    <w:rsid w:val="4C200F7A"/>
    <w:rsid w:val="4CEE3180"/>
    <w:rsid w:val="4D0F4AF6"/>
    <w:rsid w:val="4DD1006F"/>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5B1DF9"/>
    <w:rsid w:val="5CBB0CE2"/>
    <w:rsid w:val="5CC17177"/>
    <w:rsid w:val="5CF306BC"/>
    <w:rsid w:val="5D3F3D64"/>
    <w:rsid w:val="5D6A0811"/>
    <w:rsid w:val="5D833043"/>
    <w:rsid w:val="5DD92690"/>
    <w:rsid w:val="5DDB1CFD"/>
    <w:rsid w:val="5E7E6D93"/>
    <w:rsid w:val="5ED44800"/>
    <w:rsid w:val="5F350BDE"/>
    <w:rsid w:val="5F61632C"/>
    <w:rsid w:val="5FA17648"/>
    <w:rsid w:val="5FE705CB"/>
    <w:rsid w:val="603D5080"/>
    <w:rsid w:val="60554C95"/>
    <w:rsid w:val="60D0261B"/>
    <w:rsid w:val="618E3791"/>
    <w:rsid w:val="61947DCA"/>
    <w:rsid w:val="61A46A97"/>
    <w:rsid w:val="61D1382F"/>
    <w:rsid w:val="61F114A2"/>
    <w:rsid w:val="62512BB4"/>
    <w:rsid w:val="625D7D1A"/>
    <w:rsid w:val="62DD7D21"/>
    <w:rsid w:val="635E72A1"/>
    <w:rsid w:val="637D586B"/>
    <w:rsid w:val="63A5560B"/>
    <w:rsid w:val="63E9091F"/>
    <w:rsid w:val="64322AF9"/>
    <w:rsid w:val="64CB4A5A"/>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8C548E"/>
    <w:rsid w:val="689C6793"/>
    <w:rsid w:val="68DB0208"/>
    <w:rsid w:val="68FB170C"/>
    <w:rsid w:val="691B3D98"/>
    <w:rsid w:val="693748F0"/>
    <w:rsid w:val="69846A0E"/>
    <w:rsid w:val="69AD798C"/>
    <w:rsid w:val="69D005C0"/>
    <w:rsid w:val="69D80B96"/>
    <w:rsid w:val="6B0A5F31"/>
    <w:rsid w:val="6B68175F"/>
    <w:rsid w:val="6BFD799F"/>
    <w:rsid w:val="6C4A2E5A"/>
    <w:rsid w:val="6C8138D0"/>
    <w:rsid w:val="6CEF0725"/>
    <w:rsid w:val="6D4B2604"/>
    <w:rsid w:val="6D8030E4"/>
    <w:rsid w:val="6E0E35C4"/>
    <w:rsid w:val="6E0E655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487FAC"/>
    <w:rsid w:val="71504F32"/>
    <w:rsid w:val="7152309F"/>
    <w:rsid w:val="718F7F65"/>
    <w:rsid w:val="727B234E"/>
    <w:rsid w:val="72D068C7"/>
    <w:rsid w:val="72E42ED8"/>
    <w:rsid w:val="735F4CB9"/>
    <w:rsid w:val="73674C62"/>
    <w:rsid w:val="73845865"/>
    <w:rsid w:val="739B6D9E"/>
    <w:rsid w:val="73BC1D76"/>
    <w:rsid w:val="73FB6630"/>
    <w:rsid w:val="74805DFE"/>
    <w:rsid w:val="748D790E"/>
    <w:rsid w:val="749820CC"/>
    <w:rsid w:val="74CE04EC"/>
    <w:rsid w:val="74E76DCD"/>
    <w:rsid w:val="751D7C0A"/>
    <w:rsid w:val="75722D56"/>
    <w:rsid w:val="75DB5477"/>
    <w:rsid w:val="75FC6AC3"/>
    <w:rsid w:val="7616619B"/>
    <w:rsid w:val="76660D7C"/>
    <w:rsid w:val="766C5968"/>
    <w:rsid w:val="76B81D70"/>
    <w:rsid w:val="76BE0C8F"/>
    <w:rsid w:val="76CD53B2"/>
    <w:rsid w:val="770719AC"/>
    <w:rsid w:val="77445D9E"/>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A724AD"/>
    <w:rsid w:val="7DF84014"/>
    <w:rsid w:val="7E207949"/>
    <w:rsid w:val="7E5C0A47"/>
    <w:rsid w:val="7E670C75"/>
    <w:rsid w:val="7EE24272"/>
    <w:rsid w:val="7EEA6053"/>
    <w:rsid w:val="7F487C04"/>
    <w:rsid w:val="7F5735B0"/>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5721</Words>
  <Characters>6374</Characters>
  <Lines>0</Lines>
  <Paragraphs>0</Paragraphs>
  <TotalTime>85</TotalTime>
  <ScaleCrop>false</ScaleCrop>
  <LinksUpToDate>false</LinksUpToDate>
  <CharactersWithSpaces>6385</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安琴</cp:lastModifiedBy>
  <dcterms:modified xsi:type="dcterms:W3CDTF">2024-09-03T08:22:41Z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82686AC5858445ADB2B0949CEC93482D</vt:lpwstr>
  </property>
</Properties>
</file>