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bookmarkStart w:id="48" w:name="_GoBack"/>
      <w:bookmarkEnd w:id="48"/>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新疆维吾尔自治区水文信息中心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ascii="仿宋_GB2312" w:eastAsia="仿宋_GB2312"/>
          <w:sz w:val="32"/>
          <w:szCs w:val="32"/>
        </w:rPr>
        <w:t>新疆维吾尔自治区水文信息中心，承担全区及区域水文信息化发展规划制定水文信息、水情通讯网络建设与管理水文数据库开发、基础设施资源运行维护和网络安全管理、办公电子政务、应用系统建设和重点项目推进等工作</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新疆维吾尔自治区水文信息中心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p>
    <w:p>
      <w:pPr>
        <w:ind w:firstLine="640" w:firstLineChars="200"/>
        <w:rPr>
          <w:rFonts w:ascii="仿宋_GB2312" w:eastAsia="仿宋_GB2312"/>
          <w:sz w:val="32"/>
          <w:szCs w:val="32"/>
        </w:rPr>
      </w:pPr>
      <w:bookmarkStart w:id="6" w:name="_Toc29374"/>
      <w:bookmarkStart w:id="7" w:name="_Toc3092"/>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个处室，分别是：办公室</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287.48万元，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279.56万元，使用非财政拨款结余0.00万元，年初结转和结余7.92万元。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287.48万元，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272.44万元，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0.00万元，年末结转和结余15.04万元。</w:t>
      </w:r>
    </w:p>
    <w:p>
      <w:pPr>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增加2.02万元</w:t>
      </w:r>
      <w:r>
        <w:rPr>
          <w:rFonts w:hint="eastAsia" w:ascii="仿宋_GB2312" w:eastAsia="仿宋_GB2312"/>
          <w:color w:val="auto"/>
          <w:spacing w:val="0"/>
          <w:sz w:val="32"/>
          <w:szCs w:val="32"/>
          <w:highlight w:val="none"/>
          <w:lang w:eastAsia="zh-CN"/>
        </w:rPr>
        <w:t>，增长0.71%，主要原因是：</w:t>
      </w:r>
      <w:r>
        <w:rPr>
          <w:rFonts w:hint="eastAsia" w:ascii="仿宋_GB2312" w:eastAsia="仿宋_GB2312"/>
          <w:sz w:val="32"/>
          <w:szCs w:val="32"/>
        </w:rPr>
        <w:t>本年度调增在职人员工资和退休人员绩效奖，使人员经费有所上浮，所以收入较上年有所增长</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279.56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279.47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本年支出272.44万元，其中：基本支出252.44万元，占92.66%；项目支出20.00万元，占7.34%；上缴上级支出0.00万元，占0.00%；经营支出0.00万元，占0.00%；对附属单位补助支出0.00万元，占0.00%。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287.39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7.92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279.47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287.39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15.04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272.35</w:t>
      </w:r>
      <w:r>
        <w:rPr>
          <w:rFonts w:hint="eastAsia" w:ascii="仿宋_GB2312" w:eastAsia="仿宋_GB2312"/>
          <w:color w:val="auto"/>
          <w:spacing w:val="0"/>
          <w:sz w:val="32"/>
          <w:szCs w:val="32"/>
          <w:highlight w:val="none"/>
          <w:lang w:eastAsia="zh-CN"/>
        </w:rPr>
        <w:t>万元。</w:t>
      </w:r>
    </w:p>
    <w:p>
      <w:pPr>
        <w:ind w:firstLine="640" w:firstLineChars="200"/>
        <w:rPr>
          <w:rFonts w:ascii="仿宋_GB2312" w:eastAsia="仿宋_GB2312"/>
          <w:sz w:val="32"/>
          <w:szCs w:val="32"/>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增加6.49万元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增长2.31%,</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本年度调增在职人员工资和退休人员绩效奖，使人员经费有所上浮，所以支出较上年有所增长。</w:t>
      </w:r>
    </w:p>
    <w:p>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276.68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287.39</w:t>
      </w:r>
      <w:r>
        <w:rPr>
          <w:rFonts w:hint="eastAsia" w:ascii="仿宋_GB2312" w:eastAsia="仿宋_GB2312"/>
          <w:color w:val="auto"/>
          <w:spacing w:val="0"/>
          <w:sz w:val="32"/>
          <w:szCs w:val="32"/>
          <w:highlight w:val="none"/>
          <w:lang w:eastAsia="zh-CN"/>
        </w:rPr>
        <w:t>万元，预决算差异率3.87%，主要原因是：</w:t>
      </w:r>
      <w:r>
        <w:rPr>
          <w:rFonts w:hint="eastAsia" w:ascii="仿宋_GB2312" w:eastAsia="仿宋_GB2312"/>
          <w:sz w:val="32"/>
          <w:szCs w:val="32"/>
        </w:rPr>
        <w:t>年终追加人员经费，使财政拨款支出预决算产生差异。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2023年度一般公共预算财政拨款支出272.35万元，占本年支出合计的</w:t>
      </w:r>
      <w:r>
        <w:rPr>
          <w:rFonts w:hint="eastAsia" w:ascii="仿宋_GB2312" w:eastAsia="仿宋_GB2312"/>
          <w:color w:val="auto"/>
          <w:spacing w:val="0"/>
          <w:sz w:val="32"/>
          <w:szCs w:val="32"/>
          <w:highlight w:val="none"/>
          <w:lang w:val="zh-CN" w:eastAsia="zh-CN"/>
        </w:rPr>
        <w:t>99.97%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减少5.14万元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下降1.85%,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本单位2名职工退休，1名职工离职，导致人员经费支出及公用经费支出减少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276.68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272.35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-1.56%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本单位2名职工退休，1名职工离职，导致人员经费支出及公用经费支出减少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53.27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19.56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22.09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8.11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178.71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65.62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18.28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6.71</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1.卫生健康支出（类）行政事业单位医疗（款）事业单位医疗（项）:支出决算数为11.43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4.71%，主要原因是：</w:t>
      </w:r>
      <w:r>
        <w:rPr>
          <w:rFonts w:hint="eastAsia" w:ascii="仿宋_GB2312" w:eastAsia="仿宋_GB2312"/>
          <w:sz w:val="32"/>
          <w:szCs w:val="32"/>
        </w:rPr>
        <w:t>人员经费增加，年中缴纳基数进行调整，使该项支出增加。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2.农林水支出（类）水利（款）水文测报（项）:支出决算数为178.71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6.08%，主要原因是：</w:t>
      </w:r>
      <w:r>
        <w:rPr>
          <w:rFonts w:hint="eastAsia" w:eastAsia="仿宋_GB2312" w:cs="Times New Roman"/>
          <w:color w:val="auto"/>
          <w:kern w:val="2"/>
          <w:sz w:val="32"/>
          <w:szCs w:val="32"/>
          <w:highlight w:val="none"/>
          <w:lang w:val="en-US" w:eastAsia="zh-CN" w:bidi="ar-SA"/>
        </w:rPr>
        <w:t>单位2名人员退休，1名人员离职，导致支出减少。</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3.卫生健康支出（类）行政事业单位医疗（款）公务员医疗补助（项）:支出决算数为10.67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25.65%，主要原因是：</w:t>
      </w:r>
      <w:r>
        <w:rPr>
          <w:rFonts w:hint="eastAsia" w:ascii="仿宋_GB2312" w:eastAsia="仿宋_GB2312"/>
          <w:sz w:val="32"/>
          <w:szCs w:val="32"/>
        </w:rPr>
        <w:t>人员经费增加，年中缴纳基数进行调整，使该项支出增加。</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4.住房保障支出（类）住房改革支出（款）住房公积金（项）:支出决算数为18.28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20.36%，主要原因是：</w:t>
      </w:r>
      <w:r>
        <w:rPr>
          <w:rFonts w:hint="eastAsia" w:ascii="仿宋_GB2312" w:eastAsia="仿宋_GB2312"/>
          <w:sz w:val="32"/>
          <w:szCs w:val="32"/>
        </w:rPr>
        <w:t>人员经费增加，住房公积金基数进行调整，使该项支出增加。</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5.社会保障和就业支出（类）行政事业单位养老支出（款）事业单位离退休（项）:支出决算数为8.39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32.07%，主要原因是：</w:t>
      </w:r>
      <w:r>
        <w:rPr>
          <w:rFonts w:hint="eastAsia" w:ascii="仿宋_GB2312" w:hAnsi="仿宋" w:eastAsia="仿宋_GB2312" w:cs="仿宋_GB2312"/>
          <w:i w:val="0"/>
          <w:caps w:val="0"/>
          <w:color w:val="000000"/>
          <w:spacing w:val="0"/>
          <w:sz w:val="31"/>
          <w:szCs w:val="31"/>
        </w:rPr>
        <w:t>本年度退休人员医疗费由社保部门统筹缴纳，单位不再缴纳退休人员医疗费，退休人员费用减少。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6.社会保障和就业支出（类）行政事业单位养老支出（款）机关事业单位职业年金缴费支出（项）:支出决算数为20.49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单位2名人员退休，1名人员离职，职业年金金额增加</w:t>
      </w:r>
      <w:r>
        <w:rPr>
          <w:rFonts w:hint="eastAsia" w:eastAsia="仿宋_GB2312" w:cs="Times New Roman"/>
          <w:color w:val="auto"/>
          <w:kern w:val="2"/>
          <w:sz w:val="32"/>
          <w:szCs w:val="32"/>
          <w:highlight w:val="none"/>
          <w:lang w:val="zh-CN" w:eastAsia="zh-CN" w:bidi="ar-SA"/>
        </w:rPr>
        <w:t>。</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7.社会保障和就业支出（类）行政事业单位养老支出（款）机关事业单位基本养老保险缴费支出（项）:支出决算数为24.38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20.36%，主要原因是：</w:t>
      </w:r>
      <w:r>
        <w:rPr>
          <w:rFonts w:hint="eastAsia" w:ascii="仿宋_GB2312" w:eastAsia="仿宋_GB2312"/>
          <w:sz w:val="32"/>
          <w:szCs w:val="32"/>
        </w:rPr>
        <w:t>人员经费增加，年中缴纳基数进行调整，使该项支出增加。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8.农林水支出（类）水利（款）水资源节约管理与保护（项）:支出决算数为0.00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本单位主款项科目调整至水文测报款项</w:t>
      </w:r>
      <w:r>
        <w:rPr>
          <w:rFonts w:hint="eastAsia" w:eastAsia="仿宋_GB2312" w:cs="Times New Roman"/>
          <w:color w:val="auto"/>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不再使用水资源节约管理与保护此科目。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252.35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239.01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13.34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办公费、印刷费、差旅费、工会经费、福利费、其他商品和服务支出。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我单位无因公出国（境）费支出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我单位无公务用车购置及运行维护费支出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ascii="仿宋_GB2312" w:eastAsia="仿宋_GB2312"/>
          <w:sz w:val="32"/>
          <w:szCs w:val="32"/>
        </w:rPr>
        <w:t>我单位无公务接待费支出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原因是：单位无公车。</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我单位无因公出国（境）费支出</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我单位无公务用车购置费支出</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预算数0.00万元，决算数0.00万元，预决算差异率0.00%，主要原因是：单位无公车，公务接待费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ind w:firstLine="640" w:firstLineChars="200"/>
        <w:rPr>
          <w:rFonts w:ascii="仿宋_GB2312" w:eastAsia="仿宋_GB2312"/>
          <w:sz w:val="32"/>
          <w:szCs w:val="32"/>
        </w:rPr>
      </w:pPr>
      <w:bookmarkStart w:id="20" w:name="_Toc7314"/>
      <w:bookmarkStart w:id="21" w:name="_Toc1235"/>
      <w:r>
        <w:rPr>
          <w:rFonts w:hint="eastAsia" w:ascii="仿宋_GB2312" w:eastAsia="仿宋_GB2312"/>
          <w:sz w:val="32"/>
          <w:szCs w:val="32"/>
        </w:rPr>
        <w:t>我单位本年度无国有资本经营预算财政拨款收入、支出及结转和结余，国有资本经营预算财政拨款收入支出决算表为空表。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新疆维吾尔自治区水文信息中心（事业单位）公用经费支出13.34万元，</w:t>
      </w:r>
      <w:r>
        <w:rPr>
          <w:rFonts w:hint="eastAsia" w:ascii="Times New Roman" w:hAnsi="Times New Roman" w:eastAsia="仿宋_GB2312" w:cs="Times New Roman"/>
          <w:color w:val="auto"/>
          <w:sz w:val="32"/>
          <w:szCs w:val="32"/>
          <w:highlight w:val="none"/>
          <w:lang w:val="zh-CN" w:eastAsia="zh-CN"/>
        </w:rPr>
        <w:t>比上年减少1.55万元，下降10.38%，主要原因是：</w:t>
      </w:r>
      <w:r>
        <w:rPr>
          <w:rFonts w:hint="eastAsia" w:eastAsia="仿宋_GB2312" w:cs="Times New Roman"/>
          <w:color w:val="auto"/>
          <w:sz w:val="32"/>
          <w:szCs w:val="32"/>
          <w:highlight w:val="none"/>
          <w:lang w:val="en-US" w:eastAsia="zh-CN"/>
        </w:rPr>
        <w:t>2名人员退休，1名人员离职</w:t>
      </w:r>
      <w:r>
        <w:rPr>
          <w:rFonts w:hint="eastAsia"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导致公用经费减少。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20.00万元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其中：政府采购货物支出0.00万元、政府采购工程支出0.00万元、政府采购服务支出20.00万元。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授予中小企业合同金额20.00万元，占政府采购支出总额的100.00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，其中：授予小微企业合同金额20.00万元，占政府采购支出总额的100.00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20.70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sz w:val="32"/>
          <w:szCs w:val="32"/>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w:t>
      </w:r>
      <w:r>
        <w:rPr>
          <w:rFonts w:ascii="仿宋_GB2312" w:eastAsia="仿宋_GB2312"/>
          <w:sz w:val="32"/>
          <w:szCs w:val="32"/>
        </w:rPr>
        <w:t>2022</w:t>
      </w:r>
      <w:r>
        <w:rPr>
          <w:rFonts w:hint="eastAsia" w:ascii="仿宋_GB2312" w:eastAsia="仿宋_GB2312"/>
          <w:sz w:val="32"/>
          <w:szCs w:val="32"/>
        </w:rPr>
        <w:t>年度开展预算绩效评价项目</w:t>
      </w:r>
      <w:r>
        <w:rPr>
          <w:rFonts w:ascii="仿宋_GB2312" w:eastAsia="仿宋_GB2312"/>
          <w:sz w:val="32"/>
          <w:szCs w:val="32"/>
        </w:rPr>
        <w:t>1</w:t>
      </w:r>
      <w:r>
        <w:rPr>
          <w:rFonts w:hint="eastAsia" w:ascii="仿宋_GB2312" w:eastAsia="仿宋_GB2312"/>
          <w:sz w:val="32"/>
          <w:szCs w:val="32"/>
        </w:rPr>
        <w:t>个，全年预算数20.00万元，全年执行数20.00万元。预算绩效管理取得的成效：</w:t>
      </w:r>
      <w:r>
        <w:rPr>
          <w:rFonts w:ascii="仿宋_GB2312" w:eastAsia="仿宋_GB2312"/>
          <w:sz w:val="32"/>
          <w:szCs w:val="32"/>
        </w:rPr>
        <w:t>根据运维实施方案，细化维护任务，按计划开展各项信息化运维工作。运行维护记录完整，各系统运行情况良好，按合同约定的要求完成了各项运维目标。应急故障处理：汛前对各地州水文勘测局的网络通信链路、报汛设备、应用软件等软硬件设施运行状况进行巡检，发现问题通过远程或驻场方式及时排除故障，保障水情网络和水文应用系统的稳定安全运行，加强管理手段和业务指导。日常运维和网络安全：委托第三方机构开展运维工作，对中心机房网络设备、应用服务器、机房空调与供电系统和计算机终端进行运维，每月进行4次巡检维护，提供96天x8h现场服务，及时排除故障；升级系统软件，处理各类网络病毒和木马事件，对设备的参数和配置进行动态管理；强化网络安全措施，防止和及时处理网络安全事件。OA办公系统售后维保服务：保障OA办公系统正常运行，确保系统使用过程中遇到的问题随叫随到的响应服务。今年对OA办公系统进行升级，并</w:t>
      </w:r>
      <w:r>
        <w:rPr>
          <w:rFonts w:hint="eastAsia" w:ascii="仿宋_GB2312" w:eastAsia="仿宋_GB2312"/>
          <w:sz w:val="32"/>
          <w:szCs w:val="32"/>
          <w:lang w:eastAsia="zh-CN"/>
        </w:rPr>
        <w:t>将</w:t>
      </w:r>
      <w:r>
        <w:rPr>
          <w:rFonts w:ascii="仿宋_GB2312" w:eastAsia="仿宋_GB2312"/>
          <w:sz w:val="32"/>
          <w:szCs w:val="32"/>
        </w:rPr>
        <w:t>使用范围延伸到国家基本水文站</w:t>
      </w:r>
      <w:r>
        <w:rPr>
          <w:rFonts w:hint="eastAsia" w:ascii="仿宋_GB2312" w:eastAsia="仿宋_GB2312"/>
          <w:sz w:val="32"/>
          <w:szCs w:val="32"/>
        </w:rPr>
        <w:t>。发现的问题及原因：</w:t>
      </w:r>
      <w:r>
        <w:rPr>
          <w:rFonts w:ascii="仿宋_GB2312" w:eastAsia="仿宋_GB2312"/>
          <w:sz w:val="32"/>
          <w:szCs w:val="32"/>
        </w:rPr>
        <w:t>一是预算绩效指标的设立还需不断优化和量化。二是财务管理成效的定性定量指标要不断的更新，特别是我们公益性事业单位，要细化出财务管理成效的考核指标</w:t>
      </w:r>
      <w:r>
        <w:rPr>
          <w:rFonts w:hint="eastAsia" w:ascii="仿宋_GB2312" w:eastAsia="仿宋_GB2312"/>
          <w:sz w:val="32"/>
          <w:szCs w:val="32"/>
        </w:rPr>
        <w:t>。下一步改进措施：</w:t>
      </w:r>
      <w:r>
        <w:rPr>
          <w:rFonts w:ascii="仿宋_GB2312" w:eastAsia="仿宋_GB2312"/>
          <w:sz w:val="32"/>
          <w:szCs w:val="32"/>
        </w:rPr>
        <w:t>加强协调，整合资源的建设原则，继续加强运行维护管理。推动各级水文部门争取列入预算，正常安排水文信息化运维资金，加强信息化运行维护队伍建设，实现运行维护专业化</w:t>
      </w:r>
      <w:r>
        <w:rPr>
          <w:rFonts w:hint="eastAsia" w:ascii="仿宋_GB2312" w:eastAsia="仿宋_GB2312"/>
          <w:sz w:val="32"/>
          <w:szCs w:val="32"/>
        </w:rPr>
        <w:t>。具体项目自评情况见附件。</w:t>
      </w:r>
    </w:p>
    <w:p>
      <w:pPr>
        <w:widowControl/>
        <w:jc w:val="left"/>
        <w:rPr>
          <w:rFonts w:ascii="黑体" w:hAnsi="黑体" w:eastAsia="黑体"/>
          <w:sz w:val="32"/>
          <w:szCs w:val="32"/>
        </w:rPr>
      </w:pPr>
      <w:r>
        <w:rPr>
          <w:rFonts w:ascii="黑体" w:hAnsi="黑体" w:eastAsia="黑体"/>
          <w:sz w:val="32"/>
          <w:szCs w:val="32"/>
        </w:rPr>
        <w:br w:type="page"/>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Microsoft Uighur">
    <w:panose1 w:val="02000000000000000000"/>
    <w:charset w:val="00"/>
    <w:family w:val="auto"/>
    <w:pitch w:val="default"/>
    <w:sig w:usb0="80002023" w:usb1="80000002" w:usb2="00000008" w:usb3="00000000" w:csb0="00000041" w:csb1="00000000"/>
  </w:font>
  <w:font w:name="DejaVu Sans">
    <w:altName w:val="Segoe Print"/>
    <w:panose1 w:val="020B0603030804020204"/>
    <w:charset w:val="00"/>
    <w:family w:val="auto"/>
    <w:pitch w:val="default"/>
    <w:sig w:usb0="00000000" w:usb1="00000000" w:usb2="0A246029" w:usb3="0400200C" w:csb0="600001FF" w:csb1="DFFF0000"/>
  </w:font>
  <w:font w:name="方正书宋_GBK">
    <w:altName w:val="微软雅黑"/>
    <w:panose1 w:val="02000000000000000000"/>
    <w:charset w:val="86"/>
    <w:family w:val="auto"/>
    <w:pitch w:val="default"/>
    <w:sig w:usb0="00000000" w:usb1="00000000" w:usb2="00000000" w:usb3="00000000" w:csb0="00040000" w:csb1="00000000"/>
  </w:font>
  <w:font w:name="方正黑体_GBK">
    <w:altName w:val="微软雅黑"/>
    <w:panose1 w:val="02000000000000000000"/>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MathJax_Vector">
    <w:altName w:val="Trebuchet MS"/>
    <w:panose1 w:val="02000603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rebuchet MS">
    <w:panose1 w:val="020B0603020202020204"/>
    <w:charset w:val="00"/>
    <w:family w:val="auto"/>
    <w:pitch w:val="default"/>
    <w:sig w:usb0="00000287" w:usb1="00000003"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393B28"/>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88925E9"/>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9CD2707"/>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1B79DD"/>
    <w:rsid w:val="3856260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1F603E4"/>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721787"/>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F6763F"/>
    <w:rsid w:val="52030593"/>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0FB76BB"/>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Strong"/>
    <w:basedOn w:val="9"/>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6480</Words>
  <Characters>20825</Characters>
  <Lines>0</Lines>
  <Paragraphs>0</Paragraphs>
  <TotalTime>1</TotalTime>
  <ScaleCrop>false</ScaleCrop>
  <LinksUpToDate>false</LinksUpToDate>
  <CharactersWithSpaces>20937</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米尔扎提.艾斯卡尔</cp:lastModifiedBy>
  <dcterms:modified xsi:type="dcterms:W3CDTF">2024-08-30T04:35:58Z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y fmtid="{D5CDD505-2E9C-101B-9397-08002B2CF9AE}" pid="3" name="ICV">
    <vt:lpwstr>D624B15633CD43C8BF9435464A96BF70</vt:lpwstr>
  </property>
</Properties>
</file>