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11821">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47D04A64">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5067BEAB">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新疆维吾尔自治区水政监察总队</w:t>
      </w:r>
    </w:p>
    <w:p w14:paraId="2055F4D8">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2023年度</w:t>
      </w:r>
      <w:r>
        <w:rPr>
          <w:rFonts w:hint="default" w:ascii="Times New Roman" w:hAnsi="Times New Roman" w:eastAsia="方正小标宋_GBK" w:cs="Times New Roman"/>
          <w:color w:val="auto"/>
          <w:sz w:val="44"/>
          <w:szCs w:val="44"/>
          <w:highlight w:val="none"/>
        </w:rPr>
        <w:t>部门决算</w:t>
      </w:r>
    </w:p>
    <w:p w14:paraId="0FA3514C">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42E9C15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bCs w:val="0"/>
          <w:color w:val="auto"/>
          <w:kern w:val="0"/>
          <w:sz w:val="36"/>
          <w:szCs w:val="36"/>
          <w:highlight w:val="none"/>
        </w:rPr>
        <w:sectPr>
          <w:pgSz w:w="11906" w:h="16838"/>
          <w:pgMar w:top="1440" w:right="1800" w:bottom="1440" w:left="1800" w:header="851" w:footer="992" w:gutter="0"/>
          <w:pgNumType w:fmt="numberInDash"/>
          <w:cols w:space="720" w:num="1"/>
          <w:docGrid w:type="lines" w:linePitch="312" w:charSpace="0"/>
        </w:sectPr>
      </w:pPr>
    </w:p>
    <w:p w14:paraId="4308757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7F816C8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60AF02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2876C2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5CF75F7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793511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60BEC0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2CA9D7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0BC471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75B18A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07C465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62DE58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273006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0E690E88">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74BE54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59B1618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27A7482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02CD663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4D5E03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6ECC1B4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66EABE1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6347A69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317C24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7546D40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55A292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61AA53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74B1F3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2CCBB2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58C041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3CBBFF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279475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637BC3BB">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1C92B778">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2E599A47">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7F4A665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14:paraId="19EE29F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rPr>
        <w:t>履行《</w:t>
      </w:r>
      <w:r>
        <w:rPr>
          <w:rFonts w:hint="default" w:ascii="Times New Roman" w:hAnsi="Times New Roman" w:eastAsia="仿宋_GB2312" w:cs="Times New Roman"/>
          <w:sz w:val="32"/>
          <w:szCs w:val="32"/>
          <w:lang w:val="en-US" w:eastAsia="zh-CN"/>
        </w:rPr>
        <w:t>中华人民共和国</w:t>
      </w:r>
      <w:r>
        <w:rPr>
          <w:rFonts w:hint="default" w:ascii="Times New Roman" w:hAnsi="Times New Roman" w:eastAsia="仿宋_GB2312" w:cs="Times New Roman"/>
          <w:sz w:val="32"/>
          <w:szCs w:val="32"/>
        </w:rPr>
        <w:t>水法》、《</w:t>
      </w:r>
      <w:r>
        <w:rPr>
          <w:rFonts w:hint="default" w:ascii="Times New Roman" w:hAnsi="Times New Roman" w:eastAsia="仿宋_GB2312" w:cs="Times New Roman"/>
          <w:sz w:val="32"/>
          <w:szCs w:val="32"/>
          <w:lang w:val="en-US" w:eastAsia="zh-CN"/>
        </w:rPr>
        <w:t>中华人民共和国</w:t>
      </w:r>
      <w:r>
        <w:rPr>
          <w:rFonts w:hint="default" w:ascii="Times New Roman" w:hAnsi="Times New Roman" w:eastAsia="仿宋_GB2312" w:cs="Times New Roman"/>
          <w:sz w:val="32"/>
          <w:szCs w:val="32"/>
        </w:rPr>
        <w:t>水土保持法》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中华人民共和国防洪法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取水许可和水资源费征收管理条例</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地下水管理条例</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等</w:t>
      </w:r>
      <w:r>
        <w:rPr>
          <w:rFonts w:hint="default" w:ascii="Times New Roman" w:hAnsi="Times New Roman" w:eastAsia="仿宋_GB2312" w:cs="Times New Roman"/>
          <w:sz w:val="32"/>
          <w:szCs w:val="32"/>
          <w:lang w:val="en-US" w:eastAsia="zh-CN"/>
        </w:rPr>
        <w:t>水法律法规，开展</w:t>
      </w:r>
      <w:r>
        <w:rPr>
          <w:rFonts w:hint="default" w:ascii="Times New Roman" w:hAnsi="Times New Roman" w:eastAsia="仿宋_GB2312" w:cs="Times New Roman"/>
          <w:sz w:val="32"/>
          <w:szCs w:val="32"/>
        </w:rPr>
        <w:t>水行政执法监察工作</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宣传贯彻水法律法规等；保护水资源、水域、水工程、水土保持生态环境、防汛抗旱和水文监测等有关设施；对水事活动进行监督检查、维护正常的水事秩序。对公民、法人或其他组织违反水法规的行为实施行政处罚或者采取其他行政措施；组织全区重大水事案件的查处，配合协助公安司法机关查处水事治安和刑事案件；对下级水政监察队伍水政执法行为进行指导监督，对取水许可、行政收费的执行情况进行监督检查；受</w:t>
      </w:r>
      <w:r>
        <w:rPr>
          <w:rFonts w:hint="default" w:ascii="Times New Roman" w:hAnsi="Times New Roman" w:eastAsia="仿宋_GB2312" w:cs="Times New Roman"/>
          <w:sz w:val="32"/>
          <w:szCs w:val="32"/>
          <w:lang w:val="en-US" w:eastAsia="zh-CN"/>
        </w:rPr>
        <w:t>新疆维吾尔</w:t>
      </w:r>
      <w:r>
        <w:rPr>
          <w:rFonts w:hint="default" w:ascii="Times New Roman" w:hAnsi="Times New Roman" w:eastAsia="仿宋_GB2312" w:cs="Times New Roman"/>
          <w:sz w:val="32"/>
          <w:szCs w:val="32"/>
        </w:rPr>
        <w:t>自治区水利厅委托，承办</w:t>
      </w:r>
      <w:r>
        <w:rPr>
          <w:rFonts w:hint="default" w:ascii="Times New Roman" w:hAnsi="Times New Roman" w:eastAsia="仿宋_GB2312" w:cs="Times New Roman"/>
          <w:sz w:val="32"/>
          <w:szCs w:val="32"/>
          <w:lang w:val="en-US" w:eastAsia="zh-CN"/>
        </w:rPr>
        <w:t>新疆维吾尔</w:t>
      </w:r>
      <w:r>
        <w:rPr>
          <w:rFonts w:hint="default" w:ascii="Times New Roman" w:hAnsi="Times New Roman" w:eastAsia="仿宋_GB2312" w:cs="Times New Roman"/>
          <w:sz w:val="32"/>
          <w:szCs w:val="32"/>
        </w:rPr>
        <w:t>自治区水行政主管部门权限的各种行政事业性规费的征收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并对各级水行政性规费的征收进行监督检查；配合有关部门对地州之间、地方与兵团之间的水事纠纷进行调查处理；承办全区水行政执法的统计工作。</w:t>
      </w:r>
    </w:p>
    <w:p w14:paraId="19390CA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4" w:name="_Toc31238"/>
      <w:bookmarkStart w:id="5" w:name="_Toc2151"/>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50017D6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新疆维吾尔自治区水政监察总队</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15</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14</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w:t>
      </w:r>
      <w:r>
        <w:rPr>
          <w:rFonts w:hint="default" w:ascii="Times New Roman" w:hAnsi="Times New Roman" w:eastAsia="仿宋_GB2312" w:cs="Times New Roman"/>
          <w:color w:val="auto"/>
          <w:sz w:val="32"/>
          <w:szCs w:val="32"/>
          <w:highlight w:val="none"/>
        </w:rPr>
        <w:t>人。</w:t>
      </w:r>
    </w:p>
    <w:p w14:paraId="4C2C3C1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outlineLvl w:val="0"/>
        <w:rPr>
          <w:rFonts w:hint="default" w:ascii="Times New Roman" w:hAnsi="Times New Roman" w:eastAsia="仿宋_GB2312" w:cs="Times New Roman"/>
          <w:kern w:val="0"/>
          <w:sz w:val="32"/>
          <w:szCs w:val="32"/>
        </w:rPr>
      </w:pPr>
      <w:bookmarkStart w:id="6" w:name="_Toc3092"/>
      <w:bookmarkStart w:id="7" w:name="_Toc29374"/>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3</w:t>
      </w:r>
      <w:r>
        <w:rPr>
          <w:rFonts w:hint="default" w:ascii="Times New Roman" w:hAnsi="Times New Roman" w:eastAsia="仿宋_GB2312" w:cs="Times New Roman"/>
          <w:bCs/>
          <w:kern w:val="0"/>
          <w:sz w:val="32"/>
          <w:szCs w:val="32"/>
        </w:rPr>
        <w:t>个</w:t>
      </w:r>
      <w:r>
        <w:rPr>
          <w:rFonts w:hint="default" w:ascii="Times New Roman" w:hAnsi="Times New Roman" w:eastAsia="仿宋_GB2312" w:cs="Times New Roman"/>
          <w:bCs/>
          <w:kern w:val="0"/>
          <w:sz w:val="32"/>
          <w:szCs w:val="32"/>
          <w:lang w:val="en-US" w:eastAsia="zh-CN"/>
        </w:rPr>
        <w:t>科</w:t>
      </w:r>
      <w:r>
        <w:rPr>
          <w:rFonts w:hint="default" w:ascii="Times New Roman" w:hAnsi="Times New Roman" w:eastAsia="仿宋_GB2312" w:cs="Times New Roman"/>
          <w:bCs/>
          <w:kern w:val="0"/>
          <w:sz w:val="32"/>
          <w:szCs w:val="32"/>
        </w:rPr>
        <w:t>室，分别是：办公室、规费科、监察科</w:t>
      </w:r>
      <w:r>
        <w:rPr>
          <w:rFonts w:hint="default" w:ascii="Times New Roman" w:hAnsi="Times New Roman" w:eastAsia="仿宋_GB2312" w:cs="Times New Roman"/>
          <w:kern w:val="0"/>
          <w:sz w:val="32"/>
          <w:szCs w:val="32"/>
        </w:rPr>
        <w:t>。</w:t>
      </w:r>
    </w:p>
    <w:p w14:paraId="168A1B85">
      <w:pPr>
        <w:keepNext w:val="0"/>
        <w:keepLines w:val="0"/>
        <w:pageBreakBefore w:val="0"/>
        <w:kinsoku/>
        <w:wordWrap/>
        <w:overflowPunct/>
        <w:topLinePunct w:val="0"/>
        <w:bidi w:val="0"/>
        <w:adjustRightInd/>
        <w:snapToGrid/>
        <w:spacing w:line="560" w:lineRule="exac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br w:type="page"/>
      </w:r>
    </w:p>
    <w:p w14:paraId="7982CED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49D6740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079025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355.80万元，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351.83万元，使用非财政拨款结余0.00万元，年初结转和结余3.98万元。</w:t>
      </w:r>
    </w:p>
    <w:p w14:paraId="67F93D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355.80万元，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353.16万元，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0.00万元，年末结转和结余2.64万元。</w:t>
      </w:r>
    </w:p>
    <w:p w14:paraId="5538F4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增加3.88万元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增长1.10%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部分人员职务职级变动，工资基数调增，人员经费增加</w:t>
      </w:r>
      <w:r>
        <w:rPr>
          <w:rFonts w:hint="default" w:ascii="Times New Roman" w:hAnsi="Times New Roman" w:eastAsia="仿宋_GB2312" w:cs="Times New Roman"/>
          <w:color w:val="auto"/>
          <w:spacing w:val="0"/>
          <w:sz w:val="32"/>
          <w:szCs w:val="32"/>
          <w:highlight w:val="none"/>
          <w:lang w:eastAsia="zh-CN"/>
        </w:rPr>
        <w:t>。</w:t>
      </w:r>
    </w:p>
    <w:p w14:paraId="129FCF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79C659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351.83</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351.81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99.99</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0.02</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28D81D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445FD3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本年支出353.16万元，其中：基本支出326.16万元，占92.35%；项目支出27.00万元，占7.65%；上缴上级支出0.00万元，占0.00%；经营支出0.00万元，占0.00%；对附属单位补助支出0.00万元，占0.00%。</w:t>
      </w:r>
    </w:p>
    <w:p w14:paraId="59AA58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48329B6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355.76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3.96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351.81</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355.76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2.64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353.12</w:t>
      </w:r>
      <w:r>
        <w:rPr>
          <w:rFonts w:hint="default" w:ascii="Times New Roman" w:hAnsi="Times New Roman" w:eastAsia="仿宋_GB2312" w:cs="Times New Roman"/>
          <w:color w:val="auto"/>
          <w:spacing w:val="0"/>
          <w:sz w:val="32"/>
          <w:szCs w:val="32"/>
          <w:highlight w:val="none"/>
          <w:lang w:eastAsia="zh-CN"/>
        </w:rPr>
        <w:t>万元。</w:t>
      </w:r>
    </w:p>
    <w:p w14:paraId="4FCC35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增加9.50万元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增长2.74%，</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部分人员职务职级变动，工资基数调增，人员经费增加</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311.67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355.76</w:t>
      </w:r>
      <w:r>
        <w:rPr>
          <w:rFonts w:hint="default" w:ascii="Times New Roman" w:hAnsi="Times New Roman" w:eastAsia="仿宋_GB2312" w:cs="Times New Roman"/>
          <w:color w:val="auto"/>
          <w:spacing w:val="0"/>
          <w:sz w:val="32"/>
          <w:szCs w:val="32"/>
          <w:highlight w:val="none"/>
          <w:lang w:eastAsia="zh-CN"/>
        </w:rPr>
        <w:t>万元，预决算差异率14.15%，主要原因是：</w:t>
      </w:r>
      <w:r>
        <w:rPr>
          <w:rFonts w:hint="default" w:ascii="Times New Roman" w:hAnsi="Times New Roman" w:eastAsia="仿宋_GB2312" w:cs="Times New Roman"/>
          <w:sz w:val="32"/>
          <w:szCs w:val="32"/>
        </w:rPr>
        <w:t>年中追加人员工资、绩效奖金及驻村人员的生活补贴等</w:t>
      </w:r>
      <w:r>
        <w:rPr>
          <w:rFonts w:hint="default" w:ascii="Times New Roman" w:hAnsi="Times New Roman" w:eastAsia="仿宋_GB2312" w:cs="Times New Roman"/>
          <w:color w:val="auto"/>
          <w:spacing w:val="0"/>
          <w:sz w:val="32"/>
          <w:szCs w:val="32"/>
          <w:highlight w:val="none"/>
          <w:lang w:eastAsia="zh-CN"/>
        </w:rPr>
        <w:t>。</w:t>
      </w:r>
    </w:p>
    <w:p w14:paraId="2D8FA5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3311932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楷体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（一）一般公共预算财政拨款支出决算总体情况</w:t>
      </w:r>
    </w:p>
    <w:p w14:paraId="2E81BE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2023年度一般公共预算财政拨款支出353.12万元，占本年支出合计的</w:t>
      </w:r>
      <w:r>
        <w:rPr>
          <w:rFonts w:hint="default" w:ascii="Times New Roman" w:hAnsi="Times New Roman" w:eastAsia="仿宋_GB2312" w:cs="Times New Roman"/>
          <w:color w:val="auto"/>
          <w:spacing w:val="0"/>
          <w:sz w:val="32"/>
          <w:szCs w:val="32"/>
          <w:highlight w:val="none"/>
          <w:lang w:val="zh-CN" w:eastAsia="zh-CN"/>
        </w:rPr>
        <w:t>99.99%</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增加10.82万元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增长3.16%，</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部分人员职务职级变动，工资基数调增，人员经费增加</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311.67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353.12</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13.30%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年中追加人员工资、绩效奖金及驻村人员的生活补贴等</w:t>
      </w:r>
      <w:r>
        <w:rPr>
          <w:rFonts w:hint="default" w:ascii="Times New Roman" w:hAnsi="Times New Roman" w:eastAsia="仿宋_GB2312" w:cs="Times New Roman"/>
          <w:color w:val="auto"/>
          <w:spacing w:val="0"/>
          <w:sz w:val="32"/>
          <w:szCs w:val="32"/>
          <w:highlight w:val="none"/>
          <w:lang w:eastAsia="zh-CN"/>
        </w:rPr>
        <w:t>。</w:t>
      </w:r>
    </w:p>
    <w:p w14:paraId="3DBA9C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楷体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（二）一般公共预算</w:t>
      </w:r>
      <w:r>
        <w:rPr>
          <w:rFonts w:hint="default" w:ascii="Times New Roman" w:hAnsi="Times New Roman" w:eastAsia="楷体_GB2312" w:cs="Times New Roman"/>
          <w:color w:val="auto"/>
          <w:sz w:val="32"/>
          <w:szCs w:val="32"/>
          <w:highlight w:val="none"/>
          <w:lang w:val="en-US" w:eastAsia="zh-CN"/>
        </w:rPr>
        <w:t>财政拨款支出决算</w:t>
      </w:r>
      <w:r>
        <w:rPr>
          <w:rFonts w:hint="default" w:ascii="Times New Roman" w:hAnsi="Times New Roman" w:eastAsia="楷体_GB2312" w:cs="Times New Roman"/>
          <w:color w:val="auto"/>
          <w:sz w:val="32"/>
          <w:szCs w:val="32"/>
          <w:highlight w:val="none"/>
          <w:lang w:eastAsia="zh-CN"/>
        </w:rPr>
        <w:t>结构情况</w:t>
      </w:r>
    </w:p>
    <w:p w14:paraId="48642A5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社会保障和就业支出（类）40.41万元，占11.44%；</w:t>
      </w:r>
    </w:p>
    <w:p w14:paraId="0448931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卫生健康支出（类）25.72万元，占7.28%；</w:t>
      </w:r>
    </w:p>
    <w:p w14:paraId="6C4BA48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农林水支出（类）265.71万元，占75.25%；</w:t>
      </w:r>
    </w:p>
    <w:p w14:paraId="36D9546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住房保障支出（类）21.28万元，占6.03%；</w:t>
      </w:r>
    </w:p>
    <w:p w14:paraId="23D093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楷体_GB2312" w:cs="Times New Roman"/>
          <w:color w:val="auto"/>
          <w:sz w:val="32"/>
          <w:szCs w:val="32"/>
          <w:highlight w:val="none"/>
          <w:lang w:eastAsia="zh-CN"/>
        </w:rPr>
      </w:pPr>
      <w:r>
        <w:rPr>
          <w:rFonts w:hint="default" w:ascii="Times New Roman" w:hAnsi="Times New Roman" w:eastAsia="楷体_GB2312" w:cs="Times New Roman"/>
          <w:color w:val="auto"/>
          <w:sz w:val="32"/>
          <w:szCs w:val="32"/>
          <w:highlight w:val="none"/>
          <w:lang w:eastAsia="zh-CN"/>
        </w:rPr>
        <w:t>（三）一般公共预算财政拨款支出决算具体情况</w:t>
      </w:r>
    </w:p>
    <w:p w14:paraId="771E25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1.卫生健康支出（类）行政事业单位医疗（款）行政单位医疗（项）:支出决算数为13.30万元，比上年决算增加0.24万元，增长1.84%，主要原因是：</w:t>
      </w:r>
      <w:r>
        <w:rPr>
          <w:rFonts w:hint="default" w:ascii="Times New Roman" w:hAnsi="Times New Roman" w:eastAsia="仿宋_GB2312" w:cs="Times New Roman"/>
          <w:sz w:val="32"/>
          <w:szCs w:val="32"/>
        </w:rPr>
        <w:t>部分人员职务职级变动，行政单位医疗保险基数调增，导致医疗保险缴费较上年增加</w:t>
      </w:r>
      <w:r>
        <w:rPr>
          <w:rFonts w:hint="default" w:ascii="Times New Roman" w:hAnsi="Times New Roman" w:eastAsia="仿宋_GB2312" w:cs="Times New Roman"/>
          <w:color w:val="auto"/>
          <w:kern w:val="2"/>
          <w:sz w:val="32"/>
          <w:szCs w:val="32"/>
          <w:highlight w:val="none"/>
          <w:lang w:val="zh-CN" w:eastAsia="zh-CN" w:bidi="ar-SA"/>
        </w:rPr>
        <w:t>。</w:t>
      </w:r>
    </w:p>
    <w:p w14:paraId="1AD8BE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2.农林水支出（类）水利（款）行政运行（项）:支出决算数为238.71万元，比上年决算增加15.99万元，增长7.18%，主要原因是：</w:t>
      </w:r>
      <w:r>
        <w:rPr>
          <w:rFonts w:hint="default" w:ascii="Times New Roman" w:hAnsi="Times New Roman" w:eastAsia="仿宋_GB2312" w:cs="Times New Roman"/>
          <w:sz w:val="32"/>
          <w:szCs w:val="32"/>
        </w:rPr>
        <w:t>部分人员职务职级变动，工资基数调增，人员经费增加，导致行政运行支出较上年增加</w:t>
      </w:r>
      <w:r>
        <w:rPr>
          <w:rFonts w:hint="default" w:ascii="Times New Roman" w:hAnsi="Times New Roman" w:eastAsia="仿宋_GB2312" w:cs="Times New Roman"/>
          <w:color w:val="auto"/>
          <w:kern w:val="2"/>
          <w:sz w:val="32"/>
          <w:szCs w:val="32"/>
          <w:highlight w:val="none"/>
          <w:lang w:val="zh-CN" w:eastAsia="zh-CN" w:bidi="ar-SA"/>
        </w:rPr>
        <w:t>。</w:t>
      </w:r>
    </w:p>
    <w:p w14:paraId="7B6D5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3.卫生健康支出（类）行政事业单位医疗（款）公务员医疗补助（项）:支出决算数为12.42万元，比上年决算增加2.26万元，增长22.21%，主要原因是：</w:t>
      </w:r>
      <w:r>
        <w:rPr>
          <w:rFonts w:hint="default" w:ascii="Times New Roman" w:hAnsi="Times New Roman" w:eastAsia="仿宋_GB2312" w:cs="Times New Roman"/>
          <w:sz w:val="32"/>
          <w:szCs w:val="32"/>
        </w:rPr>
        <w:t>部分人员职务职级变动，公务员医疗补助基数调增，导致公务员医疗补助缴费较上年增加</w:t>
      </w:r>
      <w:r>
        <w:rPr>
          <w:rFonts w:hint="default" w:ascii="Times New Roman" w:hAnsi="Times New Roman" w:eastAsia="仿宋_GB2312" w:cs="Times New Roman"/>
          <w:color w:val="auto"/>
          <w:kern w:val="2"/>
          <w:sz w:val="32"/>
          <w:szCs w:val="32"/>
          <w:highlight w:val="none"/>
          <w:lang w:val="zh-CN" w:eastAsia="zh-CN" w:bidi="ar-SA"/>
        </w:rPr>
        <w:t>。</w:t>
      </w:r>
    </w:p>
    <w:p w14:paraId="5A3184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4.住房保障支出（类）住房改革支出（款）住房公积金（项）:支出决算数为21.28万元，比上年决算增加3.15万元，增长17.39%，主要原因是：</w:t>
      </w:r>
      <w:r>
        <w:rPr>
          <w:rFonts w:hint="default" w:ascii="Times New Roman" w:hAnsi="Times New Roman" w:eastAsia="仿宋_GB2312" w:cs="Times New Roman"/>
          <w:sz w:val="32"/>
          <w:szCs w:val="32"/>
        </w:rPr>
        <w:t>部分人员职务职级变动，住房公积金基数调增，导致住房公积金缴费较上年增加</w:t>
      </w:r>
      <w:r>
        <w:rPr>
          <w:rFonts w:hint="default" w:ascii="Times New Roman" w:hAnsi="Times New Roman" w:eastAsia="仿宋_GB2312" w:cs="Times New Roman"/>
          <w:color w:val="auto"/>
          <w:kern w:val="2"/>
          <w:sz w:val="32"/>
          <w:szCs w:val="32"/>
          <w:highlight w:val="none"/>
          <w:lang w:val="zh-CN" w:eastAsia="zh-CN" w:bidi="ar-SA"/>
        </w:rPr>
        <w:t>。</w:t>
      </w:r>
    </w:p>
    <w:p w14:paraId="2780BC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5.农林水支出（类）水利（款）水土保持（项）:支出决算数为27.00万元，比上年决算增加1.66万元，增长6.54%，主要原因是：</w:t>
      </w:r>
      <w:r>
        <w:rPr>
          <w:rFonts w:hint="default" w:ascii="Times New Roman" w:hAnsi="Times New Roman" w:eastAsia="仿宋_GB2312" w:cs="Times New Roman"/>
          <w:sz w:val="32"/>
          <w:szCs w:val="32"/>
        </w:rPr>
        <w:t>本年该项目预算</w:t>
      </w:r>
      <w:r>
        <w:rPr>
          <w:rFonts w:hint="default" w:ascii="Times New Roman" w:hAnsi="Times New Roman" w:eastAsia="仿宋_GB2312" w:cs="Times New Roman"/>
          <w:sz w:val="32"/>
          <w:szCs w:val="32"/>
          <w:lang w:val="en-US" w:eastAsia="zh-CN"/>
        </w:rPr>
        <w:t>支出去除疫情影响后，按年初工作计划完成全部工作任务，无资金结余，因此较上年增加</w:t>
      </w:r>
      <w:r>
        <w:rPr>
          <w:rFonts w:hint="default" w:ascii="Times New Roman" w:hAnsi="Times New Roman" w:eastAsia="仿宋_GB2312" w:cs="Times New Roman"/>
          <w:color w:val="auto"/>
          <w:kern w:val="2"/>
          <w:sz w:val="32"/>
          <w:szCs w:val="32"/>
          <w:highlight w:val="none"/>
          <w:lang w:val="zh-CN" w:eastAsia="zh-CN" w:bidi="ar-SA"/>
        </w:rPr>
        <w:t>。</w:t>
      </w:r>
    </w:p>
    <w:p w14:paraId="73B191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12.65万元，比上年决算增加12.65万元，增长100%，主要原因是：本年新增退休1人，调出1人，因此职业年金较上年增加</w:t>
      </w:r>
      <w:r>
        <w:rPr>
          <w:rFonts w:hint="default" w:ascii="Times New Roman" w:hAnsi="Times New Roman" w:eastAsia="仿宋_GB2312" w:cs="Times New Roman"/>
          <w:color w:val="auto"/>
          <w:kern w:val="2"/>
          <w:sz w:val="32"/>
          <w:szCs w:val="32"/>
          <w:highlight w:val="none"/>
          <w:lang w:val="zh-CN" w:eastAsia="zh-CN" w:bidi="ar-SA"/>
        </w:rPr>
        <w:t>。</w:t>
      </w:r>
    </w:p>
    <w:p w14:paraId="24233B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7.社会保障和就业支出（类）行政事业单位养老支出（款）机关事业单位基本养老保险缴费支出（项）:支出决算数为27.76万元，比上年决算增加4.10万元，增长17.33%，主要原因是：</w:t>
      </w:r>
      <w:r>
        <w:rPr>
          <w:rFonts w:hint="default" w:ascii="Times New Roman" w:hAnsi="Times New Roman" w:eastAsia="仿宋_GB2312" w:cs="Times New Roman"/>
          <w:sz w:val="32"/>
          <w:szCs w:val="32"/>
        </w:rPr>
        <w:t>部分人员职务职级变动，机关事业单位基本养老基数调增，导致基本养老保险缴费较上年增加</w:t>
      </w:r>
      <w:r>
        <w:rPr>
          <w:rFonts w:hint="default" w:ascii="Times New Roman" w:hAnsi="Times New Roman" w:eastAsia="仿宋_GB2312" w:cs="Times New Roman"/>
          <w:color w:val="auto"/>
          <w:kern w:val="2"/>
          <w:sz w:val="32"/>
          <w:szCs w:val="32"/>
          <w:highlight w:val="none"/>
          <w:lang w:val="zh-CN" w:eastAsia="zh-CN" w:bidi="ar-SA"/>
        </w:rPr>
        <w:t>。</w:t>
      </w:r>
    </w:p>
    <w:p w14:paraId="37EF1D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8.农林水支出（类）水利（款）水利执法监督（项）:支出决算数为0.00万元，比上年决算减少29.23万元，下降100%，主要原因是：本年无此项新增项目支出，因此较上年减少</w:t>
      </w:r>
      <w:r>
        <w:rPr>
          <w:rFonts w:hint="default" w:ascii="Times New Roman" w:hAnsi="Times New Roman" w:eastAsia="仿宋_GB2312" w:cs="Times New Roman"/>
          <w:color w:val="auto"/>
          <w:kern w:val="2"/>
          <w:sz w:val="32"/>
          <w:szCs w:val="32"/>
          <w:highlight w:val="none"/>
          <w:lang w:val="zh-CN" w:eastAsia="zh-CN" w:bidi="ar-SA"/>
        </w:rPr>
        <w:t>。</w:t>
      </w:r>
    </w:p>
    <w:p w14:paraId="244C7B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53DCA62F">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326.12</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306.17</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w:t>
      </w:r>
    </w:p>
    <w:p w14:paraId="60EF674E">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19.95</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办公费、水费、电费、邮电费、物业管理费、差旅费、租赁费、工会经费、福利费、公务用车运行维护费。</w:t>
      </w:r>
    </w:p>
    <w:p w14:paraId="17B2A7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269D0607">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“三公”经费支出4.82万元，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减少0.38万元，下降7.</w:t>
      </w:r>
      <w:r>
        <w:rPr>
          <w:rFonts w:hint="eastAsia"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本单位公车运行较上年有所减少，因此</w:t>
      </w:r>
      <w:r>
        <w:rPr>
          <w:rFonts w:hint="default" w:ascii="Times New Roman" w:hAnsi="Times New Roman" w:eastAsia="仿宋_GB2312" w:cs="Times New Roman"/>
          <w:color w:val="auto"/>
          <w:sz w:val="32"/>
          <w:szCs w:val="32"/>
          <w:highlight w:val="none"/>
          <w:lang w:val="zh-CN" w:eastAsia="zh-CN"/>
        </w:rPr>
        <w:t>“三公”经费支出</w:t>
      </w:r>
      <w:r>
        <w:rPr>
          <w:rFonts w:hint="default" w:ascii="Times New Roman" w:hAnsi="Times New Roman" w:eastAsia="仿宋_GB2312" w:cs="Times New Roman"/>
          <w:color w:val="auto"/>
          <w:sz w:val="32"/>
          <w:szCs w:val="32"/>
          <w:highlight w:val="none"/>
          <w:lang w:val="en-US" w:eastAsia="zh-CN"/>
        </w:rPr>
        <w:t>下降</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。其中：因公出国（境）费支出0.00万元，占0.00%，比上年增加0.00万元，增长0.00%，主要原因是：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；公务用车购置及运行维护费支出4.82万元，占100.00%，比上年减少0.38万元，下降7.</w:t>
      </w:r>
      <w:r>
        <w:rPr>
          <w:rFonts w:hint="eastAsia"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本单位公车运行较上年有所减少，因此公车运行维护费下降</w:t>
      </w:r>
      <w:r>
        <w:rPr>
          <w:rFonts w:hint="default" w:ascii="Times New Roman" w:hAnsi="Times New Roman" w:eastAsia="仿宋_GB2312" w:cs="Times New Roman"/>
          <w:color w:val="auto"/>
          <w:sz w:val="32"/>
          <w:szCs w:val="32"/>
          <w:highlight w:val="none"/>
          <w:lang w:val="zh-CN" w:eastAsia="zh-CN"/>
        </w:rPr>
        <w:t>；公务接待费支出0.00万元，占0.00%，比上年增加0.00万元，增长0.00%，主要原因是：</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color w:val="auto"/>
          <w:sz w:val="32"/>
          <w:szCs w:val="32"/>
          <w:highlight w:val="none"/>
          <w:lang w:val="zh-CN" w:eastAsia="zh-CN"/>
        </w:rPr>
        <w:t>。</w:t>
      </w:r>
    </w:p>
    <w:p w14:paraId="44473074">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14:paraId="59F71C80">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。单位全年安排的因公出国（境）团组0个，因公出国（境）0人次。</w:t>
      </w:r>
    </w:p>
    <w:p w14:paraId="3AE2468A">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公务用车购置及运行维护费4.82万元，其中：公务用车购置费0.00万元，公务用车运行维护费4.82万元。公务用车运行维护费开支内容包括公务用车</w:t>
      </w:r>
      <w:r>
        <w:rPr>
          <w:rFonts w:hint="default" w:ascii="Times New Roman" w:hAnsi="Times New Roman" w:eastAsia="仿宋_GB2312" w:cs="Times New Roman"/>
          <w:sz w:val="32"/>
          <w:szCs w:val="32"/>
        </w:rPr>
        <w:t>油料费、维修维护费、车辆保险费、通行费</w:t>
      </w:r>
      <w:r>
        <w:rPr>
          <w:rFonts w:hint="default" w:ascii="Times New Roman" w:hAnsi="Times New Roman" w:eastAsia="仿宋_GB2312" w:cs="Times New Roman"/>
          <w:color w:val="auto"/>
          <w:sz w:val="32"/>
          <w:szCs w:val="32"/>
          <w:highlight w:val="none"/>
          <w:lang w:val="zh-CN" w:eastAsia="zh-CN"/>
        </w:rPr>
        <w:t>。公务用车购置数0辆，公务用车保有量1辆。国有资产占用情况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无差异</w:t>
      </w:r>
      <w:r>
        <w:rPr>
          <w:rFonts w:hint="default" w:ascii="Times New Roman" w:hAnsi="Times New Roman" w:eastAsia="仿宋_GB2312" w:cs="Times New Roman"/>
          <w:color w:val="auto"/>
          <w:sz w:val="32"/>
          <w:szCs w:val="32"/>
          <w:highlight w:val="none"/>
          <w:lang w:val="zh-CN" w:eastAsia="zh-CN"/>
        </w:rPr>
        <w:t>。</w:t>
      </w:r>
    </w:p>
    <w:p w14:paraId="0792B7E0">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sz w:val="32"/>
          <w:szCs w:val="32"/>
        </w:rPr>
        <w:t>我单位无公务接待费</w:t>
      </w:r>
      <w:r>
        <w:rPr>
          <w:rFonts w:hint="default" w:ascii="Times New Roman" w:hAnsi="Times New Roman" w:eastAsia="仿宋_GB2312" w:cs="Times New Roman"/>
          <w:color w:val="auto"/>
          <w:sz w:val="32"/>
          <w:szCs w:val="32"/>
          <w:highlight w:val="none"/>
          <w:lang w:val="zh-CN" w:eastAsia="zh-CN"/>
        </w:rPr>
        <w:t>。单位全年安排的国内公务接待0批次，0人次。</w:t>
      </w:r>
    </w:p>
    <w:p w14:paraId="0B478D2A">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预算数4.82万元，决算数4.82万元，预决算差异率0.00%，主要原因是：“三公”经费支出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en-US" w:eastAsia="zh-CN"/>
        </w:rPr>
        <w:t>与决算数无差异</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0.00万元，决算数0.00万元，预决算差异率0.00%，主要原因是：因公出国（境）费</w:t>
      </w:r>
      <w:r>
        <w:rPr>
          <w:rFonts w:hint="default" w:ascii="Times New Roman" w:hAnsi="Times New Roman" w:eastAsia="仿宋_GB2312" w:cs="Times New Roman"/>
          <w:color w:val="auto"/>
          <w:sz w:val="32"/>
          <w:szCs w:val="32"/>
          <w:highlight w:val="none"/>
          <w:lang w:val="en-US" w:eastAsia="zh-CN"/>
        </w:rPr>
        <w:t>全年预算数与决算数无差异</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en-US" w:eastAsia="zh-CN"/>
        </w:rPr>
        <w:t>与决算数无差异</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预算数4.82万元，决算数4.82万元，预决算差异率0.00%，主要原因是：公务用车运行费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en-US" w:eastAsia="zh-CN"/>
        </w:rPr>
        <w:t>与决算数无差异</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en-US" w:eastAsia="zh-CN"/>
        </w:rPr>
        <w:t>与决算数无差异</w:t>
      </w:r>
      <w:r>
        <w:rPr>
          <w:rFonts w:hint="default" w:ascii="Times New Roman" w:hAnsi="Times New Roman" w:eastAsia="仿宋_GB2312" w:cs="Times New Roman"/>
          <w:color w:val="auto"/>
          <w:sz w:val="32"/>
          <w:szCs w:val="32"/>
          <w:highlight w:val="none"/>
          <w:lang w:val="zh-CN" w:eastAsia="zh-CN"/>
        </w:rPr>
        <w:t>。</w:t>
      </w:r>
    </w:p>
    <w:p w14:paraId="14FEB3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4752FD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1F31E6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0FF929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79AD2D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6A8ECC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楷体_GB2312" w:cs="Times New Roman"/>
          <w:color w:val="auto"/>
          <w:sz w:val="32"/>
          <w:szCs w:val="32"/>
          <w:highlight w:val="none"/>
          <w:lang w:eastAsia="zh-CN"/>
        </w:rPr>
      </w:pPr>
      <w:bookmarkStart w:id="22" w:name="_Toc13105"/>
      <w:bookmarkStart w:id="23" w:name="_Toc14519"/>
      <w:r>
        <w:rPr>
          <w:rFonts w:hint="default" w:ascii="Times New Roman" w:hAnsi="Times New Roman" w:eastAsia="楷体_GB2312" w:cs="Times New Roman"/>
          <w:color w:val="auto"/>
          <w:sz w:val="32"/>
          <w:szCs w:val="32"/>
          <w:highlight w:val="none"/>
          <w:lang w:eastAsia="zh-CN"/>
        </w:rPr>
        <w:t>（一）机关运行经费支出情况</w:t>
      </w:r>
      <w:bookmarkEnd w:id="22"/>
      <w:bookmarkEnd w:id="23"/>
    </w:p>
    <w:p w14:paraId="17C36FC2">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zh-CN"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水政监察总队（行政单位和参照公务员法管理事业单位）机关运行经费支出19.95万元，比上年增加9.99万元，增长100.28%,主要原因是：本单位项目支出不再列支单位公用经费支出，因此导致机关运行经费支出较上年增加。</w:t>
      </w:r>
    </w:p>
    <w:p w14:paraId="373150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楷体_GB2312" w:cs="Times New Roman"/>
          <w:color w:val="auto"/>
          <w:sz w:val="32"/>
          <w:szCs w:val="32"/>
          <w:highlight w:val="none"/>
          <w:lang w:val="zh-CN" w:eastAsia="zh-CN"/>
        </w:rPr>
      </w:pPr>
      <w:r>
        <w:rPr>
          <w:rFonts w:hint="default" w:ascii="Times New Roman" w:hAnsi="Times New Roman" w:eastAsia="楷体_GB2312" w:cs="Times New Roman"/>
          <w:color w:val="auto"/>
          <w:sz w:val="32"/>
          <w:szCs w:val="32"/>
          <w:highlight w:val="none"/>
          <w:lang w:val="zh-CN" w:eastAsia="zh-CN"/>
        </w:rPr>
        <w:t>（二）政府采购情况</w:t>
      </w:r>
      <w:bookmarkEnd w:id="24"/>
      <w:bookmarkEnd w:id="25"/>
    </w:p>
    <w:p w14:paraId="5DBE29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1.95万元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其中：政府采购货物支出0.75万元、政府采购工程支出0.00万元、政府采购服务支出1.20万元。</w:t>
      </w:r>
    </w:p>
    <w:p w14:paraId="133153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授予中小企业合同金额1.95万元，占政府采购支出总额的100.00%，其中：授予小微企业合同金额1.58万元，占政府采购支出总额的81.</w:t>
      </w:r>
      <w:r>
        <w:rPr>
          <w:rFonts w:hint="eastAsia" w:eastAsia="仿宋_GB2312" w:cs="Times New Roman"/>
          <w:color w:val="auto"/>
          <w:sz w:val="32"/>
          <w:szCs w:val="32"/>
          <w:highlight w:val="none"/>
          <w:lang w:val="en-US" w:eastAsia="zh-CN"/>
        </w:rPr>
        <w:t>03</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w:t>
      </w:r>
      <w:bookmarkStart w:id="48" w:name="_GoBack"/>
      <w:bookmarkEnd w:id="48"/>
    </w:p>
    <w:p w14:paraId="4E07F7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楷体_GB2312" w:cs="Times New Roman"/>
          <w:color w:val="auto"/>
          <w:sz w:val="32"/>
          <w:szCs w:val="32"/>
          <w:highlight w:val="none"/>
          <w:lang w:val="zh-CN" w:eastAsia="zh-CN"/>
        </w:rPr>
      </w:pPr>
      <w:bookmarkStart w:id="26" w:name="_Toc4591"/>
      <w:bookmarkStart w:id="27" w:name="_Toc8391"/>
      <w:r>
        <w:rPr>
          <w:rFonts w:hint="default" w:ascii="Times New Roman" w:hAnsi="Times New Roman" w:eastAsia="楷体_GB2312" w:cs="Times New Roman"/>
          <w:color w:val="auto"/>
          <w:sz w:val="32"/>
          <w:szCs w:val="32"/>
          <w:highlight w:val="none"/>
          <w:lang w:val="zh-CN" w:eastAsia="zh-CN"/>
        </w:rPr>
        <w:t>（三）国有资产占用情况说明</w:t>
      </w:r>
      <w:bookmarkEnd w:id="26"/>
      <w:bookmarkEnd w:id="27"/>
    </w:p>
    <w:p w14:paraId="35576A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141.63</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屋0.0平方米，价值0.00万元。车辆1辆，价值59.70万元，其中：副部（省）级及以上领导用车0辆、主要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用车0辆、其他用车0辆，其他用车主要是：</w:t>
      </w:r>
      <w:r>
        <w:rPr>
          <w:rFonts w:hint="default" w:ascii="Times New Roman" w:hAnsi="Times New Roman" w:eastAsia="仿宋_GB2312" w:cs="Times New Roman"/>
          <w:color w:val="auto"/>
          <w:sz w:val="32"/>
          <w:szCs w:val="32"/>
          <w:highlight w:val="none"/>
          <w:lang w:val="en-US" w:eastAsia="zh-CN"/>
        </w:rPr>
        <w:t>本单位无其他用车</w:t>
      </w:r>
      <w:r>
        <w:rPr>
          <w:rFonts w:hint="default" w:ascii="Times New Roman" w:hAnsi="Times New Roman" w:eastAsia="仿宋_GB2312" w:cs="Times New Roman"/>
          <w:color w:val="auto"/>
          <w:sz w:val="32"/>
          <w:szCs w:val="32"/>
          <w:highlight w:val="none"/>
          <w:lang w:val="zh-CN" w:eastAsia="zh-CN"/>
        </w:rPr>
        <w:t>；单价100万元（含）以上设备（不含车辆）0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318D279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6C16708B">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全年预算数27</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全年执行数27</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w:t>
      </w:r>
      <w:r>
        <w:rPr>
          <w:rFonts w:hint="default" w:ascii="Times New Roman" w:hAnsi="Times New Roman" w:eastAsia="仿宋_GB2312" w:cs="Times New Roman"/>
          <w:sz w:val="32"/>
          <w:szCs w:val="32"/>
        </w:rPr>
        <w:t>一是通过全面加强水行政执法工作力度，被监管单位自觉遵守水法律法规的意识进一步提高，项目指标值完成明显；二是按照全区水政监察工作要点的要求，及时组织全疆各级水政监察队伍加强巡查监督，确保水事秩序稳定，确保我区河道湖泊防洪安全和水生态安全，项目指标值完成有效；三是我区水资源、河湖、水土保持等管理秩序明显改善，促进砂石、河道岸线实现可持续利用</w:t>
      </w:r>
      <w:r>
        <w:rPr>
          <w:rFonts w:hint="default" w:ascii="Times New Roman" w:hAnsi="Times New Roman" w:eastAsia="仿宋_GB2312" w:cs="Times New Roman"/>
          <w:color w:val="auto"/>
          <w:sz w:val="32"/>
          <w:szCs w:val="32"/>
          <w:highlight w:val="none"/>
          <w:lang w:eastAsia="zh-CN"/>
        </w:rPr>
        <w:t>。发现的问题及原因：</w:t>
      </w:r>
      <w:r>
        <w:rPr>
          <w:rFonts w:hint="default" w:ascii="Times New Roman" w:hAnsi="Times New Roman" w:eastAsia="仿宋_GB2312" w:cs="Times New Roman"/>
          <w:sz w:val="32"/>
          <w:szCs w:val="32"/>
        </w:rPr>
        <w:t>在绩效自评过程中，由于部分人员缺乏相关绩效管理专业知识，自评价工作还存在自我审定的局限性，影响评价质量</w:t>
      </w:r>
      <w:r>
        <w:rPr>
          <w:rFonts w:hint="default" w:ascii="Times New Roman" w:hAnsi="Times New Roman" w:eastAsia="仿宋_GB2312" w:cs="Times New Roman"/>
          <w:color w:val="auto"/>
          <w:sz w:val="32"/>
          <w:szCs w:val="32"/>
          <w:highlight w:val="none"/>
          <w:lang w:eastAsia="zh-CN"/>
        </w:rPr>
        <w:t>。下一步改进措施：</w:t>
      </w:r>
      <w:r>
        <w:rPr>
          <w:rFonts w:hint="default" w:ascii="Times New Roman" w:hAnsi="Times New Roman" w:eastAsia="仿宋_GB2312" w:cs="Times New Roman"/>
          <w:sz w:val="32"/>
          <w:szCs w:val="32"/>
          <w:lang w:val="en-US" w:eastAsia="zh-CN"/>
        </w:rPr>
        <w:t>一是</w:t>
      </w:r>
      <w:r>
        <w:rPr>
          <w:rFonts w:hint="default" w:ascii="Times New Roman" w:hAnsi="Times New Roman" w:eastAsia="仿宋_GB2312" w:cs="Times New Roman"/>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进一步加强对绩效管理工作的组织领导，提高对预算绩效管理工作重要性的认识，总结经验查找问题，抓紧研究制定更全面更完善的绩效评价管理办法，让“花钱必问效，无效必问责”的理念深入工作每个环节</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7A280F67">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1FAFDEF2">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14:paraId="54D5A50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7CA39864">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69C97D32">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0EBA0421">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7CB005B7">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5AE0B681">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1E46E79E">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61F5CDCD">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69401A5">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3B14B5">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7973312C">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634A084A">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0B1408B7">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1C740AB7">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0A4BAB07">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5AFCC7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419424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025B7E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11742E2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14:paraId="2D27CC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712E1B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2A5984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226F1C2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553AC9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5A3539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6B3DA235">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p>
    <w:p w14:paraId="028461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1440" w:right="1800" w:bottom="1440" w:left="1800" w:header="851" w:footer="992"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90B5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30909E">
                          <w:pPr>
                            <w:pStyle w:val="4"/>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5130909E">
                    <w:pPr>
                      <w:pStyle w:val="4"/>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yNDBmYzRkMzUxOWRlNjFjMzM1MTBmYTk0MzRlYTg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BC408F"/>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BA25D7"/>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AD4835"/>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0C6BB6"/>
    <w:rsid w:val="4A2019A5"/>
    <w:rsid w:val="4A241A0B"/>
    <w:rsid w:val="4A7B2875"/>
    <w:rsid w:val="4A934476"/>
    <w:rsid w:val="4AAA220A"/>
    <w:rsid w:val="4AD12F16"/>
    <w:rsid w:val="4AE12E67"/>
    <w:rsid w:val="4B4C0111"/>
    <w:rsid w:val="4B8553A9"/>
    <w:rsid w:val="4BDB3730"/>
    <w:rsid w:val="4C200F7A"/>
    <w:rsid w:val="4CEE3180"/>
    <w:rsid w:val="4D0F4AF6"/>
    <w:rsid w:val="4DF94F37"/>
    <w:rsid w:val="4DFADFE6"/>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E50427"/>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 w:val="8DCFC887"/>
    <w:rsid w:val="DFFF89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5822</Words>
  <Characters>6409</Characters>
  <Lines>0</Lines>
  <Paragraphs>0</Paragraphs>
  <TotalTime>6</TotalTime>
  <ScaleCrop>false</ScaleCrop>
  <LinksUpToDate>false</LinksUpToDate>
  <CharactersWithSpaces>6419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GXR</dc:creator>
  <cp:lastModifiedBy>@Mr Bai</cp:lastModifiedBy>
  <dcterms:modified xsi:type="dcterms:W3CDTF">2024-09-02T05:19:03Z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