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6954B">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1F3C5D4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4DEFB83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新疆维吾尔自治区水土保持生态环境监测总站</w:t>
      </w:r>
    </w:p>
    <w:p w14:paraId="18B811B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2482467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3CAA104A">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754231DA">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42D5FF12">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40F98C4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19874C5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2D25D59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78EE872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4EA986B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514B6EB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74BCD43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292EFF9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7F718F8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22C824A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FC42B0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3DD566AD">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2856C07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F55C09D">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3FE3EB60">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3C612007">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6C2ABE8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4D8BA2A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42E4FD4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3231B74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6AB5E83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3DBF6D6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336BFD3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6F23DF6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128D264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7BD71F4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16FCD1E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223D23D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009C50E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5CC93483">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1AB637D9">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00B0103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2B33082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6BD3E36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ascii="仿宋_GB2312" w:eastAsia="仿宋_GB2312"/>
          <w:sz w:val="32"/>
          <w:szCs w:val="32"/>
        </w:rPr>
        <w:t>承担全区水土保持监测网络建设管理及水土保持水土监测工作：承担自治区内水土流失调查及水土保持公告发布工作：协助做好水土保持监督执法、项目评估验收等工作：承担水土保持科学技术研究、推广及人才培养工作</w:t>
      </w:r>
      <w:r>
        <w:rPr>
          <w:rFonts w:hint="eastAsia" w:ascii="仿宋_GB2312" w:eastAsia="仿宋_GB2312"/>
          <w:sz w:val="32"/>
          <w:szCs w:val="32"/>
        </w:rPr>
        <w:t>。</w:t>
      </w:r>
    </w:p>
    <w:p w14:paraId="40B80C7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2B21FBF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新疆维吾尔自治区水土保持生态环境监测总站</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13</w:t>
      </w:r>
      <w:r>
        <w:rPr>
          <w:rFonts w:hint="eastAsia" w:ascii="仿宋_GB2312" w:eastAsia="仿宋_GB2312"/>
          <w:color w:val="auto"/>
          <w:sz w:val="32"/>
          <w:szCs w:val="32"/>
          <w:highlight w:val="none"/>
        </w:rPr>
        <w:t>人。</w:t>
      </w:r>
    </w:p>
    <w:p w14:paraId="6E91F816">
      <w:pPr>
        <w:ind w:firstLine="640" w:firstLineChars="200"/>
        <w:rPr>
          <w:rFonts w:hint="eastAsia" w:ascii="仿宋_GB2312" w:hAnsi="宋体" w:eastAsia="仿宋_GB2312" w:cs="宋体"/>
          <w:kern w:val="0"/>
          <w:sz w:val="32"/>
          <w:szCs w:val="32"/>
        </w:rPr>
      </w:pPr>
      <w:r>
        <w:rPr>
          <w:rFonts w:hint="eastAsia" w:ascii="仿宋_GB2312" w:eastAsia="仿宋_GB2312"/>
          <w:color w:val="auto"/>
          <w:sz w:val="32"/>
          <w:szCs w:val="32"/>
          <w:highlight w:val="none"/>
          <w:lang w:val="en-US" w:eastAsia="zh-CN"/>
        </w:rPr>
        <w:t>新疆维吾尔自治区水土保持生态环境监测总站无</w:t>
      </w:r>
      <w:r>
        <w:rPr>
          <w:rFonts w:hint="eastAsia" w:ascii="仿宋_GB2312" w:hAnsi="黑体" w:eastAsia="仿宋_GB2312" w:cs="宋体"/>
          <w:bCs/>
          <w:color w:val="auto"/>
          <w:kern w:val="0"/>
          <w:sz w:val="32"/>
          <w:szCs w:val="32"/>
          <w:highlight w:val="none"/>
        </w:rPr>
        <w:t>下属预算单位，下设</w:t>
      </w:r>
      <w:r>
        <w:rPr>
          <w:rFonts w:hint="eastAsia" w:ascii="仿宋_GB2312" w:hAnsi="黑体" w:eastAsia="仿宋_GB2312" w:cs="宋体"/>
          <w:bCs/>
          <w:color w:val="auto"/>
          <w:kern w:val="0"/>
          <w:sz w:val="32"/>
          <w:szCs w:val="32"/>
          <w:highlight w:val="none"/>
          <w:lang w:eastAsia="zh-CN"/>
        </w:rPr>
        <w:t>五</w:t>
      </w:r>
      <w:r>
        <w:rPr>
          <w:rFonts w:hint="eastAsia" w:ascii="仿宋_GB2312" w:hAnsi="黑体" w:eastAsia="仿宋_GB2312" w:cs="宋体"/>
          <w:bCs/>
          <w:color w:val="auto"/>
          <w:kern w:val="0"/>
          <w:sz w:val="32"/>
          <w:szCs w:val="32"/>
          <w:highlight w:val="none"/>
        </w:rPr>
        <w:t>个</w:t>
      </w:r>
      <w:r>
        <w:rPr>
          <w:rFonts w:hint="eastAsia" w:ascii="仿宋_GB2312" w:hAnsi="黑体" w:eastAsia="仿宋_GB2312" w:cs="宋体"/>
          <w:bCs/>
          <w:color w:val="auto"/>
          <w:kern w:val="0"/>
          <w:sz w:val="32"/>
          <w:szCs w:val="32"/>
          <w:highlight w:val="none"/>
          <w:lang w:eastAsia="zh-CN"/>
        </w:rPr>
        <w:t>科</w:t>
      </w:r>
      <w:r>
        <w:rPr>
          <w:rFonts w:hint="eastAsia" w:ascii="仿宋_GB2312" w:hAnsi="黑体" w:eastAsia="仿宋_GB2312" w:cs="宋体"/>
          <w:bCs/>
          <w:color w:val="auto"/>
          <w:kern w:val="0"/>
          <w:sz w:val="32"/>
          <w:szCs w:val="32"/>
          <w:highlight w:val="none"/>
        </w:rPr>
        <w:t>室，分别是：</w:t>
      </w:r>
      <w:r>
        <w:rPr>
          <w:rFonts w:hint="eastAsia" w:ascii="仿宋_GB2312" w:hAnsi="黑体" w:eastAsia="仿宋_GB2312" w:cs="宋体"/>
          <w:bCs/>
          <w:kern w:val="0"/>
          <w:sz w:val="32"/>
          <w:szCs w:val="32"/>
        </w:rPr>
        <w:t>监测科、信息科、技术科、总工办、综合科</w:t>
      </w:r>
      <w:r>
        <w:rPr>
          <w:rFonts w:hint="eastAsia" w:ascii="仿宋_GB2312" w:hAnsi="宋体" w:eastAsia="仿宋_GB2312" w:cs="宋体"/>
          <w:kern w:val="0"/>
          <w:sz w:val="32"/>
          <w:szCs w:val="32"/>
        </w:rPr>
        <w:t>。</w:t>
      </w:r>
    </w:p>
    <w:p w14:paraId="78A539A0">
      <w:pPr>
        <w:ind w:firstLine="640" w:firstLineChars="200"/>
        <w:rPr>
          <w:rFonts w:hint="eastAsia" w:ascii="仿宋_GB2312" w:hAnsi="宋体" w:eastAsia="仿宋_GB2312" w:cs="宋体"/>
          <w:kern w:val="0"/>
          <w:sz w:val="32"/>
          <w:szCs w:val="32"/>
        </w:rPr>
      </w:pPr>
    </w:p>
    <w:p w14:paraId="1FA68913">
      <w:pPr>
        <w:ind w:firstLine="640" w:firstLineChars="200"/>
        <w:rPr>
          <w:rFonts w:hint="eastAsia" w:ascii="仿宋_GB2312" w:hAnsi="宋体" w:eastAsia="仿宋_GB2312" w:cs="宋体"/>
          <w:kern w:val="0"/>
          <w:sz w:val="32"/>
          <w:szCs w:val="32"/>
        </w:rPr>
      </w:pPr>
    </w:p>
    <w:p w14:paraId="39269919">
      <w:pPr>
        <w:ind w:firstLine="640" w:firstLineChars="200"/>
        <w:rPr>
          <w:rFonts w:hint="eastAsia" w:ascii="仿宋_GB2312" w:hAnsi="宋体" w:eastAsia="仿宋_GB2312" w:cs="宋体"/>
          <w:kern w:val="0"/>
          <w:sz w:val="32"/>
          <w:szCs w:val="32"/>
        </w:rPr>
      </w:pPr>
    </w:p>
    <w:p w14:paraId="1F0FEB0C">
      <w:pPr>
        <w:ind w:firstLine="640" w:firstLineChars="200"/>
        <w:rPr>
          <w:rFonts w:hint="eastAsia" w:ascii="仿宋_GB2312" w:hAnsi="宋体" w:eastAsia="仿宋_GB2312" w:cs="宋体"/>
          <w:kern w:val="0"/>
          <w:sz w:val="32"/>
          <w:szCs w:val="32"/>
        </w:rPr>
      </w:pPr>
    </w:p>
    <w:p w14:paraId="5599946A">
      <w:pPr>
        <w:ind w:firstLine="640" w:firstLineChars="200"/>
        <w:rPr>
          <w:rFonts w:hint="eastAsia" w:ascii="仿宋_GB2312" w:hAnsi="宋体" w:eastAsia="仿宋_GB2312" w:cs="宋体"/>
          <w:kern w:val="0"/>
          <w:sz w:val="32"/>
          <w:szCs w:val="32"/>
        </w:rPr>
      </w:pPr>
    </w:p>
    <w:p w14:paraId="52F808B5">
      <w:pPr>
        <w:ind w:firstLine="640" w:firstLineChars="200"/>
        <w:rPr>
          <w:rFonts w:hint="eastAsia" w:ascii="仿宋_GB2312" w:hAnsi="宋体" w:eastAsia="仿宋_GB2312" w:cs="宋体"/>
          <w:kern w:val="0"/>
          <w:sz w:val="32"/>
          <w:szCs w:val="32"/>
        </w:rPr>
      </w:pPr>
    </w:p>
    <w:p w14:paraId="7A2D5847">
      <w:pPr>
        <w:ind w:firstLine="640" w:firstLineChars="200"/>
        <w:rPr>
          <w:rFonts w:hint="eastAsia" w:ascii="仿宋_GB2312" w:hAnsi="宋体" w:eastAsia="仿宋_GB2312" w:cs="宋体"/>
          <w:kern w:val="0"/>
          <w:sz w:val="32"/>
          <w:szCs w:val="32"/>
        </w:rPr>
      </w:pPr>
    </w:p>
    <w:p w14:paraId="6ABBCF70">
      <w:pPr>
        <w:ind w:firstLine="640" w:firstLineChars="200"/>
        <w:rPr>
          <w:rFonts w:hint="eastAsia" w:ascii="仿宋_GB2312" w:hAnsi="宋体" w:eastAsia="仿宋_GB2312" w:cs="宋体"/>
          <w:kern w:val="0"/>
          <w:sz w:val="32"/>
          <w:szCs w:val="32"/>
        </w:rPr>
      </w:pPr>
    </w:p>
    <w:p w14:paraId="1D41BE4E">
      <w:pPr>
        <w:ind w:firstLine="640" w:firstLineChars="200"/>
        <w:rPr>
          <w:rFonts w:hint="eastAsia" w:ascii="仿宋_GB2312" w:hAnsi="宋体" w:eastAsia="仿宋_GB2312" w:cs="宋体"/>
          <w:kern w:val="0"/>
          <w:sz w:val="32"/>
          <w:szCs w:val="32"/>
        </w:rPr>
      </w:pPr>
    </w:p>
    <w:p w14:paraId="0D5774D3">
      <w:pPr>
        <w:ind w:firstLine="640" w:firstLineChars="200"/>
        <w:rPr>
          <w:rFonts w:hint="eastAsia" w:ascii="仿宋_GB2312" w:hAnsi="宋体" w:eastAsia="仿宋_GB2312" w:cs="宋体"/>
          <w:kern w:val="0"/>
          <w:sz w:val="32"/>
          <w:szCs w:val="32"/>
        </w:rPr>
      </w:pPr>
    </w:p>
    <w:p w14:paraId="23EDDE5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1E8026D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7395260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1,215.32万元，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1,185.78万元，使用非财政拨款结余0.00万元，年初结转和结余29.54万元。</w:t>
      </w:r>
    </w:p>
    <w:p w14:paraId="2D374C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1,215.32万元，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1,114.39万元，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68.74万元，年末结转和结余32.19万元。</w:t>
      </w:r>
    </w:p>
    <w:p w14:paraId="4D32EB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增加176.38万元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增长16.98%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经营收入比2023年增加</w:t>
      </w:r>
      <w:r>
        <w:rPr>
          <w:rFonts w:hint="eastAsia" w:ascii="仿宋_GB2312" w:eastAsia="仿宋_GB2312"/>
          <w:color w:val="auto"/>
          <w:spacing w:val="0"/>
          <w:sz w:val="32"/>
          <w:szCs w:val="32"/>
          <w:highlight w:val="none"/>
          <w:lang w:eastAsia="zh-CN"/>
        </w:rPr>
        <w:t>。</w:t>
      </w:r>
    </w:p>
    <w:p w14:paraId="58FBC4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7C353EB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1,185.78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1,057.53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89.18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127.80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10.78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0.45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1CA43C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64F965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本年支出1,114.39万元，其中：基本支出522.27万元，占46.87%；项目支出532.62万元，占47.79%；上缴上级支出0.00万元，占0.00%；经营支出59.51万元，占5.34%；对附属单位补助支出0.00万元，占0.00%。</w:t>
      </w:r>
    </w:p>
    <w:p w14:paraId="223888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26B028D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1,087.07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29.54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1,057.53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1,087.07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32.19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1,054.88</w:t>
      </w:r>
      <w:r>
        <w:rPr>
          <w:rFonts w:hint="eastAsia" w:ascii="仿宋_GB2312" w:eastAsia="仿宋_GB2312"/>
          <w:color w:val="auto"/>
          <w:spacing w:val="0"/>
          <w:sz w:val="32"/>
          <w:szCs w:val="32"/>
          <w:highlight w:val="none"/>
          <w:lang w:eastAsia="zh-CN"/>
        </w:rPr>
        <w:t>万元。</w:t>
      </w:r>
    </w:p>
    <w:p w14:paraId="6A2B41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增加62.13万元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增长6.06%，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2023年人员岗位晋升工资增加以及补发绩效工资</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968.84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1,087.07</w:t>
      </w:r>
      <w:r>
        <w:rPr>
          <w:rFonts w:hint="eastAsia" w:ascii="仿宋_GB2312" w:eastAsia="仿宋_GB2312"/>
          <w:color w:val="auto"/>
          <w:spacing w:val="0"/>
          <w:sz w:val="32"/>
          <w:szCs w:val="32"/>
          <w:highlight w:val="none"/>
          <w:lang w:eastAsia="zh-CN"/>
        </w:rPr>
        <w:t>万元，预决算差异率12.20%，主要原因是：</w:t>
      </w:r>
      <w:r>
        <w:rPr>
          <w:rFonts w:hint="eastAsia" w:ascii="仿宋_GB2312" w:eastAsia="仿宋_GB2312"/>
          <w:color w:val="auto"/>
          <w:spacing w:val="0"/>
          <w:sz w:val="32"/>
          <w:szCs w:val="32"/>
          <w:highlight w:val="none"/>
          <w:lang w:val="en-US" w:eastAsia="zh-CN"/>
        </w:rPr>
        <w:t>我单位2023年存在</w:t>
      </w:r>
      <w:r>
        <w:rPr>
          <w:rFonts w:hint="eastAsia" w:ascii="仿宋_GB2312" w:hAnsi="仿宋_GB2312" w:eastAsia="仿宋_GB2312" w:cs="仿宋_GB2312"/>
          <w:sz w:val="32"/>
          <w:szCs w:val="32"/>
        </w:rPr>
        <w:t>年初结转和结余</w:t>
      </w:r>
      <w:r>
        <w:rPr>
          <w:rFonts w:hint="eastAsia" w:ascii="仿宋_GB2312" w:hAnsi="仿宋_GB2312" w:eastAsia="仿宋_GB2312" w:cs="仿宋_GB2312"/>
          <w:sz w:val="32"/>
          <w:szCs w:val="32"/>
          <w:lang w:val="en-US" w:eastAsia="zh-CN"/>
        </w:rPr>
        <w:t>资金</w:t>
      </w:r>
      <w:r>
        <w:rPr>
          <w:rFonts w:hint="eastAsia" w:ascii="仿宋_GB2312" w:eastAsia="仿宋_GB2312"/>
          <w:color w:val="auto"/>
          <w:spacing w:val="0"/>
          <w:sz w:val="32"/>
          <w:szCs w:val="32"/>
          <w:highlight w:val="none"/>
          <w:lang w:eastAsia="zh-CN"/>
        </w:rPr>
        <w:t>。</w:t>
      </w:r>
    </w:p>
    <w:p w14:paraId="1E69D94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751566F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340554D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2023年度一般公共预算财政拨款支出1,054.88万元，占本年支出合计的</w:t>
      </w:r>
      <w:r>
        <w:rPr>
          <w:rFonts w:hint="eastAsia" w:ascii="仿宋_GB2312" w:eastAsia="仿宋_GB2312"/>
          <w:color w:val="auto"/>
          <w:spacing w:val="0"/>
          <w:sz w:val="32"/>
          <w:szCs w:val="32"/>
          <w:highlight w:val="none"/>
          <w:lang w:val="zh-CN" w:eastAsia="zh-CN"/>
        </w:rPr>
        <w:t>94.66%</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增加59.48万元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增长5.98%，</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sz w:val="32"/>
          <w:szCs w:val="32"/>
          <w:lang w:val="en-US" w:eastAsia="zh-CN"/>
        </w:rPr>
        <w:t>2023年增加</w:t>
      </w:r>
      <w:r>
        <w:rPr>
          <w:rFonts w:hint="eastAsia" w:ascii="仿宋_GB2312" w:hAnsi="仿宋" w:eastAsia="仿宋_GB2312" w:cs="仿宋"/>
          <w:color w:val="000000"/>
          <w:sz w:val="32"/>
          <w:szCs w:val="32"/>
          <w:lang w:val="en-US" w:eastAsia="zh-CN"/>
        </w:rPr>
        <w:t>自治区水利发展资金项目</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968.84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1,054.88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8.88%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我单位2023年存在</w:t>
      </w:r>
      <w:r>
        <w:rPr>
          <w:rFonts w:hint="eastAsia" w:ascii="仿宋_GB2312" w:hAnsi="仿宋_GB2312" w:eastAsia="仿宋_GB2312" w:cs="仿宋_GB2312"/>
          <w:sz w:val="32"/>
          <w:szCs w:val="32"/>
        </w:rPr>
        <w:t>年初结转和结余</w:t>
      </w:r>
      <w:r>
        <w:rPr>
          <w:rFonts w:hint="eastAsia" w:ascii="仿宋_GB2312" w:hAnsi="仿宋_GB2312" w:eastAsia="仿宋_GB2312" w:cs="仿宋_GB2312"/>
          <w:sz w:val="32"/>
          <w:szCs w:val="32"/>
          <w:lang w:val="en-US" w:eastAsia="zh-CN"/>
        </w:rPr>
        <w:t>资金</w:t>
      </w:r>
      <w:r>
        <w:rPr>
          <w:rFonts w:hint="eastAsia" w:ascii="仿宋_GB2312" w:eastAsia="仿宋_GB2312"/>
          <w:color w:val="auto"/>
          <w:spacing w:val="0"/>
          <w:sz w:val="32"/>
          <w:szCs w:val="32"/>
          <w:highlight w:val="none"/>
          <w:lang w:eastAsia="zh-CN"/>
        </w:rPr>
        <w:t>。</w:t>
      </w:r>
    </w:p>
    <w:p w14:paraId="16AA234B">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57EAF16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67.71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6.42</w:t>
      </w:r>
      <w:r>
        <w:rPr>
          <w:rFonts w:hint="default" w:ascii="仿宋_GB2312" w:hAnsi="Times New Roman" w:eastAsia="仿宋_GB2312" w:cs="Times New Roman"/>
          <w:color w:val="auto"/>
          <w:spacing w:val="0"/>
          <w:kern w:val="2"/>
          <w:sz w:val="32"/>
          <w:szCs w:val="32"/>
          <w:highlight w:val="none"/>
          <w:lang w:val="zh-CN" w:eastAsia="zh-CN" w:bidi="ar-SA"/>
        </w:rPr>
        <w:t>%；</w:t>
      </w:r>
    </w:p>
    <w:p w14:paraId="1F38BFB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40.38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3.83</w:t>
      </w:r>
      <w:r>
        <w:rPr>
          <w:rFonts w:hint="default" w:ascii="仿宋_GB2312" w:hAnsi="Times New Roman" w:eastAsia="仿宋_GB2312" w:cs="Times New Roman"/>
          <w:color w:val="auto"/>
          <w:spacing w:val="0"/>
          <w:kern w:val="2"/>
          <w:sz w:val="32"/>
          <w:szCs w:val="32"/>
          <w:highlight w:val="none"/>
          <w:lang w:val="zh-CN" w:eastAsia="zh-CN" w:bidi="ar-SA"/>
        </w:rPr>
        <w:t>%；</w:t>
      </w:r>
    </w:p>
    <w:p w14:paraId="6FCF94F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913.37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86.59</w:t>
      </w:r>
      <w:r>
        <w:rPr>
          <w:rFonts w:hint="default" w:ascii="仿宋_GB2312" w:hAnsi="Times New Roman" w:eastAsia="仿宋_GB2312" w:cs="Times New Roman"/>
          <w:color w:val="auto"/>
          <w:spacing w:val="0"/>
          <w:kern w:val="2"/>
          <w:sz w:val="32"/>
          <w:szCs w:val="32"/>
          <w:highlight w:val="none"/>
          <w:lang w:val="zh-CN" w:eastAsia="zh-CN" w:bidi="ar-SA"/>
        </w:rPr>
        <w:t>%；</w:t>
      </w:r>
    </w:p>
    <w:p w14:paraId="0A424DF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33.42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3.17</w:t>
      </w:r>
      <w:r>
        <w:rPr>
          <w:rFonts w:hint="default" w:ascii="仿宋_GB2312" w:hAnsi="Times New Roman" w:eastAsia="仿宋_GB2312" w:cs="Times New Roman"/>
          <w:color w:val="auto"/>
          <w:spacing w:val="0"/>
          <w:kern w:val="2"/>
          <w:sz w:val="32"/>
          <w:szCs w:val="32"/>
          <w:highlight w:val="none"/>
          <w:lang w:val="zh-CN" w:eastAsia="zh-CN" w:bidi="ar-SA"/>
        </w:rPr>
        <w:t>%；</w:t>
      </w:r>
    </w:p>
    <w:p w14:paraId="384E1BF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36B7F46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1.卫生健康支出（类）行政事业单位医疗（款）事业单位医疗（项）:支出决算数为20.89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6.03%，主要原因是：</w:t>
      </w:r>
      <w:r>
        <w:rPr>
          <w:rFonts w:hint="eastAsia" w:eastAsia="仿宋_GB2312" w:cs="Times New Roman"/>
          <w:color w:val="auto"/>
          <w:kern w:val="2"/>
          <w:sz w:val="32"/>
          <w:szCs w:val="32"/>
          <w:highlight w:val="none"/>
          <w:lang w:val="en-US" w:eastAsia="zh-CN" w:bidi="ar-SA"/>
        </w:rPr>
        <w:t>2023年在职人员岗位晋升工资增加，医保基数调增</w:t>
      </w:r>
      <w:r>
        <w:rPr>
          <w:rFonts w:hint="eastAsia" w:eastAsia="仿宋_GB2312" w:cs="Times New Roman"/>
          <w:color w:val="auto"/>
          <w:kern w:val="2"/>
          <w:sz w:val="32"/>
          <w:szCs w:val="32"/>
          <w:highlight w:val="none"/>
          <w:lang w:val="zh-CN" w:eastAsia="zh-CN" w:bidi="ar-SA"/>
        </w:rPr>
        <w:t>。</w:t>
      </w:r>
    </w:p>
    <w:p w14:paraId="5B4A104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2.卫生健康支出（类）行政事业单位医疗（款）公务员医疗补助（项）:支出决算数为19.49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27.24%，主要原因是：</w:t>
      </w:r>
      <w:r>
        <w:rPr>
          <w:rFonts w:hint="eastAsia" w:eastAsia="仿宋_GB2312" w:cs="Times New Roman"/>
          <w:color w:val="auto"/>
          <w:kern w:val="2"/>
          <w:sz w:val="32"/>
          <w:szCs w:val="32"/>
          <w:highlight w:val="none"/>
          <w:lang w:val="en-US" w:eastAsia="zh-CN" w:bidi="ar-SA"/>
        </w:rPr>
        <w:t>2023在职人员岗位晋升工资增加，医保基数调增</w:t>
      </w:r>
      <w:r>
        <w:rPr>
          <w:rFonts w:hint="eastAsia" w:eastAsia="仿宋_GB2312" w:cs="Times New Roman"/>
          <w:color w:val="auto"/>
          <w:kern w:val="2"/>
          <w:sz w:val="32"/>
          <w:szCs w:val="32"/>
          <w:highlight w:val="none"/>
          <w:lang w:val="zh-CN" w:eastAsia="zh-CN" w:bidi="ar-SA"/>
        </w:rPr>
        <w:t>。</w:t>
      </w:r>
    </w:p>
    <w:p w14:paraId="0481F91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3.住房保障支出（类）住房改革支出（款）住房公积金（项）:支出决算数为33.42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22.31%，主要原因是：</w:t>
      </w:r>
      <w:r>
        <w:rPr>
          <w:rFonts w:hint="eastAsia" w:eastAsia="仿宋_GB2312" w:cs="Times New Roman"/>
          <w:color w:val="auto"/>
          <w:kern w:val="2"/>
          <w:sz w:val="32"/>
          <w:szCs w:val="32"/>
          <w:highlight w:val="none"/>
          <w:lang w:val="en-US" w:eastAsia="zh-CN" w:bidi="ar-SA"/>
        </w:rPr>
        <w:t>2023年在职人员岗位晋升工资增加，</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en-US" w:eastAsia="zh-CN" w:bidi="ar-SA"/>
        </w:rPr>
        <w:t>基数调增</w:t>
      </w:r>
      <w:r>
        <w:rPr>
          <w:rFonts w:hint="eastAsia" w:eastAsia="仿宋_GB2312" w:cs="Times New Roman"/>
          <w:color w:val="auto"/>
          <w:kern w:val="2"/>
          <w:sz w:val="32"/>
          <w:szCs w:val="32"/>
          <w:highlight w:val="none"/>
          <w:lang w:val="zh-CN" w:eastAsia="zh-CN" w:bidi="ar-SA"/>
        </w:rPr>
        <w:t>。</w:t>
      </w:r>
    </w:p>
    <w:p w14:paraId="31DDE32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4.农林水支出（类）水利（款）水利技术推广（项）:支出决算数为56.43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27.83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97.30%，主要原因是：</w:t>
      </w:r>
      <w:r>
        <w:rPr>
          <w:rFonts w:hint="eastAsia" w:ascii="仿宋_GB2312" w:hAnsi="仿宋" w:eastAsia="仿宋_GB2312"/>
          <w:sz w:val="32"/>
          <w:szCs w:val="32"/>
          <w:lang w:val="en-US" w:eastAsia="zh-CN"/>
        </w:rPr>
        <w:t>2023年增加1个</w:t>
      </w:r>
      <w:r>
        <w:rPr>
          <w:rFonts w:hint="eastAsia" w:ascii="仿宋_GB2312" w:hAnsi="仿宋" w:eastAsia="仿宋_GB2312" w:cs="仿宋"/>
          <w:color w:val="000000"/>
          <w:sz w:val="32"/>
          <w:szCs w:val="32"/>
          <w:lang w:val="en-US" w:eastAsia="zh-CN"/>
        </w:rPr>
        <w:t>自治区水利发展资金项目</w:t>
      </w:r>
      <w:r>
        <w:rPr>
          <w:rFonts w:hint="eastAsia" w:eastAsia="仿宋_GB2312" w:cs="Times New Roman"/>
          <w:color w:val="auto"/>
          <w:kern w:val="2"/>
          <w:sz w:val="32"/>
          <w:szCs w:val="32"/>
          <w:highlight w:val="none"/>
          <w:lang w:val="zh-CN" w:eastAsia="zh-CN" w:bidi="ar-SA"/>
        </w:rPr>
        <w:t>。</w:t>
      </w:r>
    </w:p>
    <w:p w14:paraId="4044AE7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5.社会保障和就业支出（类）行政事业单位养老支出（款）事业单位离退休（项）:支出决算数为25.76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31.58%，主要原因是：</w:t>
      </w:r>
      <w:r>
        <w:rPr>
          <w:rFonts w:hint="eastAsia" w:eastAsia="仿宋_GB2312" w:cs="Times New Roman"/>
          <w:color w:val="auto"/>
          <w:kern w:val="2"/>
          <w:sz w:val="32"/>
          <w:szCs w:val="32"/>
          <w:highlight w:val="none"/>
          <w:lang w:val="en-US" w:eastAsia="zh-CN" w:bidi="ar-SA"/>
        </w:rPr>
        <w:t>2023年退休人员交够医疗费年限的人员不再缴纳医疗费</w:t>
      </w:r>
      <w:r>
        <w:rPr>
          <w:rFonts w:hint="eastAsia" w:eastAsia="仿宋_GB2312" w:cs="Times New Roman"/>
          <w:color w:val="auto"/>
          <w:kern w:val="2"/>
          <w:sz w:val="32"/>
          <w:szCs w:val="32"/>
          <w:highlight w:val="none"/>
          <w:lang w:val="zh-CN" w:eastAsia="zh-CN" w:bidi="ar-SA"/>
        </w:rPr>
        <w:t>。</w:t>
      </w:r>
    </w:p>
    <w:p w14:paraId="4761011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6.农林水支出（类）水利（款）水土保持（项）:支出决算数为856.95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29.62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3.58%，主要原因是：</w:t>
      </w:r>
      <w:r>
        <w:rPr>
          <w:rFonts w:hint="eastAsia" w:ascii="仿宋_GB2312" w:eastAsia="仿宋_GB2312"/>
          <w:color w:val="auto"/>
          <w:spacing w:val="0"/>
          <w:sz w:val="32"/>
          <w:szCs w:val="32"/>
          <w:highlight w:val="none"/>
          <w:lang w:val="en-US" w:eastAsia="zh-CN"/>
        </w:rPr>
        <w:t>我单位2023年存在</w:t>
      </w:r>
      <w:r>
        <w:rPr>
          <w:rFonts w:hint="eastAsia" w:ascii="仿宋_GB2312" w:hAnsi="仿宋_GB2312" w:eastAsia="仿宋_GB2312" w:cs="仿宋_GB2312"/>
          <w:sz w:val="32"/>
          <w:szCs w:val="32"/>
        </w:rPr>
        <w:t>年初结转和结余</w:t>
      </w:r>
      <w:r>
        <w:rPr>
          <w:rFonts w:hint="eastAsia" w:ascii="仿宋_GB2312" w:hAnsi="仿宋_GB2312" w:eastAsia="仿宋_GB2312" w:cs="仿宋_GB2312"/>
          <w:sz w:val="32"/>
          <w:szCs w:val="32"/>
          <w:lang w:val="en-US" w:eastAsia="zh-CN"/>
        </w:rPr>
        <w:t>资金</w:t>
      </w:r>
      <w:r>
        <w:rPr>
          <w:rFonts w:hint="eastAsia" w:eastAsia="仿宋_GB2312" w:cs="Times New Roman"/>
          <w:color w:val="auto"/>
          <w:kern w:val="2"/>
          <w:sz w:val="32"/>
          <w:szCs w:val="32"/>
          <w:highlight w:val="none"/>
          <w:lang w:val="zh-CN" w:eastAsia="zh-CN" w:bidi="ar-SA"/>
        </w:rPr>
        <w:t>。</w:t>
      </w:r>
    </w:p>
    <w:p w14:paraId="22A3EFA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7.社会保障和就业支出（类）行政事业单位养老支出（款）机关事业单位基本养老保险缴费支出（项）:支出决算数为41.95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6.25%，主要原因是：</w:t>
      </w:r>
      <w:r>
        <w:rPr>
          <w:rFonts w:hint="eastAsia" w:eastAsia="仿宋_GB2312" w:cs="Times New Roman"/>
          <w:color w:val="auto"/>
          <w:kern w:val="2"/>
          <w:sz w:val="32"/>
          <w:szCs w:val="32"/>
          <w:highlight w:val="none"/>
          <w:lang w:val="en-US" w:eastAsia="zh-CN" w:bidi="ar-SA"/>
        </w:rPr>
        <w:t>2023年在职人员岗位晋升工资增加，</w:t>
      </w:r>
      <w:r>
        <w:rPr>
          <w:rFonts w:hint="eastAsia" w:ascii="Times New Roman" w:hAnsi="Times New Roman" w:eastAsia="仿宋_GB2312" w:cs="Times New Roman"/>
          <w:color w:val="auto"/>
          <w:kern w:val="2"/>
          <w:sz w:val="32"/>
          <w:szCs w:val="32"/>
          <w:highlight w:val="none"/>
          <w:lang w:val="en-US" w:eastAsia="zh-CN" w:bidi="ar-SA"/>
        </w:rPr>
        <w:t>养老</w:t>
      </w:r>
      <w:r>
        <w:rPr>
          <w:rFonts w:hint="eastAsia" w:eastAsia="仿宋_GB2312" w:cs="Times New Roman"/>
          <w:color w:val="auto"/>
          <w:kern w:val="2"/>
          <w:sz w:val="32"/>
          <w:szCs w:val="32"/>
          <w:highlight w:val="none"/>
          <w:lang w:val="en-US" w:eastAsia="zh-CN" w:bidi="ar-SA"/>
        </w:rPr>
        <w:t>保险基数调增</w:t>
      </w:r>
      <w:r>
        <w:rPr>
          <w:rFonts w:hint="eastAsia" w:eastAsia="仿宋_GB2312" w:cs="Times New Roman"/>
          <w:color w:val="auto"/>
          <w:kern w:val="2"/>
          <w:sz w:val="32"/>
          <w:szCs w:val="32"/>
          <w:highlight w:val="none"/>
          <w:lang w:val="zh-CN" w:eastAsia="zh-CN" w:bidi="ar-SA"/>
        </w:rPr>
        <w:t>。</w:t>
      </w:r>
    </w:p>
    <w:p w14:paraId="0001049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4884611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522.27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486.53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基本工资、津贴补贴、奖金、伙食补助费、绩效工资、机关事业单位基本养老保险缴费、职工基本医疗保险缴费、公务员医疗补助缴费、其他社会保障缴费、住房公积金、退休费、其他对个人和家庭的补助。</w:t>
      </w:r>
    </w:p>
    <w:p w14:paraId="4656A3E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35.74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办公费、水费、电费、邮电费、取暖费、物业管理费、差旅费、工会经费、福利费、公务用车运行维护费、其他商品和服务支出。</w:t>
      </w:r>
    </w:p>
    <w:p w14:paraId="0F51C76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4D60B9C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“三公”经费支出1.85万元，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增加0.35万元，增长23.25%，主要原因是：</w:t>
      </w:r>
      <w:r>
        <w:rPr>
          <w:rFonts w:hint="eastAsia" w:ascii="仿宋_GB2312" w:eastAsia="仿宋_GB2312"/>
          <w:color w:val="auto"/>
          <w:sz w:val="32"/>
          <w:szCs w:val="32"/>
          <w:highlight w:val="none"/>
          <w:lang w:val="en-US" w:eastAsia="zh-CN"/>
        </w:rPr>
        <w:t>2023年因业务工作量增大，车辆使用较频繁，车辆因使用年限较长维修成本增大</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hint="eastAsia" w:ascii="仿宋_GB2312" w:eastAsia="仿宋_GB2312"/>
          <w:color w:val="auto"/>
          <w:sz w:val="32"/>
          <w:szCs w:val="32"/>
          <w:highlight w:val="none"/>
          <w:lang w:val="en-US" w:eastAsia="zh-CN"/>
        </w:rPr>
        <w:t>我单位无因公</w:t>
      </w:r>
      <w:r>
        <w:rPr>
          <w:rFonts w:hint="eastAsia" w:ascii="仿宋_GB2312" w:eastAsia="仿宋_GB2312"/>
          <w:color w:val="auto"/>
          <w:sz w:val="32"/>
          <w:szCs w:val="32"/>
          <w:highlight w:val="none"/>
          <w:lang w:val="zh-CN" w:eastAsia="zh-CN"/>
        </w:rPr>
        <w:t>出国（境）费支出；公务用车购置及运行维护费支出1.85万元，占100.00%，比上年增加0.35万元，增长23.25%，主要原因是：：</w:t>
      </w:r>
      <w:r>
        <w:rPr>
          <w:rFonts w:hint="eastAsia" w:ascii="仿宋_GB2312" w:eastAsia="仿宋_GB2312"/>
          <w:color w:val="auto"/>
          <w:sz w:val="32"/>
          <w:szCs w:val="32"/>
          <w:highlight w:val="none"/>
          <w:lang w:val="en-US" w:eastAsia="zh-CN"/>
        </w:rPr>
        <w:t>2023年因业务工作量增大，车辆使用较频繁，车辆因使用年限较长维修成本增大</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公务接待费支出。</w:t>
      </w:r>
    </w:p>
    <w:p w14:paraId="58AF92C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3E69D5D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我单位无因公出国</w:t>
      </w:r>
      <w:r>
        <w:rPr>
          <w:rFonts w:hint="eastAsia" w:ascii="仿宋_GB2312" w:eastAsia="仿宋_GB2312"/>
          <w:color w:val="auto"/>
          <w:sz w:val="32"/>
          <w:szCs w:val="32"/>
          <w:highlight w:val="none"/>
          <w:lang w:val="zh-CN" w:eastAsia="zh-CN"/>
        </w:rPr>
        <w:t>（境）费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。单位全年安排的因公出国（境）团组0个，因公出国（境）0人次。</w:t>
      </w:r>
    </w:p>
    <w:p w14:paraId="383D9F0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1.85万元，其中：公务用车购置费0.00万元，公务用车运行维护费1.85万元。公务用车运行维护费开支内容包括车辆保险费、维修费、停车费、过路费。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14:paraId="68641B0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公务接待费。单位全年安排的国内公务接待0批次，0人次。</w:t>
      </w:r>
    </w:p>
    <w:p w14:paraId="02B41A8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预算数1.85万元，决算数1.85万元，预决算差异率0.00%，主要原因是：</w:t>
      </w:r>
      <w:r>
        <w:rPr>
          <w:rFonts w:hint="eastAsia" w:ascii="仿宋_GB2312" w:eastAsia="仿宋_GB2312"/>
          <w:color w:val="auto"/>
          <w:sz w:val="32"/>
          <w:szCs w:val="32"/>
          <w:highlight w:val="none"/>
          <w:lang w:val="en-US" w:eastAsia="zh-CN"/>
        </w:rPr>
        <w:t>我单位严格按财政要求严控三公经费</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我单位2023年度无</w:t>
      </w:r>
      <w:r>
        <w:rPr>
          <w:rFonts w:hint="eastAsia" w:ascii="仿宋_GB2312" w:eastAsia="仿宋_GB2312"/>
          <w:color w:val="auto"/>
          <w:sz w:val="32"/>
          <w:szCs w:val="32"/>
          <w:highlight w:val="none"/>
          <w:lang w:val="zh-CN" w:eastAsia="zh-CN"/>
        </w:rPr>
        <w:t>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预算数1.85万元，决算数1.85万元，预决算差异率0.00%，主要原因是：</w:t>
      </w:r>
      <w:r>
        <w:rPr>
          <w:rFonts w:hint="eastAsia" w:ascii="仿宋_GB2312" w:eastAsia="仿宋_GB2312"/>
          <w:color w:val="auto"/>
          <w:sz w:val="32"/>
          <w:szCs w:val="32"/>
          <w:highlight w:val="none"/>
          <w:lang w:val="en-US" w:eastAsia="zh-CN"/>
        </w:rPr>
        <w:t>我单位严格按财政要求严控三公经费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我单位2023年无</w:t>
      </w:r>
      <w:r>
        <w:rPr>
          <w:rFonts w:hint="eastAsia" w:ascii="仿宋_GB2312" w:eastAsia="仿宋_GB2312"/>
          <w:color w:val="auto"/>
          <w:sz w:val="32"/>
          <w:szCs w:val="32"/>
          <w:highlight w:val="none"/>
          <w:lang w:val="zh-CN" w:eastAsia="zh-CN"/>
        </w:rPr>
        <w:t>公务接待费。</w:t>
      </w:r>
      <w:bookmarkStart w:id="48" w:name="_GoBack"/>
      <w:bookmarkEnd w:id="48"/>
    </w:p>
    <w:p w14:paraId="478A202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46D88D7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069B369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24C9B11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6032F4A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0486078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23866A0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新疆维吾尔自治区水土保持生态环境监测总站</w:t>
      </w:r>
      <w:r>
        <w:rPr>
          <w:rFonts w:hint="eastAsia" w:ascii="Times New Roman" w:hAnsi="Times New Roman" w:eastAsia="仿宋_GB2312" w:cs="Times New Roman"/>
          <w:color w:val="auto"/>
          <w:sz w:val="32"/>
          <w:szCs w:val="32"/>
          <w:highlight w:val="none"/>
          <w:lang w:val="zh-CN" w:eastAsia="zh-CN"/>
        </w:rPr>
        <w:t>（事业单位）公用经费支出35.74万元，比上年增加8.77万元，增长32.51%，主要原因是：</w:t>
      </w:r>
      <w:r>
        <w:rPr>
          <w:rFonts w:hint="eastAsia" w:eastAsia="仿宋_GB2312" w:cs="Times New Roman"/>
          <w:color w:val="auto"/>
          <w:kern w:val="2"/>
          <w:sz w:val="32"/>
          <w:szCs w:val="32"/>
          <w:highlight w:val="none"/>
          <w:lang w:val="en-US" w:eastAsia="zh-CN" w:bidi="ar-SA"/>
        </w:rPr>
        <w:t>2023年物业管理费，水电费等相关费用增加。</w:t>
      </w:r>
    </w:p>
    <w:p w14:paraId="1895C56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20D8FA7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371.61万元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其中：政府采购货物支出16.44万元、政府采购工程支出0.00万元、政府采购服务支出355.17万元。</w:t>
      </w:r>
    </w:p>
    <w:p w14:paraId="37D1C36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授予中小企业合同金额327.01万元，占政府采购支出总额的88.00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，其中：授予小微企业合同金额326.19万元，占政府采购支出总额的87.78</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0F053B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56F588F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2,467.81</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屋1756.73平方米，价值1,139.40万元。车辆1辆，价值49.80万元，其中：副部（省）级及以上领导用车0辆、主要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en-US" w:eastAsia="zh-CN"/>
        </w:rPr>
        <w:t>水土保持监测车辆</w:t>
      </w:r>
      <w:r>
        <w:rPr>
          <w:rFonts w:hint="eastAsia" w:ascii="Times New Roman" w:hAnsi="Times New Roman" w:eastAsia="仿宋_GB2312" w:cs="Times New Roman"/>
          <w:color w:val="auto"/>
          <w:sz w:val="32"/>
          <w:szCs w:val="32"/>
          <w:highlight w:val="none"/>
          <w:lang w:val="zh-CN" w:eastAsia="zh-CN"/>
        </w:rPr>
        <w:t>；单价100万元（含）以上设备（不含车辆）1</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694CF3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27F9D2B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；我单位整体支出绩效自评表由主管部门编报并公开。</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全年预算数515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全年执行数511.19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完成了2023年自治区级水土流失动态监测任务，全疆水土流失面积832081.3平方公里，较2022年降低了2286.08平方公里，为各级水行政主管部门水土保持目标责任考核提供依据；二是完成了全疆小流域的划分和小流域综合治理规划，明确新疆小流域数量及分布情况，根据不同区域制定水土流失综合治理典型措施，为我区水土保持治理和监督管理提供技术依据。三是持续加强对生产建设项目水土保持监测工作的监管，切实抓好水保方案落地见效。督促建设单位将生产建设项目水土保持相关信息录入全国水土保持信息管理系统；四是根据水利部要求对全疆各级水行政主管部门审批水土保持方案开展质量抽查，强化对水土保持方案编制事中事后监管，切实提升方案质量。强化“放管服”提升水土保持方案质量。组织专班，完成了覆盖全疆14个地州和县市区的235个水土保持方案报告书（表）质量抽查，已面向社会进行了通报，推动了水土保持方案编制质量全面提升；五是于5月开展为期2天的水土保持监测能力提升培训班，面向全疆各地州共计培训150人，通过此次培训，进一步提升了我区水土保持监测和信息化水平；六是完成西白杨沟水土保持国家科技示范园运行维护工作，对降雨大厅、输水管线、宣传牌等进行了维修管护</w:t>
      </w:r>
      <w:r>
        <w:rPr>
          <w:rFonts w:hint="eastAsia" w:ascii="仿宋_GB2312" w:eastAsia="仿宋_GB2312"/>
          <w:color w:val="auto"/>
          <w:sz w:val="32"/>
          <w:szCs w:val="32"/>
          <w:highlight w:val="none"/>
          <w:lang w:val="en-US" w:eastAsia="zh-CN"/>
        </w:rPr>
        <w:t>;七是</w:t>
      </w:r>
      <w:r>
        <w:rPr>
          <w:rFonts w:hint="eastAsia" w:ascii="仿宋_GB2312" w:eastAsia="仿宋_GB2312"/>
          <w:color w:val="auto"/>
          <w:sz w:val="32"/>
          <w:szCs w:val="32"/>
          <w:highlight w:val="none"/>
          <w:lang w:eastAsia="zh-CN"/>
        </w:rPr>
        <w:t>《新疆风力侵蚀监测技术规程》项目以风蚀监测关键技术研究核心，开展了新疆风力侵蚀监测技术规程的编制，完成了《新疆风力侵蚀监测技术规程》的编制；八是完成并规范年度自治区级生产建设项目水土保持方案技术审查工作，按照规定将评审费用应当纳入财政预算，解决涉企收费问题。2023年总站共完成80个生产建设项目水土保持方案报告书，邀请专家进行技术咨询、审查，完成项目支出绩效目标中方案审查数量80个的目标，按照规定将评审费用纳入了财政预算，解决涉企收费，支付评审专家费41.70万元。完成项目支出绩效目标中投资完成率绩效目标；九是开展了水土保持信息化平台建设。（1）对已建水土保持监测站点管理系统进行了升级改造，加入了水土保持定点监测成果展示分析模块，基于监测实时数据、整编数据成果进行了深度分析。（2）对已建新疆水土保持数据综合展示系统进行了升级改造。系统建设完成了水土保持监测、监督、治理等各项业务数据录入模块，水土保持基础图、专题图展示模块，综合一张图展示模块的开发，实现了基于三维空间技术对典型治理工程治理历程、治理措施、治理成效的精细化宣传展示。符合新疆维吾尔自治区水土保持生态环境监测总站的实际需求；十是编制并向社会发布了自治区2022年度水土保持公报和水土流失动态监测年报。发现的问题及原因：一是项目前期工作准备不够充分招投标比计划时间滞后；二是预算阶段测算不够精细准确。下一步改进措施：一是强化预算管理做好预算项目前期谋划准备工作；二是强化对项目事前、事中、事后监管，切实提升预算编制及项目执行质量。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1AFF581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09FE3FB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48983CD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46A0C3A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3A521E3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09DD610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312B1C6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116C2CC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214C8C1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31A5B9F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652451D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14D30E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7A78195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6A032AF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61AF352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60B1652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3D3E1FA2">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0C22E5A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0AAF622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61FD592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36562E7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52166F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453FF5D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1FFEB6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6705204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48498A0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007928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5A1D136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2546D24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3CD9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2C9049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2C9049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2MjYwMGE2MDc2YTIzMjY1M2JlNjI5Y2NkODdlZTkifQ=="/>
    <w:docVar w:name="KSO_WPS_MARK_KEY" w:val="41ee2a61-2d54-4f93-83be-afdb9a40d732"/>
  </w:docVars>
  <w:rsids>
    <w:rsidRoot w:val="00000000"/>
    <w:rsid w:val="00213C59"/>
    <w:rsid w:val="003210CE"/>
    <w:rsid w:val="00B70D59"/>
    <w:rsid w:val="00F52A8D"/>
    <w:rsid w:val="019404F8"/>
    <w:rsid w:val="024A6FE9"/>
    <w:rsid w:val="02BD3108"/>
    <w:rsid w:val="02F73D26"/>
    <w:rsid w:val="034D4FEF"/>
    <w:rsid w:val="035D1785"/>
    <w:rsid w:val="039F47CE"/>
    <w:rsid w:val="03E05CE8"/>
    <w:rsid w:val="03F973EE"/>
    <w:rsid w:val="043E5B56"/>
    <w:rsid w:val="04C04386"/>
    <w:rsid w:val="04FA68C4"/>
    <w:rsid w:val="053F5AE6"/>
    <w:rsid w:val="057C0B0F"/>
    <w:rsid w:val="05EF4B48"/>
    <w:rsid w:val="05F76ECA"/>
    <w:rsid w:val="06581AF4"/>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02858"/>
    <w:rsid w:val="0BE97AC1"/>
    <w:rsid w:val="0C1C4780"/>
    <w:rsid w:val="0C3613A3"/>
    <w:rsid w:val="0C5E519C"/>
    <w:rsid w:val="0C7227A7"/>
    <w:rsid w:val="0CA52EE8"/>
    <w:rsid w:val="0CBD6988"/>
    <w:rsid w:val="0CD208AC"/>
    <w:rsid w:val="0D4903E8"/>
    <w:rsid w:val="0D7A4A46"/>
    <w:rsid w:val="0E2C734E"/>
    <w:rsid w:val="0E640559"/>
    <w:rsid w:val="0F1113DA"/>
    <w:rsid w:val="0F78534A"/>
    <w:rsid w:val="0F89358A"/>
    <w:rsid w:val="0F8C6D51"/>
    <w:rsid w:val="105B0B5E"/>
    <w:rsid w:val="106B12EF"/>
    <w:rsid w:val="112E58D0"/>
    <w:rsid w:val="11731CAC"/>
    <w:rsid w:val="119500A0"/>
    <w:rsid w:val="11C0733B"/>
    <w:rsid w:val="11D50D17"/>
    <w:rsid w:val="120E0809"/>
    <w:rsid w:val="127F665A"/>
    <w:rsid w:val="128C77F4"/>
    <w:rsid w:val="12F7068C"/>
    <w:rsid w:val="14207DC0"/>
    <w:rsid w:val="149B08DC"/>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7D57ADA"/>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796AC8"/>
    <w:rsid w:val="1DAF458D"/>
    <w:rsid w:val="1E086ACE"/>
    <w:rsid w:val="1E62130A"/>
    <w:rsid w:val="1E97358B"/>
    <w:rsid w:val="1EAA4A5F"/>
    <w:rsid w:val="1EE869A7"/>
    <w:rsid w:val="1FA15E62"/>
    <w:rsid w:val="1FED69B6"/>
    <w:rsid w:val="20000937"/>
    <w:rsid w:val="2064678E"/>
    <w:rsid w:val="20DC1AB9"/>
    <w:rsid w:val="20DD6197"/>
    <w:rsid w:val="212631E0"/>
    <w:rsid w:val="21A53757"/>
    <w:rsid w:val="21F704B4"/>
    <w:rsid w:val="221236C6"/>
    <w:rsid w:val="22D7662C"/>
    <w:rsid w:val="23326B7F"/>
    <w:rsid w:val="2380045B"/>
    <w:rsid w:val="23BC04D2"/>
    <w:rsid w:val="23EF1892"/>
    <w:rsid w:val="2483647E"/>
    <w:rsid w:val="24A32D55"/>
    <w:rsid w:val="25292727"/>
    <w:rsid w:val="252E5CA9"/>
    <w:rsid w:val="256F7692"/>
    <w:rsid w:val="25BA2154"/>
    <w:rsid w:val="25C8773F"/>
    <w:rsid w:val="26040EF9"/>
    <w:rsid w:val="264A7253"/>
    <w:rsid w:val="26F0170C"/>
    <w:rsid w:val="27201D62"/>
    <w:rsid w:val="27286E73"/>
    <w:rsid w:val="27CF2642"/>
    <w:rsid w:val="27E777F5"/>
    <w:rsid w:val="27EA1D4C"/>
    <w:rsid w:val="27EA2E41"/>
    <w:rsid w:val="282459E2"/>
    <w:rsid w:val="28285877"/>
    <w:rsid w:val="283A7FE5"/>
    <w:rsid w:val="285F51FF"/>
    <w:rsid w:val="28DF2665"/>
    <w:rsid w:val="29072599"/>
    <w:rsid w:val="291029F3"/>
    <w:rsid w:val="29CB58F0"/>
    <w:rsid w:val="2A053397"/>
    <w:rsid w:val="2A145E96"/>
    <w:rsid w:val="2AF5378F"/>
    <w:rsid w:val="2AFC4894"/>
    <w:rsid w:val="2BB94DBF"/>
    <w:rsid w:val="2BF80B16"/>
    <w:rsid w:val="2C6F314E"/>
    <w:rsid w:val="2CC206BE"/>
    <w:rsid w:val="2D1136DF"/>
    <w:rsid w:val="2D20606D"/>
    <w:rsid w:val="2DB87198"/>
    <w:rsid w:val="2DB93C54"/>
    <w:rsid w:val="2E3D144C"/>
    <w:rsid w:val="2E685404"/>
    <w:rsid w:val="2E891204"/>
    <w:rsid w:val="2F3F0A28"/>
    <w:rsid w:val="2FBF7029"/>
    <w:rsid w:val="2FD0187F"/>
    <w:rsid w:val="2FD27414"/>
    <w:rsid w:val="2FFE4BB0"/>
    <w:rsid w:val="300E7B60"/>
    <w:rsid w:val="300F6E18"/>
    <w:rsid w:val="30862F5F"/>
    <w:rsid w:val="314029C9"/>
    <w:rsid w:val="31C63837"/>
    <w:rsid w:val="31C82E39"/>
    <w:rsid w:val="321D3A6E"/>
    <w:rsid w:val="32601BAD"/>
    <w:rsid w:val="329F6389"/>
    <w:rsid w:val="32A31916"/>
    <w:rsid w:val="3389023A"/>
    <w:rsid w:val="33CB74FA"/>
    <w:rsid w:val="343642F2"/>
    <w:rsid w:val="343F3010"/>
    <w:rsid w:val="345D0A00"/>
    <w:rsid w:val="34713BFD"/>
    <w:rsid w:val="34C13589"/>
    <w:rsid w:val="353369E3"/>
    <w:rsid w:val="35E00D72"/>
    <w:rsid w:val="36965B9D"/>
    <w:rsid w:val="36C549FD"/>
    <w:rsid w:val="371C29AF"/>
    <w:rsid w:val="372E1484"/>
    <w:rsid w:val="37A755DD"/>
    <w:rsid w:val="37F94FA0"/>
    <w:rsid w:val="380D3381"/>
    <w:rsid w:val="38115B1F"/>
    <w:rsid w:val="385A5050"/>
    <w:rsid w:val="385E3AC3"/>
    <w:rsid w:val="387D6B9E"/>
    <w:rsid w:val="38B75FF0"/>
    <w:rsid w:val="38D45016"/>
    <w:rsid w:val="38D90432"/>
    <w:rsid w:val="3914510A"/>
    <w:rsid w:val="3926770B"/>
    <w:rsid w:val="398D3668"/>
    <w:rsid w:val="39DA0497"/>
    <w:rsid w:val="3A893816"/>
    <w:rsid w:val="3A893B6D"/>
    <w:rsid w:val="3ACA050B"/>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A25D3E"/>
    <w:rsid w:val="41CE128F"/>
    <w:rsid w:val="41DA6F12"/>
    <w:rsid w:val="42171FB1"/>
    <w:rsid w:val="434E6957"/>
    <w:rsid w:val="43BA0E31"/>
    <w:rsid w:val="43C15147"/>
    <w:rsid w:val="43E14DD2"/>
    <w:rsid w:val="43F800E9"/>
    <w:rsid w:val="443A7E4B"/>
    <w:rsid w:val="452F5B3A"/>
    <w:rsid w:val="454E7FD2"/>
    <w:rsid w:val="4598621A"/>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5118C"/>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049FE"/>
    <w:rsid w:val="56FF28AF"/>
    <w:rsid w:val="57540E7D"/>
    <w:rsid w:val="577B4878"/>
    <w:rsid w:val="57926973"/>
    <w:rsid w:val="58175352"/>
    <w:rsid w:val="581F2200"/>
    <w:rsid w:val="583059FA"/>
    <w:rsid w:val="584A0929"/>
    <w:rsid w:val="58CD2491"/>
    <w:rsid w:val="591B41B2"/>
    <w:rsid w:val="59254A26"/>
    <w:rsid w:val="59326325"/>
    <w:rsid w:val="59561490"/>
    <w:rsid w:val="595C505B"/>
    <w:rsid w:val="595E55C3"/>
    <w:rsid w:val="596E7E20"/>
    <w:rsid w:val="5A1C4D49"/>
    <w:rsid w:val="5A60780B"/>
    <w:rsid w:val="5AB34579"/>
    <w:rsid w:val="5AFC6609"/>
    <w:rsid w:val="5B113480"/>
    <w:rsid w:val="5BB2427F"/>
    <w:rsid w:val="5BD456CE"/>
    <w:rsid w:val="5C027DA6"/>
    <w:rsid w:val="5C0D1F49"/>
    <w:rsid w:val="5CBB0CE2"/>
    <w:rsid w:val="5CC17177"/>
    <w:rsid w:val="5CE9261B"/>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526DA7"/>
    <w:rsid w:val="64D6010D"/>
    <w:rsid w:val="64D82665"/>
    <w:rsid w:val="64E47C96"/>
    <w:rsid w:val="651E5741"/>
    <w:rsid w:val="65497BF4"/>
    <w:rsid w:val="658A4877"/>
    <w:rsid w:val="65A00902"/>
    <w:rsid w:val="65AC6EDD"/>
    <w:rsid w:val="65D97752"/>
    <w:rsid w:val="66085536"/>
    <w:rsid w:val="66105BF7"/>
    <w:rsid w:val="66150023"/>
    <w:rsid w:val="6628010D"/>
    <w:rsid w:val="669B4528"/>
    <w:rsid w:val="66CC12D7"/>
    <w:rsid w:val="67134CEF"/>
    <w:rsid w:val="671F1ABD"/>
    <w:rsid w:val="67521A59"/>
    <w:rsid w:val="67C304AB"/>
    <w:rsid w:val="67D16185"/>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0FC7B49"/>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A8473F"/>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C05D01"/>
    <w:rsid w:val="7CD752DA"/>
    <w:rsid w:val="7CDE40AB"/>
    <w:rsid w:val="7CF057E2"/>
    <w:rsid w:val="7D1548B5"/>
    <w:rsid w:val="7DF84014"/>
    <w:rsid w:val="7E207949"/>
    <w:rsid w:val="7E5C0A47"/>
    <w:rsid w:val="7E670C75"/>
    <w:rsid w:val="7EE24272"/>
    <w:rsid w:val="7EE70736"/>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6031</Words>
  <Characters>6762</Characters>
  <Lines>0</Lines>
  <Paragraphs>0</Paragraphs>
  <TotalTime>23</TotalTime>
  <ScaleCrop>false</ScaleCrop>
  <LinksUpToDate>false</LinksUpToDate>
  <CharactersWithSpaces>6773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2024-09-03T04:46:46Z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