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898E5">
      <w:pPr>
        <w:pStyle w:val="7"/>
        <w:pageBreakBefore w:val="0"/>
        <w:kinsoku/>
        <w:wordWrap/>
        <w:overflowPunct/>
        <w:topLinePunct w:val="0"/>
        <w:bidi w:val="0"/>
        <w:adjustRightInd/>
        <w:jc w:val="both"/>
        <w:textAlignment w:val="top"/>
        <w:rPr>
          <w:rFonts w:hint="default" w:ascii="Times New Roman" w:hAnsi="Times New Roman" w:cs="Times New Roman"/>
          <w:sz w:val="32"/>
          <w:szCs w:val="32"/>
          <w:highlight w:val="none"/>
        </w:rPr>
      </w:pPr>
    </w:p>
    <w:p w14:paraId="6FE16A5C">
      <w:pPr>
        <w:keepNext w:val="0"/>
        <w:keepLines w:val="0"/>
        <w:pageBreakBefore w:val="0"/>
        <w:widowControl w:val="0"/>
        <w:kinsoku/>
        <w:wordWrap/>
        <w:overflowPunct/>
        <w:topLinePunct w:val="0"/>
        <w:bidi w:val="0"/>
        <w:adjustRightInd/>
        <w:snapToGrid/>
        <w:spacing w:line="240" w:lineRule="auto"/>
        <w:jc w:val="both"/>
        <w:textAlignment w:val="top"/>
        <w:rPr>
          <w:rFonts w:hint="default" w:ascii="Times New Roman" w:hAnsi="Times New Roman" w:eastAsia="方正小标宋_GBK" w:cs="Times New Roman"/>
          <w:color w:val="auto"/>
          <w:sz w:val="32"/>
          <w:szCs w:val="32"/>
          <w:highlight w:val="none"/>
        </w:rPr>
      </w:pPr>
    </w:p>
    <w:p w14:paraId="24BEC7DB">
      <w:pPr>
        <w:keepNext w:val="0"/>
        <w:keepLines w:val="0"/>
        <w:pageBreakBefore w:val="0"/>
        <w:widowControl w:val="0"/>
        <w:kinsoku/>
        <w:wordWrap/>
        <w:overflowPunct/>
        <w:topLinePunct w:val="0"/>
        <w:bidi w:val="0"/>
        <w:adjustRightInd/>
        <w:snapToGrid/>
        <w:spacing w:line="240" w:lineRule="auto"/>
        <w:jc w:val="center"/>
        <w:textAlignment w:val="top"/>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新疆维吾尔自治区水利厅机关服务中心</w:t>
      </w:r>
    </w:p>
    <w:p w14:paraId="7F2F0B8B">
      <w:pPr>
        <w:keepNext w:val="0"/>
        <w:keepLines w:val="0"/>
        <w:pageBreakBefore w:val="0"/>
        <w:widowControl w:val="0"/>
        <w:kinsoku/>
        <w:wordWrap/>
        <w:overflowPunct/>
        <w:topLinePunct w:val="0"/>
        <w:bidi w:val="0"/>
        <w:adjustRightInd/>
        <w:snapToGrid/>
        <w:spacing w:line="240" w:lineRule="auto"/>
        <w:jc w:val="center"/>
        <w:textAlignment w:val="top"/>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2023年度</w:t>
      </w:r>
      <w:r>
        <w:rPr>
          <w:rFonts w:hint="default" w:ascii="Times New Roman" w:hAnsi="Times New Roman" w:eastAsia="方正小标宋_GBK" w:cs="Times New Roman"/>
          <w:color w:val="auto"/>
          <w:sz w:val="44"/>
          <w:szCs w:val="44"/>
          <w:highlight w:val="none"/>
        </w:rPr>
        <w:t>部门决算</w:t>
      </w:r>
    </w:p>
    <w:p w14:paraId="3B0A47C3">
      <w:pPr>
        <w:keepNext w:val="0"/>
        <w:keepLines w:val="0"/>
        <w:pageBreakBefore w:val="0"/>
        <w:widowControl w:val="0"/>
        <w:kinsoku/>
        <w:wordWrap/>
        <w:overflowPunct/>
        <w:topLinePunct w:val="0"/>
        <w:bidi w:val="0"/>
        <w:adjustRightInd/>
        <w:snapToGrid/>
        <w:spacing w:line="240" w:lineRule="auto"/>
        <w:jc w:val="center"/>
        <w:textAlignment w:val="top"/>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44"/>
          <w:szCs w:val="44"/>
          <w:highlight w:val="none"/>
        </w:rPr>
        <w:t>公开说明</w:t>
      </w:r>
    </w:p>
    <w:p w14:paraId="577348FD">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方正小标宋_GBK" w:cs="Times New Roman"/>
          <w:b/>
          <w:bCs w:val="0"/>
          <w:color w:val="auto"/>
          <w:kern w:val="0"/>
          <w:sz w:val="32"/>
          <w:szCs w:val="32"/>
          <w:highlight w:val="none"/>
        </w:rPr>
        <w:sectPr>
          <w:pgSz w:w="11906" w:h="16838"/>
          <w:pgMar w:top="2098" w:right="1587" w:bottom="1984" w:left="1587" w:header="851" w:footer="992" w:gutter="0"/>
          <w:pgNumType w:fmt="decimal"/>
          <w:cols w:space="720" w:num="1"/>
          <w:rtlGutter w:val="0"/>
          <w:docGrid w:type="lines" w:linePitch="312" w:charSpace="0"/>
        </w:sectPr>
      </w:pPr>
    </w:p>
    <w:p w14:paraId="2276FF94">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top"/>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目  录</w:t>
      </w:r>
    </w:p>
    <w:p w14:paraId="4212FD17">
      <w:pPr>
        <w:pStyle w:val="1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648211A7">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490D6A3E">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0A901A5C">
      <w:pPr>
        <w:pStyle w:val="1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4717E764">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01B5B468">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5D9852DE">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359123DE">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0B9D836A">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62EE2BE5">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4798CBC2">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38E96BFA">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6B2215D4">
      <w:pPr>
        <w:keepNext w:val="0"/>
        <w:keepLines w:val="0"/>
        <w:pageBreakBefore w:val="0"/>
        <w:kinsoku/>
        <w:wordWrap/>
        <w:overflowPunct/>
        <w:topLinePunct w:val="0"/>
        <w:bidi w:val="0"/>
        <w:adjustRightInd/>
        <w:spacing w:line="560" w:lineRule="exact"/>
        <w:jc w:val="both"/>
        <w:textAlignment w:val="top"/>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70BA337A">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4467514A">
      <w:pPr>
        <w:pStyle w:val="9"/>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3D825C53">
      <w:pPr>
        <w:pStyle w:val="9"/>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41F3C8AE">
      <w:pPr>
        <w:pStyle w:val="9"/>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248C47A5">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3FDE88C0">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033E2BAB">
      <w:pPr>
        <w:pStyle w:val="1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0B039446">
      <w:pPr>
        <w:pStyle w:val="1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
          <w:bCs/>
          <w:color w:val="auto"/>
          <w:sz w:val="32"/>
          <w:szCs w:val="32"/>
          <w:highlight w:val="none"/>
        </w:rPr>
      </w:pPr>
    </w:p>
    <w:p w14:paraId="0F6DB8A7">
      <w:pPr>
        <w:pStyle w:val="1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
          <w:bCs/>
          <w:color w:val="auto"/>
          <w:sz w:val="32"/>
          <w:szCs w:val="32"/>
          <w:highlight w:val="none"/>
        </w:rPr>
        <w:sectPr>
          <w:footerReference r:id="rId3" w:type="default"/>
          <w:pgSz w:w="11906" w:h="16838"/>
          <w:pgMar w:top="2098" w:right="1587" w:bottom="1984" w:left="1587" w:header="851" w:footer="992" w:gutter="0"/>
          <w:pgNumType w:fmt="decimal" w:start="1"/>
          <w:cols w:space="0" w:num="1"/>
          <w:rtlGutter w:val="0"/>
          <w:docGrid w:type="lines" w:linePitch="312" w:charSpace="0"/>
        </w:sectPr>
      </w:pPr>
    </w:p>
    <w:p w14:paraId="46B3E3AD">
      <w:pPr>
        <w:pStyle w:val="1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36384831">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15F873FB">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5B334643">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2685D435">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20010F12">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5E959219">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18A79D4B">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三公</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经费支出决算表》</w:t>
      </w:r>
      <w:r>
        <w:rPr>
          <w:rFonts w:hint="default" w:ascii="Times New Roman" w:hAnsi="Times New Roman" w:eastAsia="仿宋_GB2312" w:cs="Times New Roman"/>
          <w:color w:val="auto"/>
          <w:sz w:val="32"/>
          <w:szCs w:val="32"/>
          <w:highlight w:val="none"/>
        </w:rPr>
        <w:fldChar w:fldCharType="end"/>
      </w:r>
    </w:p>
    <w:p w14:paraId="560A6F46">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34AC1B7D">
      <w:pPr>
        <w:pStyle w:val="1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3DA20A0D">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top"/>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end"/>
      </w:r>
    </w:p>
    <w:p w14:paraId="525D17D8">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top"/>
        <w:outlineLvl w:val="0"/>
        <w:rPr>
          <w:rFonts w:hint="default" w:ascii="Times New Roman" w:hAnsi="Times New Roman" w:eastAsia="黑体" w:cs="Times New Roman"/>
          <w:color w:val="auto"/>
          <w:sz w:val="32"/>
          <w:szCs w:val="32"/>
          <w:highlight w:val="none"/>
        </w:rPr>
        <w:sectPr>
          <w:footerReference r:id="rId4" w:type="default"/>
          <w:pgSz w:w="11906" w:h="16838"/>
          <w:pgMar w:top="2098" w:right="1587" w:bottom="1984" w:left="1587" w:header="851" w:footer="992" w:gutter="0"/>
          <w:pgNumType w:fmt="decimal" w:start="1"/>
          <w:cols w:space="0" w:num="1"/>
          <w:rtlGutter w:val="0"/>
          <w:docGrid w:type="lines" w:linePitch="312" w:charSpace="0"/>
        </w:sectPr>
      </w:pPr>
      <w:bookmarkStart w:id="0" w:name="_Toc24028"/>
      <w:bookmarkStart w:id="1" w:name="_Toc32314"/>
    </w:p>
    <w:p w14:paraId="656409B2">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top"/>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25A7C38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14:paraId="3C5616DD">
      <w:pPr>
        <w:keepNext w:val="0"/>
        <w:keepLines w:val="0"/>
        <w:pageBreakBefore w:val="0"/>
        <w:kinsoku/>
        <w:wordWrap/>
        <w:overflowPunct/>
        <w:topLinePunct w:val="0"/>
        <w:bidi w:val="0"/>
        <w:adjustRightInd/>
        <w:snapToGrid w:val="0"/>
        <w:spacing w:line="560" w:lineRule="exact"/>
        <w:ind w:firstLine="640" w:firstLineChars="200"/>
        <w:jc w:val="both"/>
        <w:textAlignment w:val="top"/>
        <w:rPr>
          <w:rFonts w:hint="default" w:ascii="Times New Roman" w:hAnsi="Times New Roman" w:eastAsia="仿宋_GB2312" w:cs="Times New Roman"/>
          <w:sz w:val="32"/>
          <w:szCs w:val="32"/>
          <w:highlight w:val="none"/>
          <w:u w:val="thick"/>
        </w:rPr>
      </w:pPr>
      <w:bookmarkStart w:id="4" w:name="_Toc31238"/>
      <w:bookmarkStart w:id="5" w:name="_Toc2151"/>
      <w:r>
        <w:rPr>
          <w:rFonts w:hint="default" w:ascii="Times New Roman" w:hAnsi="Times New Roman" w:eastAsia="仿宋_GB2312" w:cs="Times New Roman"/>
          <w:sz w:val="32"/>
          <w:szCs w:val="32"/>
          <w:highlight w:val="none"/>
        </w:rPr>
        <w:t>水利厅机关服务中心主要职责是</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以为厅机关服务为宗旨，为厅机关职能活动高效、有序运转提供各项后勤服务保障。主要</w:t>
      </w:r>
      <w:r>
        <w:rPr>
          <w:rFonts w:hint="default" w:ascii="Times New Roman" w:hAnsi="Times New Roman" w:eastAsia="仿宋_GB2312" w:cs="Times New Roman"/>
          <w:sz w:val="32"/>
          <w:szCs w:val="32"/>
          <w:highlight w:val="none"/>
          <w:lang w:val="en-US" w:eastAsia="zh-CN"/>
        </w:rPr>
        <w:t>负责水利厅机关食堂的管理、安全生产、消防、</w:t>
      </w:r>
      <w:r>
        <w:rPr>
          <w:rFonts w:hint="default" w:ascii="Times New Roman" w:hAnsi="Times New Roman" w:eastAsia="仿宋_GB2312" w:cs="Times New Roman"/>
          <w:sz w:val="32"/>
          <w:szCs w:val="32"/>
          <w:highlight w:val="none"/>
        </w:rPr>
        <w:t>厅机关维修</w:t>
      </w:r>
      <w:r>
        <w:rPr>
          <w:rFonts w:hint="default" w:ascii="Times New Roman" w:hAnsi="Times New Roman" w:eastAsia="仿宋_GB2312" w:cs="Times New Roman"/>
          <w:sz w:val="32"/>
          <w:szCs w:val="32"/>
          <w:highlight w:val="none"/>
          <w:lang w:val="en-US" w:eastAsia="zh-CN"/>
        </w:rPr>
        <w:t>项目的实施、</w:t>
      </w:r>
      <w:r>
        <w:rPr>
          <w:rFonts w:hint="default" w:ascii="Times New Roman" w:hAnsi="Times New Roman" w:eastAsia="仿宋_GB2312" w:cs="Times New Roman"/>
          <w:sz w:val="32"/>
          <w:szCs w:val="32"/>
          <w:highlight w:val="none"/>
        </w:rPr>
        <w:t>公用</w:t>
      </w:r>
      <w:r>
        <w:rPr>
          <w:rFonts w:hint="default" w:ascii="Times New Roman" w:hAnsi="Times New Roman" w:eastAsia="仿宋_GB2312" w:cs="Times New Roman"/>
          <w:sz w:val="32"/>
          <w:szCs w:val="32"/>
          <w:highlight w:val="none"/>
          <w:lang w:val="en-US" w:eastAsia="zh-CN"/>
        </w:rPr>
        <w:t>设施</w:t>
      </w:r>
      <w:r>
        <w:rPr>
          <w:rFonts w:hint="default" w:ascii="Times New Roman" w:hAnsi="Times New Roman" w:eastAsia="仿宋_GB2312" w:cs="Times New Roman"/>
          <w:sz w:val="32"/>
          <w:szCs w:val="32"/>
          <w:highlight w:val="none"/>
        </w:rPr>
        <w:t>的管护</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大院的绿化、环境卫生、计划生育等工作；</w:t>
      </w:r>
      <w:r>
        <w:rPr>
          <w:rFonts w:hint="default" w:ascii="Times New Roman" w:hAnsi="Times New Roman" w:eastAsia="仿宋_GB2312" w:cs="Times New Roman"/>
          <w:sz w:val="32"/>
          <w:szCs w:val="32"/>
          <w:highlight w:val="none"/>
        </w:rPr>
        <w:t>承担水利厅机关</w:t>
      </w:r>
      <w:r>
        <w:rPr>
          <w:rFonts w:hint="default" w:ascii="Times New Roman" w:hAnsi="Times New Roman" w:eastAsia="仿宋_GB2312" w:cs="Times New Roman"/>
          <w:sz w:val="32"/>
          <w:szCs w:val="32"/>
          <w:highlight w:val="none"/>
          <w:lang w:val="en-US" w:eastAsia="zh-CN"/>
        </w:rPr>
        <w:t>委托</w:t>
      </w:r>
      <w:r>
        <w:rPr>
          <w:rFonts w:hint="default" w:ascii="Times New Roman" w:hAnsi="Times New Roman" w:eastAsia="仿宋_GB2312" w:cs="Times New Roman"/>
          <w:sz w:val="32"/>
          <w:szCs w:val="32"/>
          <w:highlight w:val="none"/>
        </w:rPr>
        <w:t>的国有资产管理</w:t>
      </w:r>
      <w:r>
        <w:rPr>
          <w:rFonts w:hint="default" w:ascii="Times New Roman" w:hAnsi="Times New Roman" w:eastAsia="仿宋_GB2312" w:cs="Times New Roman"/>
          <w:sz w:val="32"/>
          <w:szCs w:val="32"/>
          <w:highlight w:val="none"/>
          <w:lang w:val="en-US" w:eastAsia="zh-CN"/>
        </w:rPr>
        <w:t>及厅系统资产处置</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承担</w:t>
      </w:r>
      <w:r>
        <w:rPr>
          <w:rFonts w:hint="default" w:ascii="Times New Roman" w:hAnsi="Times New Roman" w:eastAsia="仿宋_GB2312" w:cs="Times New Roman"/>
          <w:sz w:val="32"/>
          <w:szCs w:val="32"/>
          <w:highlight w:val="none"/>
        </w:rPr>
        <w:t>水利厅机关节能</w:t>
      </w:r>
      <w:r>
        <w:rPr>
          <w:rFonts w:hint="default" w:ascii="Times New Roman" w:hAnsi="Times New Roman" w:eastAsia="仿宋_GB2312" w:cs="Times New Roman"/>
          <w:sz w:val="32"/>
          <w:szCs w:val="32"/>
          <w:highlight w:val="none"/>
          <w:lang w:val="en-US" w:eastAsia="zh-CN"/>
        </w:rPr>
        <w:t>节水工作，负责</w:t>
      </w:r>
      <w:r>
        <w:rPr>
          <w:rFonts w:hint="default" w:ascii="Times New Roman" w:hAnsi="Times New Roman" w:eastAsia="仿宋_GB2312" w:cs="Times New Roman"/>
          <w:sz w:val="32"/>
          <w:szCs w:val="32"/>
          <w:highlight w:val="none"/>
        </w:rPr>
        <w:t>水利厅大院及办公用水</w:t>
      </w:r>
      <w:r>
        <w:rPr>
          <w:rFonts w:hint="default" w:ascii="Times New Roman" w:hAnsi="Times New Roman" w:eastAsia="仿宋_GB2312" w:cs="Times New Roman"/>
          <w:sz w:val="32"/>
          <w:szCs w:val="32"/>
          <w:highlight w:val="none"/>
          <w:lang w:val="en-US" w:eastAsia="zh-CN"/>
        </w:rPr>
        <w:t>用</w:t>
      </w:r>
      <w:r>
        <w:rPr>
          <w:rFonts w:hint="default" w:ascii="Times New Roman" w:hAnsi="Times New Roman" w:eastAsia="仿宋_GB2312" w:cs="Times New Roman"/>
          <w:sz w:val="32"/>
          <w:szCs w:val="32"/>
          <w:highlight w:val="none"/>
        </w:rPr>
        <w:t>电的保障及代收代缴</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机关大院的车辆停放等工作</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监督厅大院物业公司及安保公司服务工作，</w:t>
      </w:r>
      <w:r>
        <w:rPr>
          <w:rFonts w:hint="default" w:ascii="Times New Roman" w:hAnsi="Times New Roman" w:eastAsia="仿宋_GB2312" w:cs="Times New Roman"/>
          <w:sz w:val="32"/>
          <w:szCs w:val="32"/>
          <w:highlight w:val="none"/>
        </w:rPr>
        <w:t>承办水利厅、自治区机关事务管理局等业务主管部门下达的其他工作。负责社区的业务联系等社会事务工作。</w:t>
      </w:r>
    </w:p>
    <w:p w14:paraId="2976F3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677475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新疆维吾尔自治区水利厅机关服务中心</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34</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16</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18</w:t>
      </w:r>
      <w:r>
        <w:rPr>
          <w:rFonts w:hint="default" w:ascii="Times New Roman" w:hAnsi="Times New Roman" w:eastAsia="仿宋_GB2312" w:cs="Times New Roman"/>
          <w:color w:val="auto"/>
          <w:sz w:val="32"/>
          <w:szCs w:val="32"/>
          <w:highlight w:val="none"/>
        </w:rPr>
        <w:t>人。</w:t>
      </w:r>
    </w:p>
    <w:p w14:paraId="615DD254">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0"/>
          <w:sz w:val="32"/>
          <w:szCs w:val="32"/>
          <w:highlight w:val="none"/>
        </w:rPr>
        <w:sectPr>
          <w:footerReference r:id="rId5" w:type="default"/>
          <w:pgSz w:w="11906" w:h="16838"/>
          <w:pgMar w:top="2098" w:right="1587" w:bottom="1984" w:left="1587" w:header="851" w:footer="992" w:gutter="0"/>
          <w:pgNumType w:fmt="decimal" w:start="1"/>
          <w:cols w:space="0" w:num="1"/>
          <w:rtlGutter w:val="0"/>
          <w:docGrid w:type="lines" w:linePitch="312" w:charSpace="0"/>
        </w:sect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auto"/>
          <w:sz w:val="32"/>
          <w:szCs w:val="32"/>
          <w:highlight w:val="none"/>
          <w:lang w:val="en-US" w:eastAsia="zh-CN"/>
        </w:rPr>
        <w:t>五</w:t>
      </w:r>
      <w:r>
        <w:rPr>
          <w:rFonts w:hint="default" w:ascii="Times New Roman" w:hAnsi="Times New Roman" w:eastAsia="仿宋_GB2312" w:cs="Times New Roman"/>
          <w:bCs/>
          <w:color w:val="auto"/>
          <w:kern w:val="0"/>
          <w:sz w:val="32"/>
          <w:szCs w:val="32"/>
          <w:highlight w:val="none"/>
        </w:rPr>
        <w:t>个</w:t>
      </w:r>
      <w:r>
        <w:rPr>
          <w:rFonts w:hint="default" w:ascii="Times New Roman" w:hAnsi="Times New Roman" w:eastAsia="仿宋_GB2312" w:cs="Times New Roman"/>
          <w:bCs/>
          <w:color w:val="auto"/>
          <w:kern w:val="0"/>
          <w:sz w:val="32"/>
          <w:szCs w:val="32"/>
          <w:highlight w:val="none"/>
          <w:lang w:val="en-US" w:eastAsia="zh-CN"/>
        </w:rPr>
        <w:t>科</w:t>
      </w:r>
      <w:r>
        <w:rPr>
          <w:rFonts w:hint="default" w:ascii="Times New Roman" w:hAnsi="Times New Roman" w:eastAsia="仿宋_GB2312" w:cs="Times New Roman"/>
          <w:bCs/>
          <w:color w:val="auto"/>
          <w:kern w:val="0"/>
          <w:sz w:val="32"/>
          <w:szCs w:val="32"/>
          <w:highlight w:val="none"/>
        </w:rPr>
        <w:t>室，分别是：综合科、财务科、经营科、物业管理科、内保科</w:t>
      </w:r>
      <w:r>
        <w:rPr>
          <w:rFonts w:hint="default" w:ascii="Times New Roman" w:hAnsi="Times New Roman" w:eastAsia="仿宋_GB2312" w:cs="Times New Roman"/>
          <w:color w:val="auto"/>
          <w:kern w:val="0"/>
          <w:sz w:val="32"/>
          <w:szCs w:val="32"/>
          <w:highlight w:val="none"/>
        </w:rPr>
        <w:t>。</w:t>
      </w:r>
    </w:p>
    <w:p w14:paraId="58C39B90">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top"/>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44A863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57654A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1,936.95万元，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1,514.29万元，使用非财政拨款结余69.46万元，年初结转和结余353.19万元。</w:t>
      </w:r>
    </w:p>
    <w:p w14:paraId="3199C0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1,936.95万元，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1,817.42万元，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0.00万元，年末结转和结余119.53万元。</w:t>
      </w:r>
    </w:p>
    <w:p w14:paraId="7BE8CA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增加886.84万元</w:t>
      </w:r>
      <w:r>
        <w:rPr>
          <w:rFonts w:hint="default" w:ascii="Times New Roman" w:hAnsi="Times New Roman" w:eastAsia="仿宋_GB2312" w:cs="Times New Roman"/>
          <w:color w:val="auto"/>
          <w:spacing w:val="0"/>
          <w:sz w:val="32"/>
          <w:szCs w:val="32"/>
          <w:highlight w:val="none"/>
          <w:lang w:eastAsia="zh-CN"/>
        </w:rPr>
        <w:t>，增长84.45%，主要原因是：</w:t>
      </w:r>
      <w:r>
        <w:rPr>
          <w:rFonts w:hint="default" w:ascii="Times New Roman" w:hAnsi="Times New Roman" w:eastAsia="仿宋_GB2312" w:cs="Times New Roman"/>
          <w:sz w:val="32"/>
          <w:szCs w:val="32"/>
          <w:highlight w:val="none"/>
          <w:lang w:val="en-US" w:eastAsia="zh-CN"/>
        </w:rPr>
        <w:t>增加2023年自治区访惠聚工作经费、</w:t>
      </w:r>
      <w:r>
        <w:rPr>
          <w:rFonts w:hint="default" w:ascii="Times New Roman" w:hAnsi="Times New Roman" w:eastAsia="仿宋_GB2312" w:cs="Times New Roman"/>
          <w:color w:val="000000"/>
          <w:sz w:val="32"/>
          <w:szCs w:val="32"/>
          <w:highlight w:val="none"/>
        </w:rPr>
        <w:t>下达基础绩效奖</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下达年度考核奖</w:t>
      </w:r>
      <w:r>
        <w:rPr>
          <w:rFonts w:hint="default" w:ascii="Times New Roman" w:hAnsi="Times New Roman" w:eastAsia="仿宋_GB2312" w:cs="Times New Roman"/>
          <w:color w:val="000000"/>
          <w:sz w:val="32"/>
          <w:szCs w:val="32"/>
          <w:highlight w:val="none"/>
          <w:lang w:val="en-US" w:eastAsia="zh-CN"/>
        </w:rPr>
        <w:t>、自治区民族团结一家亲结对认亲交通费，追加两个财政拨款项目</w:t>
      </w:r>
      <w:r>
        <w:rPr>
          <w:rFonts w:hint="default" w:ascii="Times New Roman" w:hAnsi="Times New Roman" w:eastAsia="仿宋_GB2312" w:cs="Times New Roman"/>
          <w:color w:val="auto"/>
          <w:spacing w:val="0"/>
          <w:sz w:val="32"/>
          <w:szCs w:val="32"/>
          <w:highlight w:val="none"/>
          <w:lang w:eastAsia="zh-CN"/>
        </w:rPr>
        <w:t>。</w:t>
      </w:r>
    </w:p>
    <w:p w14:paraId="7E1361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11ADEC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1,514.29</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1,441.88</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95.22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71.24</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4.70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1.17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71D751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692293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本年支出1,817.42万元，其中：基本支出422.40万元，占23.24%；项目支出1,323.78万元，占72.84%；上缴上级支出0.00万元，占0.00%；经营支出71.24万元，占3.92%；对附属单位补助支出0.00万元，占0.00%。</w:t>
      </w:r>
    </w:p>
    <w:p w14:paraId="70D44D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p>
    <w:p w14:paraId="375A92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3753B3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1,476.65</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34.77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1,441.88</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1,476.65</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1,476.65</w:t>
      </w:r>
      <w:r>
        <w:rPr>
          <w:rFonts w:hint="default" w:ascii="Times New Roman" w:hAnsi="Times New Roman" w:eastAsia="仿宋_GB2312" w:cs="Times New Roman"/>
          <w:color w:val="auto"/>
          <w:spacing w:val="0"/>
          <w:sz w:val="32"/>
          <w:szCs w:val="32"/>
          <w:highlight w:val="none"/>
          <w:lang w:eastAsia="zh-CN"/>
        </w:rPr>
        <w:t>万元。</w:t>
      </w:r>
    </w:p>
    <w:p w14:paraId="0F3E9D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增加915.76万元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增长163.27%,</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highlight w:val="none"/>
          <w:lang w:val="en-US" w:eastAsia="zh-CN"/>
        </w:rPr>
        <w:t>增加2023年自治区访惠聚工作经费、</w:t>
      </w:r>
      <w:r>
        <w:rPr>
          <w:rFonts w:hint="default" w:ascii="Times New Roman" w:hAnsi="Times New Roman" w:eastAsia="仿宋_GB2312" w:cs="Times New Roman"/>
          <w:color w:val="000000"/>
          <w:sz w:val="32"/>
          <w:szCs w:val="32"/>
          <w:highlight w:val="none"/>
        </w:rPr>
        <w:t>下达基础绩效奖</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下达年度考核奖</w:t>
      </w:r>
      <w:r>
        <w:rPr>
          <w:rFonts w:hint="default" w:ascii="Times New Roman" w:hAnsi="Times New Roman" w:eastAsia="仿宋_GB2312" w:cs="Times New Roman"/>
          <w:color w:val="000000"/>
          <w:sz w:val="32"/>
          <w:szCs w:val="32"/>
          <w:highlight w:val="none"/>
          <w:lang w:val="en-US" w:eastAsia="zh-CN"/>
        </w:rPr>
        <w:t>、自治区民族团结一家亲结对认亲交通费，追加两个财政拨款项目</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416.77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1,476.65</w:t>
      </w:r>
      <w:r>
        <w:rPr>
          <w:rFonts w:hint="default" w:ascii="Times New Roman" w:hAnsi="Times New Roman" w:eastAsia="仿宋_GB2312" w:cs="Times New Roman"/>
          <w:color w:val="auto"/>
          <w:spacing w:val="0"/>
          <w:sz w:val="32"/>
          <w:szCs w:val="32"/>
          <w:highlight w:val="none"/>
          <w:lang w:eastAsia="zh-CN"/>
        </w:rPr>
        <w:t>万元，预决算差异率254.31%，主要原因是：</w:t>
      </w:r>
      <w:r>
        <w:rPr>
          <w:rFonts w:hint="default" w:ascii="Times New Roman" w:hAnsi="Times New Roman" w:eastAsia="仿宋_GB2312" w:cs="Times New Roman"/>
          <w:sz w:val="32"/>
          <w:szCs w:val="32"/>
          <w:highlight w:val="none"/>
          <w:lang w:val="en-US" w:eastAsia="zh-CN"/>
        </w:rPr>
        <w:t>增加2023年自治区访惠聚工作经费、</w:t>
      </w:r>
      <w:r>
        <w:rPr>
          <w:rFonts w:hint="default" w:ascii="Times New Roman" w:hAnsi="Times New Roman" w:eastAsia="仿宋_GB2312" w:cs="Times New Roman"/>
          <w:color w:val="000000"/>
          <w:sz w:val="32"/>
          <w:szCs w:val="32"/>
          <w:highlight w:val="none"/>
        </w:rPr>
        <w:t>下达基础绩效奖</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下达年度考核奖</w:t>
      </w:r>
      <w:r>
        <w:rPr>
          <w:rFonts w:hint="default" w:ascii="Times New Roman" w:hAnsi="Times New Roman" w:eastAsia="仿宋_GB2312" w:cs="Times New Roman"/>
          <w:color w:val="000000"/>
          <w:sz w:val="32"/>
          <w:szCs w:val="32"/>
          <w:highlight w:val="none"/>
          <w:lang w:val="en-US" w:eastAsia="zh-CN"/>
        </w:rPr>
        <w:t>、自治区民族团结一家亲结对认亲交通费，追加两个财政拨款项目</w:t>
      </w:r>
      <w:r>
        <w:rPr>
          <w:rFonts w:hint="default" w:ascii="Times New Roman" w:hAnsi="Times New Roman" w:eastAsia="仿宋_GB2312" w:cs="Times New Roman"/>
          <w:color w:val="auto"/>
          <w:spacing w:val="0"/>
          <w:sz w:val="32"/>
          <w:szCs w:val="32"/>
          <w:highlight w:val="none"/>
          <w:lang w:eastAsia="zh-CN"/>
        </w:rPr>
        <w:t>。</w:t>
      </w:r>
    </w:p>
    <w:p w14:paraId="439225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4E9C91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74E6D7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2023年度一般公共预算财政拨款支出1,476.65万元，占本年支出合计的</w:t>
      </w:r>
      <w:r>
        <w:rPr>
          <w:rFonts w:hint="default" w:ascii="Times New Roman" w:hAnsi="Times New Roman" w:eastAsia="仿宋_GB2312" w:cs="Times New Roman"/>
          <w:color w:val="auto"/>
          <w:spacing w:val="0"/>
          <w:sz w:val="32"/>
          <w:szCs w:val="32"/>
          <w:highlight w:val="none"/>
          <w:lang w:val="zh-CN" w:eastAsia="zh-CN"/>
        </w:rPr>
        <w:t>81.25%</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增加950.53万元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增长180.66%,</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highlight w:val="none"/>
          <w:lang w:val="en-US" w:eastAsia="zh-CN"/>
        </w:rPr>
        <w:t>增加2023年自治区访惠聚工作经费、</w:t>
      </w:r>
      <w:r>
        <w:rPr>
          <w:rFonts w:hint="default" w:ascii="Times New Roman" w:hAnsi="Times New Roman" w:eastAsia="仿宋_GB2312" w:cs="Times New Roman"/>
          <w:color w:val="000000"/>
          <w:sz w:val="32"/>
          <w:szCs w:val="32"/>
          <w:highlight w:val="none"/>
        </w:rPr>
        <w:t>下达基础绩效奖</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下达年度考核奖</w:t>
      </w:r>
      <w:r>
        <w:rPr>
          <w:rFonts w:hint="default" w:ascii="Times New Roman" w:hAnsi="Times New Roman" w:eastAsia="仿宋_GB2312" w:cs="Times New Roman"/>
          <w:color w:val="000000"/>
          <w:sz w:val="32"/>
          <w:szCs w:val="32"/>
          <w:highlight w:val="none"/>
          <w:lang w:val="en-US" w:eastAsia="zh-CN"/>
        </w:rPr>
        <w:t>、自治区民族团结一家亲结对认亲交通费，追加两个财政拨款项目</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416.77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1,476.65</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254.31%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highlight w:val="none"/>
          <w:lang w:val="en-US" w:eastAsia="zh-CN"/>
        </w:rPr>
        <w:t>增加2023年自治区访惠聚工作经费、</w:t>
      </w:r>
      <w:r>
        <w:rPr>
          <w:rFonts w:hint="default" w:ascii="Times New Roman" w:hAnsi="Times New Roman" w:eastAsia="仿宋_GB2312" w:cs="Times New Roman"/>
          <w:color w:val="000000"/>
          <w:sz w:val="32"/>
          <w:szCs w:val="32"/>
          <w:highlight w:val="none"/>
        </w:rPr>
        <w:t>下达基础绩效奖</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下达年度考核奖</w:t>
      </w:r>
      <w:r>
        <w:rPr>
          <w:rFonts w:hint="default" w:ascii="Times New Roman" w:hAnsi="Times New Roman" w:eastAsia="仿宋_GB2312" w:cs="Times New Roman"/>
          <w:color w:val="000000"/>
          <w:sz w:val="32"/>
          <w:szCs w:val="32"/>
          <w:highlight w:val="none"/>
          <w:lang w:val="en-US" w:eastAsia="zh-CN"/>
        </w:rPr>
        <w:t>、自治区民族团结一家亲结对认亲交通费，追加两个财政拨款项目</w:t>
      </w:r>
      <w:r>
        <w:rPr>
          <w:rFonts w:hint="default" w:ascii="Times New Roman" w:hAnsi="Times New Roman" w:eastAsia="仿宋_GB2312" w:cs="Times New Roman"/>
          <w:color w:val="auto"/>
          <w:spacing w:val="0"/>
          <w:sz w:val="32"/>
          <w:szCs w:val="32"/>
          <w:highlight w:val="none"/>
          <w:lang w:eastAsia="zh-CN"/>
        </w:rPr>
        <w:t>。</w:t>
      </w:r>
    </w:p>
    <w:p w14:paraId="780A1C8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top"/>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15857F3F">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top"/>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en-US"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.社会保障和就业支出（类）63.72万元，占4.32%；</w:t>
      </w:r>
    </w:p>
    <w:p w14:paraId="275C4AEE">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top"/>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en-US" w:eastAsia="zh-CN" w:bidi="ar-SA"/>
        </w:rPr>
        <w:t>2</w:t>
      </w:r>
      <w:r>
        <w:rPr>
          <w:rFonts w:hint="default" w:ascii="Times New Roman" w:hAnsi="Times New Roman" w:eastAsia="仿宋_GB2312" w:cs="Times New Roman"/>
          <w:color w:val="auto"/>
          <w:spacing w:val="0"/>
          <w:kern w:val="2"/>
          <w:sz w:val="32"/>
          <w:szCs w:val="32"/>
          <w:highlight w:val="none"/>
          <w:lang w:val="zh-CN" w:eastAsia="zh-CN" w:bidi="ar-SA"/>
        </w:rPr>
        <w:t>.卫生健康支出（类）37.63万元，占2.55%；</w:t>
      </w:r>
    </w:p>
    <w:p w14:paraId="2717F546">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top"/>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en-US" w:eastAsia="zh-CN" w:bidi="ar-SA"/>
        </w:rPr>
        <w:t>3</w:t>
      </w:r>
      <w:r>
        <w:rPr>
          <w:rFonts w:hint="default" w:ascii="Times New Roman" w:hAnsi="Times New Roman" w:eastAsia="仿宋_GB2312" w:cs="Times New Roman"/>
          <w:color w:val="auto"/>
          <w:spacing w:val="0"/>
          <w:kern w:val="2"/>
          <w:sz w:val="32"/>
          <w:szCs w:val="32"/>
          <w:highlight w:val="none"/>
          <w:lang w:val="zh-CN" w:eastAsia="zh-CN" w:bidi="ar-SA"/>
        </w:rPr>
        <w:t>.农林水支出（类）1,348.31万元，占91.31%；</w:t>
      </w:r>
    </w:p>
    <w:p w14:paraId="50FC9816">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top"/>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en-US" w:eastAsia="zh-CN" w:bidi="ar-SA"/>
        </w:rPr>
        <w:t>4</w:t>
      </w:r>
      <w:r>
        <w:rPr>
          <w:rFonts w:hint="default" w:ascii="Times New Roman" w:hAnsi="Times New Roman" w:eastAsia="仿宋_GB2312" w:cs="Times New Roman"/>
          <w:color w:val="auto"/>
          <w:spacing w:val="0"/>
          <w:kern w:val="2"/>
          <w:sz w:val="32"/>
          <w:szCs w:val="32"/>
          <w:highlight w:val="none"/>
          <w:lang w:val="zh-CN" w:eastAsia="zh-CN" w:bidi="ar-SA"/>
        </w:rPr>
        <w:t>.住房保障支出（类）26.99万元，占1.83%；</w:t>
      </w:r>
    </w:p>
    <w:p w14:paraId="494786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2A763E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1.农林水支出（类）水利（款）机关服务（项）:支出决算数为1,348.31万元，比上年决算增加1,131.55万元，增长522.04%，主要原因是：</w:t>
      </w:r>
      <w:r>
        <w:rPr>
          <w:rFonts w:hint="default" w:ascii="Times New Roman" w:hAnsi="Times New Roman" w:eastAsia="仿宋_GB2312" w:cs="Times New Roman"/>
          <w:sz w:val="32"/>
          <w:szCs w:val="32"/>
          <w:highlight w:val="none"/>
          <w:lang w:val="en-US" w:eastAsia="zh-CN"/>
        </w:rPr>
        <w:t>增加2023年自治区访惠聚工作经费、</w:t>
      </w:r>
      <w:r>
        <w:rPr>
          <w:rFonts w:hint="default" w:ascii="Times New Roman" w:hAnsi="Times New Roman" w:eastAsia="仿宋_GB2312" w:cs="Times New Roman"/>
          <w:color w:val="000000"/>
          <w:sz w:val="32"/>
          <w:szCs w:val="32"/>
          <w:highlight w:val="none"/>
        </w:rPr>
        <w:t>下达基础绩效奖</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下达年度考核奖</w:t>
      </w:r>
      <w:r>
        <w:rPr>
          <w:rFonts w:hint="default" w:ascii="Times New Roman" w:hAnsi="Times New Roman" w:eastAsia="仿宋_GB2312" w:cs="Times New Roman"/>
          <w:color w:val="000000"/>
          <w:sz w:val="32"/>
          <w:szCs w:val="32"/>
          <w:highlight w:val="none"/>
          <w:lang w:val="en-US" w:eastAsia="zh-CN"/>
        </w:rPr>
        <w:t>、自治区民族团结一家亲结对认亲交通费，追加两个财政拨款项目</w:t>
      </w:r>
      <w:r>
        <w:rPr>
          <w:rFonts w:hint="default" w:ascii="Times New Roman" w:hAnsi="Times New Roman" w:eastAsia="仿宋_GB2312" w:cs="Times New Roman"/>
          <w:color w:val="auto"/>
          <w:kern w:val="2"/>
          <w:sz w:val="32"/>
          <w:szCs w:val="32"/>
          <w:highlight w:val="none"/>
          <w:lang w:val="zh-CN" w:eastAsia="zh-CN" w:bidi="ar-SA"/>
        </w:rPr>
        <w:t>。</w:t>
      </w:r>
    </w:p>
    <w:p w14:paraId="262C92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2.卫生健康支出（类）行政事业单位医疗（款）事业单位医疗（项）:支出决算数为19.45万元，比上年决算增加13.98万元，增长255.</w:t>
      </w:r>
      <w:r>
        <w:rPr>
          <w:rFonts w:hint="eastAsia" w:eastAsia="仿宋_GB2312" w:cs="Times New Roman"/>
          <w:color w:val="auto"/>
          <w:kern w:val="2"/>
          <w:sz w:val="32"/>
          <w:szCs w:val="32"/>
          <w:highlight w:val="none"/>
          <w:lang w:val="en-US" w:eastAsia="zh-CN" w:bidi="ar-SA"/>
        </w:rPr>
        <w:t>58</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相关经费支出从主科目调整出来进行了科目调整，在职人员职级晋升，工资上调，故医疗保险缴费基数随着上调</w:t>
      </w:r>
      <w:r>
        <w:rPr>
          <w:rFonts w:hint="default" w:ascii="Times New Roman" w:hAnsi="Times New Roman" w:eastAsia="仿宋_GB2312" w:cs="Times New Roman"/>
          <w:color w:val="auto"/>
          <w:kern w:val="2"/>
          <w:sz w:val="32"/>
          <w:szCs w:val="32"/>
          <w:highlight w:val="none"/>
          <w:lang w:val="zh-CN" w:eastAsia="zh-CN" w:bidi="ar-SA"/>
        </w:rPr>
        <w:t>。</w:t>
      </w:r>
    </w:p>
    <w:p w14:paraId="5958B4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3.卫生健康支出（类）行政事业单位医疗（款）公务员医疗补助（项）:支出决算数为18.18万元，比上年决算增加15.14万元，增长49</w:t>
      </w:r>
      <w:r>
        <w:rPr>
          <w:rFonts w:hint="eastAsia" w:eastAsia="仿宋_GB2312" w:cs="Times New Roman"/>
          <w:color w:val="auto"/>
          <w:kern w:val="2"/>
          <w:sz w:val="32"/>
          <w:szCs w:val="32"/>
          <w:highlight w:val="none"/>
          <w:lang w:val="en-US" w:eastAsia="zh-CN" w:bidi="ar-SA"/>
        </w:rPr>
        <w:t>8.03</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相关经费支出从主科目调整出来进行了科目调整，在职人员职级晋升，工资上调，故公务员医疗补助缴费基数随着上调</w:t>
      </w:r>
      <w:r>
        <w:rPr>
          <w:rFonts w:hint="default" w:ascii="Times New Roman" w:hAnsi="Times New Roman" w:eastAsia="仿宋_GB2312" w:cs="Times New Roman"/>
          <w:color w:val="auto"/>
          <w:kern w:val="2"/>
          <w:sz w:val="32"/>
          <w:szCs w:val="32"/>
          <w:highlight w:val="none"/>
          <w:lang w:val="zh-CN" w:eastAsia="zh-CN" w:bidi="ar-SA"/>
        </w:rPr>
        <w:t>。</w:t>
      </w:r>
    </w:p>
    <w:p w14:paraId="728C9D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4.住房保障支出（类）住房改革支出（款）住房公积金（项）:支出决算数为26.99万元，比上年决算增加16.86万元，增长166.</w:t>
      </w:r>
      <w:r>
        <w:rPr>
          <w:rFonts w:hint="eastAsia" w:eastAsia="仿宋_GB2312" w:cs="Times New Roman"/>
          <w:color w:val="auto"/>
          <w:kern w:val="2"/>
          <w:sz w:val="32"/>
          <w:szCs w:val="32"/>
          <w:highlight w:val="none"/>
          <w:lang w:val="en-US" w:eastAsia="zh-CN" w:bidi="ar-SA"/>
        </w:rPr>
        <w:t>44</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相</w:t>
      </w:r>
      <w:bookmarkStart w:id="48" w:name="_GoBack"/>
      <w:bookmarkEnd w:id="48"/>
      <w:r>
        <w:rPr>
          <w:rFonts w:hint="eastAsia" w:eastAsia="仿宋_GB2312" w:cs="Times New Roman"/>
          <w:color w:val="auto"/>
          <w:kern w:val="2"/>
          <w:sz w:val="32"/>
          <w:szCs w:val="32"/>
          <w:highlight w:val="none"/>
          <w:lang w:val="en-US" w:eastAsia="zh-CN" w:bidi="ar-SA"/>
        </w:rPr>
        <w:t>关经费支出从主科目调整出来进行了科目调整，因每年7月公积金都需调整基数，</w:t>
      </w:r>
      <w:r>
        <w:rPr>
          <w:rFonts w:hint="default" w:ascii="Times New Roman" w:hAnsi="Times New Roman" w:eastAsia="仿宋_GB2312" w:cs="Times New Roman"/>
          <w:color w:val="auto"/>
          <w:kern w:val="2"/>
          <w:sz w:val="32"/>
          <w:szCs w:val="32"/>
          <w:highlight w:val="none"/>
          <w:lang w:val="en-US" w:eastAsia="zh-CN" w:bidi="ar-SA"/>
        </w:rPr>
        <w:t>公积金基数</w:t>
      </w:r>
      <w:r>
        <w:rPr>
          <w:rFonts w:hint="eastAsia" w:eastAsia="仿宋_GB2312" w:cs="Times New Roman"/>
          <w:color w:val="auto"/>
          <w:kern w:val="2"/>
          <w:sz w:val="32"/>
          <w:szCs w:val="32"/>
          <w:highlight w:val="none"/>
          <w:lang w:val="en-US" w:eastAsia="zh-CN" w:bidi="ar-SA"/>
        </w:rPr>
        <w:t>随基数</w:t>
      </w:r>
      <w:r>
        <w:rPr>
          <w:rFonts w:hint="default" w:ascii="Times New Roman" w:hAnsi="Times New Roman" w:eastAsia="仿宋_GB2312" w:cs="Times New Roman"/>
          <w:color w:val="auto"/>
          <w:kern w:val="2"/>
          <w:sz w:val="32"/>
          <w:szCs w:val="32"/>
          <w:highlight w:val="none"/>
          <w:lang w:val="en-US" w:eastAsia="zh-CN" w:bidi="ar-SA"/>
        </w:rPr>
        <w:t>调增</w:t>
      </w:r>
      <w:r>
        <w:rPr>
          <w:rFonts w:hint="default" w:ascii="Times New Roman" w:hAnsi="Times New Roman" w:eastAsia="仿宋_GB2312" w:cs="Times New Roman"/>
          <w:color w:val="auto"/>
          <w:kern w:val="2"/>
          <w:sz w:val="32"/>
          <w:szCs w:val="32"/>
          <w:highlight w:val="none"/>
          <w:lang w:val="zh-CN" w:eastAsia="zh-CN" w:bidi="ar-SA"/>
        </w:rPr>
        <w:t>。</w:t>
      </w:r>
    </w:p>
    <w:p w14:paraId="71B16E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35.18万元，比上年决算减少4.60万元，下降11.56%，主要原因是：行政事业单位退休人员已达缴费年限的不再缴纳医疗费补助</w:t>
      </w:r>
      <w:r>
        <w:rPr>
          <w:rFonts w:hint="default" w:ascii="Times New Roman" w:hAnsi="Times New Roman" w:eastAsia="仿宋_GB2312" w:cs="Times New Roman"/>
          <w:color w:val="auto"/>
          <w:kern w:val="2"/>
          <w:sz w:val="32"/>
          <w:szCs w:val="32"/>
          <w:highlight w:val="none"/>
          <w:lang w:val="zh-CN" w:eastAsia="zh-CN" w:bidi="ar-SA"/>
        </w:rPr>
        <w:t>。</w:t>
      </w:r>
    </w:p>
    <w:p w14:paraId="681FF8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6.社会保障和就业支出（类）行政事业单位养老支出（款）机关事业单位基本养老保险缴费支出（项）:支出决算数为28.55万元，比上年决算增加7.59万元，增长36.22%，主要原因是：</w:t>
      </w:r>
      <w:r>
        <w:rPr>
          <w:rFonts w:hint="eastAsia" w:eastAsia="仿宋_GB2312" w:cs="Times New Roman"/>
          <w:color w:val="auto"/>
          <w:kern w:val="2"/>
          <w:sz w:val="32"/>
          <w:szCs w:val="32"/>
          <w:highlight w:val="none"/>
          <w:lang w:val="en-US" w:eastAsia="zh-CN" w:bidi="ar-SA"/>
        </w:rPr>
        <w:t>在职人员职级晋升，工资上调，故</w:t>
      </w:r>
      <w:r>
        <w:rPr>
          <w:rFonts w:hint="default" w:ascii="Times New Roman" w:hAnsi="Times New Roman" w:eastAsia="仿宋_GB2312" w:cs="Times New Roman"/>
          <w:color w:val="auto"/>
          <w:kern w:val="2"/>
          <w:sz w:val="32"/>
          <w:szCs w:val="32"/>
          <w:highlight w:val="none"/>
          <w:lang w:val="en-US" w:eastAsia="zh-CN" w:bidi="ar-SA"/>
        </w:rPr>
        <w:t>养老保险基数调增</w:t>
      </w:r>
      <w:r>
        <w:rPr>
          <w:rFonts w:hint="default" w:ascii="Times New Roman" w:hAnsi="Times New Roman" w:eastAsia="仿宋_GB2312" w:cs="Times New Roman"/>
          <w:color w:val="auto"/>
          <w:kern w:val="2"/>
          <w:sz w:val="32"/>
          <w:szCs w:val="32"/>
          <w:highlight w:val="none"/>
          <w:lang w:val="zh-CN" w:eastAsia="zh-CN" w:bidi="ar-SA"/>
        </w:rPr>
        <w:t>。</w:t>
      </w:r>
    </w:p>
    <w:p w14:paraId="4747A3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7.农林水支出（类）水利（款）其他水利支出（项）:支出决算数为0.00万元，比上年决算减少230.00万元，下降100%，主要原因是：本年未安排其他水利支出</w:t>
      </w:r>
      <w:r>
        <w:rPr>
          <w:rFonts w:hint="default" w:ascii="Times New Roman" w:hAnsi="Times New Roman" w:eastAsia="仿宋_GB2312" w:cs="Times New Roman"/>
          <w:color w:val="auto"/>
          <w:kern w:val="2"/>
          <w:sz w:val="32"/>
          <w:szCs w:val="32"/>
          <w:highlight w:val="none"/>
          <w:lang w:val="zh-CN" w:eastAsia="zh-CN" w:bidi="ar-SA"/>
        </w:rPr>
        <w:t>。</w:t>
      </w:r>
    </w:p>
    <w:p w14:paraId="62D626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472D4568">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351.77</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328.29</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14:paraId="4682AC5D">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23.47</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办公费、水费、电费、邮电费、取暖费、物业管理费、差旅费、维修（护）费、培训费、专用材料费、委托业务费、工会经费、福利费、公务用车运行维护费、其他商品和服务支出、专用设备购置</w:t>
      </w:r>
      <w:r>
        <w:rPr>
          <w:rFonts w:hint="default" w:ascii="Times New Roman" w:hAnsi="Times New Roman" w:eastAsia="仿宋_GB2312" w:cs="Times New Roman"/>
          <w:color w:val="auto"/>
          <w:sz w:val="32"/>
          <w:szCs w:val="32"/>
          <w:highlight w:val="none"/>
          <w:lang w:eastAsia="zh-CN"/>
        </w:rPr>
        <w:t>。</w:t>
      </w:r>
    </w:p>
    <w:p w14:paraId="036984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00A8D8E1">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“三公”经费支出2.00万元，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本着“三公经费”只减不增原则，节约开支，控制支出</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highlight w:val="none"/>
        </w:rPr>
        <w:t>我单位无因公出国（境）费</w:t>
      </w:r>
      <w:r>
        <w:rPr>
          <w:rFonts w:hint="default" w:ascii="Times New Roman" w:hAnsi="Times New Roman" w:eastAsia="仿宋_GB2312" w:cs="Times New Roman"/>
          <w:color w:val="auto"/>
          <w:sz w:val="32"/>
          <w:szCs w:val="32"/>
          <w:highlight w:val="none"/>
          <w:lang w:val="zh-CN" w:eastAsia="zh-CN"/>
        </w:rPr>
        <w:t>；公务用车购置及运行维护费支出2.00万元，占100.00%，比上年增加0.00万元，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本着“三公经费”只减不增原则，节约开支，控制支出</w:t>
      </w:r>
      <w:r>
        <w:rPr>
          <w:rFonts w:hint="default" w:ascii="Times New Roman" w:hAnsi="Times New Roman" w:eastAsia="仿宋_GB2312" w:cs="Times New Roman"/>
          <w:color w:val="auto"/>
          <w:sz w:val="32"/>
          <w:szCs w:val="32"/>
          <w:highlight w:val="none"/>
          <w:lang w:val="zh-CN" w:eastAsia="zh-CN"/>
        </w:rPr>
        <w:t>；公务接待费支出0.00万元，占0.00%，比上年增加0.00万元，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highlight w:val="none"/>
        </w:rPr>
        <w:t>我单位无公务接待费</w:t>
      </w:r>
      <w:r>
        <w:rPr>
          <w:rFonts w:hint="default" w:ascii="Times New Roman" w:hAnsi="Times New Roman" w:eastAsia="仿宋_GB2312" w:cs="Times New Roman"/>
          <w:color w:val="auto"/>
          <w:sz w:val="32"/>
          <w:szCs w:val="32"/>
          <w:highlight w:val="none"/>
          <w:lang w:val="zh-CN" w:eastAsia="zh-CN"/>
        </w:rPr>
        <w:t>。</w:t>
      </w:r>
    </w:p>
    <w:p w14:paraId="08D68DF1">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14:paraId="46437156">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sz w:val="32"/>
          <w:szCs w:val="32"/>
          <w:highlight w:val="none"/>
        </w:rPr>
        <w:t>我单位无因公出国（境）费</w:t>
      </w:r>
      <w:r>
        <w:rPr>
          <w:rFonts w:hint="default" w:ascii="Times New Roman" w:hAnsi="Times New Roman" w:eastAsia="仿宋_GB2312" w:cs="Times New Roman"/>
          <w:color w:val="auto"/>
          <w:sz w:val="32"/>
          <w:szCs w:val="32"/>
          <w:highlight w:val="none"/>
          <w:lang w:val="zh-CN" w:eastAsia="zh-CN"/>
        </w:rPr>
        <w:t>。单位全年安排的因公出国（境）团组0个，因公出国（境）0人次。</w:t>
      </w:r>
    </w:p>
    <w:p w14:paraId="407D03A6">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公务用车购置及运行维护费2.00万元，其中：公务用车购置费0.00万元，公务用车运行维护费2.00万元。公务用车运行维护费开支内容包括</w:t>
      </w:r>
      <w:r>
        <w:rPr>
          <w:rFonts w:hint="default" w:ascii="Times New Roman" w:hAnsi="Times New Roman" w:eastAsia="仿宋_GB2312" w:cs="Times New Roman"/>
          <w:color w:val="auto"/>
          <w:sz w:val="32"/>
          <w:szCs w:val="32"/>
          <w:highlight w:val="none"/>
          <w:lang w:val="en-US" w:eastAsia="zh-CN"/>
        </w:rPr>
        <w:t>车辆保险费、车辆保养、车辆加油</w:t>
      </w:r>
      <w:r>
        <w:rPr>
          <w:rFonts w:hint="default" w:ascii="Times New Roman" w:hAnsi="Times New Roman" w:eastAsia="仿宋_GB2312" w:cs="Times New Roman"/>
          <w:color w:val="auto"/>
          <w:sz w:val="32"/>
          <w:szCs w:val="32"/>
          <w:highlight w:val="none"/>
          <w:lang w:val="zh-CN" w:eastAsia="zh-CN"/>
        </w:rPr>
        <w:t>。公务用车购置数0辆，公务用车保有量1辆。国有资产占用情况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根据车辆编制要求，我单位编制为1辆，实有数也为1辆。</w:t>
      </w:r>
    </w:p>
    <w:p w14:paraId="6C61C4DE">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color w:val="auto"/>
          <w:sz w:val="32"/>
          <w:szCs w:val="32"/>
          <w:highlight w:val="none"/>
          <w:lang w:val="en-US" w:eastAsia="zh-CN"/>
        </w:rPr>
        <w:t>我单位无公务接待费</w:t>
      </w:r>
      <w:r>
        <w:rPr>
          <w:rFonts w:hint="default" w:ascii="Times New Roman" w:hAnsi="Times New Roman" w:eastAsia="仿宋_GB2312" w:cs="Times New Roman"/>
          <w:color w:val="auto"/>
          <w:sz w:val="32"/>
          <w:szCs w:val="32"/>
          <w:highlight w:val="none"/>
          <w:lang w:val="zh-CN" w:eastAsia="zh-CN"/>
        </w:rPr>
        <w:t>。单位全年安排的国内公务接待0批次，0人次。</w:t>
      </w:r>
    </w:p>
    <w:p w14:paraId="7A81395B">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预算数2.00万元，决算数2.00万元，预决算差异率0.00%，主要原因是：</w:t>
      </w:r>
      <w:r>
        <w:rPr>
          <w:rFonts w:hint="default" w:ascii="Times New Roman" w:hAnsi="Times New Roman" w:eastAsia="仿宋_GB2312" w:cs="Times New Roman"/>
          <w:color w:val="auto"/>
          <w:sz w:val="32"/>
          <w:szCs w:val="32"/>
          <w:highlight w:val="none"/>
          <w:lang w:val="en-US" w:eastAsia="zh-CN"/>
        </w:rPr>
        <w:t>本着“三公经费”只减不增原则，节约开支，控制支出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highlight w:val="none"/>
        </w:rPr>
        <w:t>我单位无因公出国（境）费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highlight w:val="none"/>
        </w:rPr>
        <w:t>我单位无</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预算数2.00万元，决算数2.00万元，预决算差异率0.00%，主要原因是：</w:t>
      </w:r>
      <w:r>
        <w:rPr>
          <w:rFonts w:hint="default" w:ascii="Times New Roman" w:hAnsi="Times New Roman" w:eastAsia="仿宋_GB2312" w:cs="Times New Roman"/>
          <w:color w:val="auto"/>
          <w:sz w:val="32"/>
          <w:szCs w:val="32"/>
          <w:highlight w:val="none"/>
          <w:lang w:val="en-US" w:eastAsia="zh-CN"/>
        </w:rPr>
        <w:t>本着“三公经费”只减不增原则，节约开支，控制支出</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highlight w:val="none"/>
        </w:rPr>
        <w:t>我单位无公务接待费</w:t>
      </w:r>
      <w:r>
        <w:rPr>
          <w:rFonts w:hint="default" w:ascii="Times New Roman" w:hAnsi="Times New Roman" w:eastAsia="仿宋_GB2312" w:cs="Times New Roman"/>
          <w:color w:val="auto"/>
          <w:sz w:val="32"/>
          <w:szCs w:val="32"/>
          <w:highlight w:val="none"/>
          <w:lang w:val="zh-CN" w:eastAsia="zh-CN"/>
        </w:rPr>
        <w:t>。</w:t>
      </w:r>
    </w:p>
    <w:p w14:paraId="4CDE2C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65A53F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71E770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21C79F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17C8FD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67DAE1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1F0D4042">
      <w:pPr>
        <w:keepNext w:val="0"/>
        <w:keepLines w:val="0"/>
        <w:pageBreakBefore w:val="0"/>
        <w:kinsoku/>
        <w:wordWrap/>
        <w:overflowPunct/>
        <w:topLinePunct w:val="0"/>
        <w:bidi w:val="0"/>
        <w:adjustRightIn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新疆维吾尔自治区水利厅机关服务中心</w:t>
      </w:r>
      <w:r>
        <w:rPr>
          <w:rFonts w:hint="default" w:ascii="Times New Roman" w:hAnsi="Times New Roman" w:eastAsia="仿宋_GB2312" w:cs="Times New Roman"/>
          <w:color w:val="auto"/>
          <w:sz w:val="32"/>
          <w:szCs w:val="32"/>
          <w:highlight w:val="none"/>
          <w:lang w:val="zh-CN" w:eastAsia="zh-CN"/>
        </w:rPr>
        <w:t>（事业单位）公用经费支出23.47万元，比上年增加7.98万元，增长51.50%，主要原因是：</w:t>
      </w:r>
      <w:r>
        <w:rPr>
          <w:rFonts w:hint="default" w:ascii="Times New Roman" w:hAnsi="Times New Roman" w:eastAsia="仿宋_GB2312" w:cs="Times New Roman"/>
          <w:color w:val="auto"/>
          <w:sz w:val="32"/>
          <w:szCs w:val="32"/>
          <w:highlight w:val="none"/>
          <w:lang w:val="en-US" w:eastAsia="zh-CN"/>
        </w:rPr>
        <w:t>因业务开展需求，机关运行经费较上年有所增加</w:t>
      </w:r>
      <w:r>
        <w:rPr>
          <w:rFonts w:hint="default" w:ascii="Times New Roman" w:hAnsi="Times New Roman" w:eastAsia="仿宋_GB2312" w:cs="Times New Roman"/>
          <w:color w:val="auto"/>
          <w:sz w:val="32"/>
          <w:szCs w:val="32"/>
          <w:highlight w:val="none"/>
          <w:lang w:val="zh-CN" w:eastAsia="zh-CN"/>
        </w:rPr>
        <w:t>。</w:t>
      </w:r>
    </w:p>
    <w:p w14:paraId="665715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黑体" w:cs="Times New Roman"/>
          <w:color w:val="auto"/>
          <w:sz w:val="32"/>
          <w:szCs w:val="32"/>
          <w:highlight w:val="none"/>
          <w:lang w:val="zh-CN" w:eastAsia="zh-CN"/>
        </w:rPr>
      </w:pPr>
      <w:r>
        <w:rPr>
          <w:rFonts w:hint="default" w:ascii="Times New Roman" w:hAnsi="Times New Roman" w:eastAsia="黑体" w:cs="Times New Roman"/>
          <w:color w:val="auto"/>
          <w:sz w:val="32"/>
          <w:szCs w:val="32"/>
          <w:highlight w:val="none"/>
          <w:lang w:val="zh-CN" w:eastAsia="zh-CN"/>
        </w:rPr>
        <w:t>（二）政府采购情况</w:t>
      </w:r>
      <w:bookmarkEnd w:id="24"/>
      <w:bookmarkEnd w:id="25"/>
    </w:p>
    <w:p w14:paraId="002837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15.33万元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其中：政府采购货物支出10.91万元、政府采购工程支出0.00万元、政府采购服务支出4.41万元。</w:t>
      </w:r>
    </w:p>
    <w:p w14:paraId="25725C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授予中小企业合同金额15.33万元，占政府采购支出总额的100.00%，其中：授予小微企业合同金额14.73万元，占政府采购支出总额的96.08%</w:t>
      </w:r>
      <w:r>
        <w:rPr>
          <w:rFonts w:hint="default" w:ascii="Times New Roman" w:hAnsi="Times New Roman" w:eastAsia="仿宋_GB2312" w:cs="Times New Roman"/>
          <w:color w:val="auto"/>
          <w:sz w:val="32"/>
          <w:szCs w:val="32"/>
          <w:highlight w:val="none"/>
          <w:lang w:val="en-US" w:eastAsia="zh-CN"/>
        </w:rPr>
        <w:t>。</w:t>
      </w:r>
    </w:p>
    <w:p w14:paraId="1AF5DC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黑体" w:cs="Times New Roman"/>
          <w:color w:val="auto"/>
          <w:sz w:val="32"/>
          <w:szCs w:val="32"/>
          <w:highlight w:val="none"/>
          <w:lang w:val="zh-CN" w:eastAsia="zh-CN"/>
        </w:rPr>
      </w:pPr>
      <w:bookmarkStart w:id="26" w:name="_Toc4591"/>
      <w:bookmarkStart w:id="27" w:name="_Toc8391"/>
      <w:r>
        <w:rPr>
          <w:rFonts w:hint="default" w:ascii="Times New Roman" w:hAnsi="Times New Roman" w:eastAsia="黑体" w:cs="Times New Roman"/>
          <w:color w:val="auto"/>
          <w:sz w:val="32"/>
          <w:szCs w:val="32"/>
          <w:highlight w:val="none"/>
          <w:lang w:val="zh-CN" w:eastAsia="zh-CN"/>
        </w:rPr>
        <w:t>（三）国有资产占用情况说明</w:t>
      </w:r>
      <w:bookmarkEnd w:id="26"/>
      <w:bookmarkEnd w:id="27"/>
    </w:p>
    <w:p w14:paraId="6EC079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1,164.62</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屋1356.52平方米，价值828.20万元。车辆1辆，价值86.89万元，其中：副部（省）级及以上领导用车0辆、主要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用车0辆、其他用车1辆，其他用车主要是：</w:t>
      </w:r>
      <w:r>
        <w:rPr>
          <w:rFonts w:hint="default" w:ascii="Times New Roman" w:hAnsi="Times New Roman" w:eastAsia="仿宋_GB2312" w:cs="Times New Roman"/>
          <w:color w:val="auto"/>
          <w:sz w:val="32"/>
          <w:szCs w:val="32"/>
          <w:highlight w:val="none"/>
          <w:lang w:val="en-US" w:eastAsia="zh-CN"/>
        </w:rPr>
        <w:t>后勤保障用车</w:t>
      </w:r>
      <w:r>
        <w:rPr>
          <w:rFonts w:hint="default" w:ascii="Times New Roman" w:hAnsi="Times New Roman" w:eastAsia="仿宋_GB2312" w:cs="Times New Roman"/>
          <w:color w:val="auto"/>
          <w:sz w:val="32"/>
          <w:szCs w:val="32"/>
          <w:highlight w:val="none"/>
          <w:lang w:val="zh-CN" w:eastAsia="zh-CN"/>
        </w:rPr>
        <w:t>；单价100万元（含）以上设备（不含车辆）0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01A829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6FB6EE51">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kern w:val="0"/>
          <w:sz w:val="32"/>
          <w:szCs w:val="32"/>
          <w:highlight w:val="none"/>
          <w:lang w:val="en-US" w:eastAsia="zh-CN"/>
        </w:rPr>
        <w:t>0个，全年</w:t>
      </w:r>
      <w:r>
        <w:rPr>
          <w:rFonts w:hint="default" w:ascii="Times New Roman" w:hAnsi="Times New Roman" w:eastAsia="仿宋_GB2312" w:cs="Times New Roman"/>
          <w:color w:val="auto"/>
          <w:sz w:val="32"/>
          <w:szCs w:val="32"/>
          <w:highlight w:val="none"/>
          <w:lang w:val="en-US" w:eastAsia="zh-CN"/>
        </w:rPr>
        <w:t>预算总额0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 w:eastAsia="zh-CN"/>
        </w:rPr>
        <w:t>1076.73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 w:eastAsia="zh-CN"/>
        </w:rPr>
        <w:t>964.89</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w:t>
      </w:r>
      <w:r>
        <w:rPr>
          <w:rFonts w:hint="default" w:ascii="Times New Roman" w:hAnsi="Times New Roman" w:eastAsia="仿宋_GB2312" w:cs="Times New Roman"/>
          <w:color w:val="auto"/>
          <w:sz w:val="32"/>
          <w:szCs w:val="32"/>
          <w:highlight w:val="none"/>
          <w:lang w:val="en-US" w:eastAsia="zh-CN"/>
        </w:rPr>
        <w:t>一是对厅各办公楼及厅机关食堂进行了维修改造，改善了职工的办公环境、就餐环境，解决了安全隐患。二</w:t>
      </w:r>
      <w:r>
        <w:rPr>
          <w:rFonts w:hint="default" w:ascii="Times New Roman" w:hAnsi="Times New Roman" w:eastAsia="仿宋_GB2312" w:cs="Times New Roman"/>
          <w:color w:val="auto"/>
          <w:sz w:val="32"/>
          <w:szCs w:val="32"/>
          <w:highlight w:val="none"/>
          <w:lang w:eastAsia="zh-CN"/>
        </w:rPr>
        <w:t>是</w:t>
      </w:r>
      <w:r>
        <w:rPr>
          <w:rStyle w:val="17"/>
          <w:rFonts w:hint="default" w:ascii="Times New Roman" w:hAnsi="Times New Roman" w:eastAsia="仿宋" w:cs="Times New Roman"/>
          <w:b w:val="0"/>
          <w:spacing w:val="-4"/>
          <w:sz w:val="32"/>
          <w:szCs w:val="32"/>
          <w:highlight w:val="none"/>
        </w:rPr>
        <w:t>加强了用水</w:t>
      </w:r>
      <w:r>
        <w:rPr>
          <w:rStyle w:val="17"/>
          <w:rFonts w:hint="default" w:ascii="Times New Roman" w:hAnsi="Times New Roman" w:eastAsia="仿宋" w:cs="Times New Roman"/>
          <w:b w:val="0"/>
          <w:spacing w:val="-4"/>
          <w:sz w:val="32"/>
          <w:szCs w:val="32"/>
          <w:highlight w:val="none"/>
          <w:lang w:eastAsia="zh-CN"/>
        </w:rPr>
        <w:t>、</w:t>
      </w:r>
      <w:r>
        <w:rPr>
          <w:rStyle w:val="17"/>
          <w:rFonts w:hint="default" w:ascii="Times New Roman" w:hAnsi="Times New Roman" w:eastAsia="仿宋" w:cs="Times New Roman"/>
          <w:b w:val="0"/>
          <w:spacing w:val="-4"/>
          <w:sz w:val="32"/>
          <w:szCs w:val="32"/>
          <w:highlight w:val="none"/>
          <w:lang w:val="en-US" w:eastAsia="zh-CN"/>
        </w:rPr>
        <w:t>用电</w:t>
      </w:r>
      <w:r>
        <w:rPr>
          <w:rStyle w:val="17"/>
          <w:rFonts w:hint="default" w:ascii="Times New Roman" w:hAnsi="Times New Roman" w:eastAsia="仿宋" w:cs="Times New Roman"/>
          <w:b w:val="0"/>
          <w:spacing w:val="-4"/>
          <w:sz w:val="32"/>
          <w:szCs w:val="32"/>
          <w:highlight w:val="none"/>
        </w:rPr>
        <w:t>设施的改造工程，选用先进节水设备，进行科学化管理</w:t>
      </w:r>
      <w:r>
        <w:rPr>
          <w:rStyle w:val="17"/>
          <w:rFonts w:hint="default" w:ascii="Times New Roman" w:hAnsi="Times New Roman" w:eastAsia="仿宋" w:cs="Times New Roman"/>
          <w:b w:val="0"/>
          <w:spacing w:val="-4"/>
          <w:sz w:val="32"/>
          <w:szCs w:val="32"/>
          <w:highlight w:val="none"/>
          <w:lang w:eastAsia="zh-CN"/>
        </w:rPr>
        <w:t>，完成了水利厅院内各</w:t>
      </w:r>
      <w:r>
        <w:rPr>
          <w:rStyle w:val="17"/>
          <w:rFonts w:hint="default" w:ascii="Times New Roman" w:hAnsi="Times New Roman" w:eastAsia="仿宋" w:cs="Times New Roman"/>
          <w:b w:val="0"/>
          <w:spacing w:val="-4"/>
          <w:sz w:val="32"/>
          <w:szCs w:val="32"/>
          <w:highlight w:val="none"/>
        </w:rPr>
        <w:t>办公楼的公共用水器具、自来水阀门</w:t>
      </w:r>
      <w:r>
        <w:rPr>
          <w:rStyle w:val="17"/>
          <w:rFonts w:hint="default" w:ascii="Times New Roman" w:hAnsi="Times New Roman" w:eastAsia="仿宋" w:cs="Times New Roman"/>
          <w:b w:val="0"/>
          <w:spacing w:val="-4"/>
          <w:sz w:val="32"/>
          <w:szCs w:val="32"/>
          <w:highlight w:val="none"/>
          <w:lang w:eastAsia="zh-CN"/>
        </w:rPr>
        <w:t>等</w:t>
      </w:r>
      <w:r>
        <w:rPr>
          <w:rStyle w:val="17"/>
          <w:rFonts w:hint="default" w:ascii="Times New Roman" w:hAnsi="Times New Roman" w:eastAsia="仿宋" w:cs="Times New Roman"/>
          <w:b w:val="0"/>
          <w:spacing w:val="-4"/>
          <w:sz w:val="32"/>
          <w:szCs w:val="32"/>
          <w:highlight w:val="none"/>
        </w:rPr>
        <w:t>节水设施进行了</w:t>
      </w:r>
      <w:r>
        <w:rPr>
          <w:rStyle w:val="17"/>
          <w:rFonts w:hint="default" w:ascii="Times New Roman" w:hAnsi="Times New Roman" w:eastAsia="仿宋" w:cs="Times New Roman"/>
          <w:b w:val="0"/>
          <w:spacing w:val="-4"/>
          <w:sz w:val="32"/>
          <w:szCs w:val="32"/>
          <w:highlight w:val="none"/>
          <w:lang w:eastAsia="zh-CN"/>
        </w:rPr>
        <w:t>维修更换</w:t>
      </w:r>
      <w:r>
        <w:rPr>
          <w:rStyle w:val="17"/>
          <w:rFonts w:hint="default" w:ascii="Times New Roman" w:hAnsi="Times New Roman" w:eastAsia="仿宋" w:cs="Times New Roman"/>
          <w:b w:val="0"/>
          <w:spacing w:val="-4"/>
          <w:sz w:val="32"/>
          <w:szCs w:val="32"/>
          <w:highlight w:val="none"/>
        </w:rPr>
        <w:t>，安装了红外线感应器、延时开关</w:t>
      </w:r>
      <w:r>
        <w:rPr>
          <w:rStyle w:val="17"/>
          <w:rFonts w:hint="default" w:ascii="Times New Roman" w:hAnsi="Times New Roman" w:eastAsia="仿宋" w:cs="Times New Roman"/>
          <w:b w:val="0"/>
          <w:spacing w:val="-4"/>
          <w:sz w:val="32"/>
          <w:szCs w:val="32"/>
          <w:highlight w:val="none"/>
          <w:lang w:eastAsia="zh-CN"/>
        </w:rPr>
        <w:t>，</w:t>
      </w:r>
      <w:r>
        <w:rPr>
          <w:rStyle w:val="17"/>
          <w:rFonts w:hint="default" w:ascii="Times New Roman" w:hAnsi="Times New Roman" w:eastAsia="仿宋" w:cs="Times New Roman"/>
          <w:b w:val="0"/>
          <w:spacing w:val="-4"/>
          <w:sz w:val="32"/>
          <w:szCs w:val="32"/>
          <w:highlight w:val="none"/>
          <w:lang w:val="en-US" w:eastAsia="zh-CN"/>
        </w:rPr>
        <w:t>完成了事业楼、礼堂楼用电线路改造，</w:t>
      </w:r>
      <w:r>
        <w:rPr>
          <w:rStyle w:val="17"/>
          <w:rFonts w:hint="default" w:ascii="Times New Roman" w:hAnsi="Times New Roman" w:eastAsia="仿宋" w:cs="Times New Roman"/>
          <w:b w:val="0"/>
          <w:spacing w:val="-4"/>
          <w:sz w:val="32"/>
          <w:szCs w:val="32"/>
          <w:highlight w:val="none"/>
          <w:lang w:eastAsia="zh-CN"/>
        </w:rPr>
        <w:t>有效的提升了公共区域节能节水设施的覆盖范围，</w:t>
      </w:r>
      <w:r>
        <w:rPr>
          <w:rStyle w:val="17"/>
          <w:rFonts w:hint="default" w:ascii="Times New Roman" w:hAnsi="Times New Roman" w:eastAsia="仿宋" w:cs="Times New Roman"/>
          <w:b w:val="0"/>
          <w:spacing w:val="-4"/>
          <w:sz w:val="32"/>
          <w:szCs w:val="32"/>
          <w:highlight w:val="none"/>
        </w:rPr>
        <w:t>杜绝了自来水“跑、冒、滴、漏”现象的发生</w:t>
      </w:r>
      <w:r>
        <w:rPr>
          <w:rStyle w:val="17"/>
          <w:rFonts w:hint="default" w:ascii="Times New Roman" w:hAnsi="Times New Roman" w:eastAsia="仿宋" w:cs="Times New Roman"/>
          <w:b w:val="0"/>
          <w:spacing w:val="-4"/>
          <w:sz w:val="32"/>
          <w:szCs w:val="32"/>
          <w:highlight w:val="none"/>
          <w:lang w:eastAsia="zh-CN"/>
        </w:rPr>
        <w:t>，</w:t>
      </w:r>
      <w:r>
        <w:rPr>
          <w:rStyle w:val="17"/>
          <w:rFonts w:hint="default" w:ascii="Times New Roman" w:hAnsi="Times New Roman" w:eastAsia="仿宋" w:cs="Times New Roman"/>
          <w:b w:val="0"/>
          <w:spacing w:val="-4"/>
          <w:sz w:val="32"/>
          <w:szCs w:val="32"/>
          <w:highlight w:val="none"/>
          <w:lang w:val="en-US" w:eastAsia="zh-CN"/>
        </w:rPr>
        <w:t>解决了用电安全隐患</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三</w:t>
      </w:r>
      <w:r>
        <w:rPr>
          <w:rFonts w:hint="default" w:ascii="Times New Roman" w:hAnsi="Times New Roman" w:eastAsia="仿宋_GB2312" w:cs="Times New Roman"/>
          <w:color w:val="auto"/>
          <w:sz w:val="32"/>
          <w:szCs w:val="32"/>
          <w:highlight w:val="none"/>
          <w:lang w:eastAsia="zh-CN"/>
        </w:rPr>
        <w:t>是</w:t>
      </w:r>
      <w:r>
        <w:rPr>
          <w:rStyle w:val="17"/>
          <w:rFonts w:hint="default" w:ascii="Times New Roman" w:hAnsi="Times New Roman" w:eastAsia="仿宋" w:cs="Times New Roman"/>
          <w:b w:val="0"/>
          <w:spacing w:val="-4"/>
          <w:sz w:val="32"/>
          <w:szCs w:val="32"/>
          <w:highlight w:val="none"/>
          <w:lang w:eastAsia="zh-CN"/>
        </w:rPr>
        <w:t>对大</w:t>
      </w:r>
      <w:r>
        <w:rPr>
          <w:rStyle w:val="17"/>
          <w:rFonts w:hint="default" w:ascii="Times New Roman" w:hAnsi="Times New Roman" w:eastAsia="仿宋" w:cs="Times New Roman"/>
          <w:b w:val="0"/>
          <w:spacing w:val="-4"/>
          <w:sz w:val="32"/>
          <w:szCs w:val="32"/>
          <w:highlight w:val="none"/>
        </w:rPr>
        <w:t>院内绿化</w:t>
      </w:r>
      <w:r>
        <w:rPr>
          <w:rStyle w:val="17"/>
          <w:rFonts w:hint="default" w:ascii="Times New Roman" w:hAnsi="Times New Roman" w:eastAsia="仿宋" w:cs="Times New Roman"/>
          <w:b w:val="0"/>
          <w:spacing w:val="-4"/>
          <w:sz w:val="32"/>
          <w:szCs w:val="32"/>
          <w:highlight w:val="none"/>
          <w:lang w:eastAsia="zh-CN"/>
        </w:rPr>
        <w:t>区域内供水设施进行补充维修，有效的提升力机关绿化美化形象</w:t>
      </w:r>
      <w:r>
        <w:rPr>
          <w:rFonts w:hint="default" w:ascii="Times New Roman" w:hAnsi="Times New Roman" w:eastAsia="仿宋_GB2312" w:cs="Times New Roman"/>
          <w:color w:val="auto"/>
          <w:sz w:val="32"/>
          <w:szCs w:val="32"/>
          <w:highlight w:val="none"/>
          <w:lang w:eastAsia="zh-CN"/>
        </w:rPr>
        <w:t>。发现的问题及原因：</w:t>
      </w:r>
      <w:r>
        <w:rPr>
          <w:rFonts w:hint="default" w:ascii="Times New Roman" w:hAnsi="Times New Roman" w:eastAsia="仿宋_GB2312" w:cs="Times New Roman"/>
          <w:sz w:val="32"/>
          <w:szCs w:val="32"/>
          <w:highlight w:val="none"/>
          <w:lang w:eastAsia="zh-CN"/>
        </w:rPr>
        <w:t>一是</w:t>
      </w:r>
      <w:r>
        <w:rPr>
          <w:rFonts w:hint="default" w:ascii="Times New Roman" w:hAnsi="Times New Roman" w:eastAsia="仿宋_GB2312" w:cs="Times New Roman"/>
          <w:sz w:val="32"/>
          <w:szCs w:val="32"/>
          <w:highlight w:val="none"/>
          <w:lang w:val="en-US" w:eastAsia="zh-CN"/>
        </w:rPr>
        <w:t>对预算绩效观念不深入，思想认识有误区</w:t>
      </w:r>
      <w:r>
        <w:rPr>
          <w:rFonts w:hint="default" w:ascii="Times New Roman" w:hAnsi="Times New Roman" w:eastAsia="仿宋_GB2312" w:cs="Times New Roman"/>
          <w:color w:val="auto"/>
          <w:sz w:val="32"/>
          <w:szCs w:val="32"/>
          <w:highlight w:val="none"/>
          <w:lang w:eastAsia="zh-CN"/>
        </w:rPr>
        <w:t>；二是</w:t>
      </w:r>
      <w:r>
        <w:rPr>
          <w:rFonts w:hint="default" w:ascii="Times New Roman" w:hAnsi="Times New Roman" w:eastAsia="仿宋_GB2312" w:cs="Times New Roman"/>
          <w:sz w:val="32"/>
          <w:szCs w:val="32"/>
          <w:highlight w:val="none"/>
          <w:lang w:val="en-US" w:eastAsia="zh-CN"/>
        </w:rPr>
        <w:t>绩效管理专业人员匮乏，规范管理有盲点</w:t>
      </w:r>
      <w:r>
        <w:rPr>
          <w:rFonts w:hint="default" w:ascii="Times New Roman" w:hAnsi="Times New Roman" w:eastAsia="仿宋_GB2312" w:cs="Times New Roman"/>
          <w:color w:val="auto"/>
          <w:sz w:val="32"/>
          <w:szCs w:val="32"/>
          <w:highlight w:val="none"/>
          <w:lang w:eastAsia="zh-CN"/>
        </w:rPr>
        <w:t>。下一步改进措施：一是</w:t>
      </w:r>
      <w:r>
        <w:rPr>
          <w:rFonts w:hint="default" w:ascii="Times New Roman" w:hAnsi="Times New Roman" w:eastAsia="仿宋_GB2312" w:cs="Times New Roman"/>
          <w:sz w:val="32"/>
          <w:szCs w:val="32"/>
          <w:highlight w:val="none"/>
          <w:lang w:val="en-US" w:eastAsia="zh-CN"/>
        </w:rPr>
        <w:t>加强宣传引导，强化绩效观念</w:t>
      </w:r>
      <w:r>
        <w:rPr>
          <w:rFonts w:hint="default" w:ascii="Times New Roman" w:hAnsi="Times New Roman" w:eastAsia="仿宋_GB2312" w:cs="Times New Roman"/>
          <w:color w:val="auto"/>
          <w:sz w:val="32"/>
          <w:szCs w:val="32"/>
          <w:highlight w:val="none"/>
          <w:lang w:eastAsia="zh-CN"/>
        </w:rPr>
        <w:t>；二是</w:t>
      </w:r>
      <w:r>
        <w:rPr>
          <w:rFonts w:hint="default" w:ascii="Times New Roman" w:hAnsi="Times New Roman" w:eastAsia="仿宋_GB2312" w:cs="Times New Roman"/>
          <w:sz w:val="32"/>
          <w:szCs w:val="32"/>
          <w:highlight w:val="none"/>
          <w:lang w:val="en-US" w:eastAsia="zh-CN"/>
        </w:rPr>
        <w:t>完善指标体系，规范评价标准，</w:t>
      </w:r>
      <w:r>
        <w:rPr>
          <w:rFonts w:hint="default" w:ascii="Times New Roman" w:hAnsi="Times New Roman" w:eastAsia="仿宋_GB2312" w:cs="Times New Roman"/>
          <w:sz w:val="32"/>
          <w:szCs w:val="32"/>
          <w:highlight w:val="none"/>
          <w:lang w:eastAsia="zh-CN"/>
        </w:rPr>
        <w:t>以问题为导向，加强工作落实</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78A6DF85">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0DF5E023">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14:paraId="62FD77E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top"/>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48249FC4">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51C1CCDA">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347BE55F">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68FD47DA">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5AB7E929">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6B1A6827">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49A79EE3">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AD3D65D">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0A9CD9">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77E246DB">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3EBC5A2B">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298E3AEC">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78B19CFA">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6FC98039">
      <w:pPr>
        <w:keepNext w:val="0"/>
        <w:keepLines w:val="0"/>
        <w:pageBreakBefore w:val="0"/>
        <w:widowControl w:val="0"/>
        <w:kinsoku/>
        <w:wordWrap/>
        <w:overflowPunct/>
        <w:topLinePunct w:val="0"/>
        <w:bidi w:val="0"/>
        <w:adjustRightInd/>
        <w:snapToGrid/>
        <w:spacing w:line="560" w:lineRule="exact"/>
        <w:ind w:firstLine="643" w:firstLineChars="200"/>
        <w:jc w:val="both"/>
        <w:textAlignment w:val="top"/>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49B636C2">
      <w:pPr>
        <w:keepNext w:val="0"/>
        <w:keepLines w:val="0"/>
        <w:pageBreakBefore w:val="0"/>
        <w:widowControl w:val="0"/>
        <w:kinsoku/>
        <w:wordWrap/>
        <w:overflowPunct/>
        <w:topLinePunct w:val="0"/>
        <w:autoSpaceDE/>
        <w:autoSpaceDN/>
        <w:bidi w:val="0"/>
        <w:adjustRightInd/>
        <w:snapToGrid/>
        <w:spacing w:line="560" w:lineRule="exact"/>
        <w:jc w:val="center"/>
        <w:textAlignment w:val="top"/>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14D75A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333EF3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2E55DC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14:paraId="0AEA41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0AD8BB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1A956C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10D2B6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00AA6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128AB8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top"/>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618F6D5B">
      <w:pPr>
        <w:keepNext w:val="0"/>
        <w:keepLines w:val="0"/>
        <w:pageBreakBefore w:val="0"/>
        <w:widowControl w:val="0"/>
        <w:kinsoku/>
        <w:wordWrap/>
        <w:overflowPunct/>
        <w:topLinePunct w:val="0"/>
        <w:bidi w:val="0"/>
        <w:adjustRightInd/>
        <w:snapToGrid/>
        <w:spacing w:line="560" w:lineRule="exact"/>
        <w:ind w:firstLine="640" w:firstLineChars="200"/>
        <w:jc w:val="both"/>
        <w:textAlignment w:val="top"/>
        <w:rPr>
          <w:rFonts w:hint="default" w:ascii="Times New Roman" w:hAnsi="Times New Roman" w:eastAsia="仿宋_GB2312" w:cs="Times New Roman"/>
          <w:color w:val="auto"/>
          <w:sz w:val="32"/>
          <w:szCs w:val="32"/>
          <w:highlight w:val="none"/>
        </w:rPr>
      </w:pPr>
    </w:p>
    <w:p w14:paraId="35D939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top"/>
        <w:outlineLvl w:val="1"/>
        <w:rPr>
          <w:rFonts w:hint="default" w:ascii="Times New Roman" w:hAnsi="Times New Roman" w:eastAsia="黑体" w:cs="Times New Roman"/>
          <w:bCs/>
          <w:color w:val="auto"/>
          <w:kern w:val="0"/>
          <w:sz w:val="32"/>
          <w:szCs w:val="32"/>
          <w:highlight w:val="none"/>
          <w:lang w:eastAsia="zh-CN"/>
        </w:rPr>
      </w:pPr>
    </w:p>
    <w:sectPr>
      <w:pgSz w:w="11906" w:h="16838"/>
      <w:pgMar w:top="2098" w:right="1587"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4AF4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488EB">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1EE2D">
    <w:pPr>
      <w:pStyle w:val="10"/>
    </w:pPr>
    <w:r>
      <w:rPr>
        <w:sz w:val="18"/>
      </w:rPr>
      <mc:AlternateContent>
        <mc:Choice Requires="wps">
          <w:drawing>
            <wp:anchor distT="0" distB="0" distL="114300" distR="114300" simplePos="0" relativeHeight="251659264" behindDoc="0" locked="0" layoutInCell="1" allowOverlap="1">
              <wp:simplePos x="0" y="0"/>
              <wp:positionH relativeFrom="margin">
                <wp:posOffset>2357755</wp:posOffset>
              </wp:positionH>
              <wp:positionV relativeFrom="paragraph">
                <wp:posOffset>0</wp:posOffset>
              </wp:positionV>
              <wp:extent cx="920115" cy="3333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920115" cy="333375"/>
                      </a:xfrm>
                      <a:prstGeom prst="rect">
                        <a:avLst/>
                      </a:prstGeom>
                      <a:noFill/>
                      <a:ln>
                        <a:noFill/>
                      </a:ln>
                    </wps:spPr>
                    <wps:txbx>
                      <w:txbxContent>
                        <w:p w14:paraId="213D89C5">
                          <w:pPr>
                            <w:pStyle w:val="10"/>
                            <w:jc w:val="center"/>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heme="majorEastAsia" w:hAnsiTheme="majorEastAsia" w:eastAsiaTheme="majorEastAsia" w:cstheme="majorEastAsia"/>
                              <w:sz w:val="28"/>
                              <w:szCs w:val="28"/>
                              <w:lang w:eastAsia="zh-CN"/>
                            </w:rPr>
                            <w:t xml:space="preserve"> —</w:t>
                          </w:r>
                        </w:p>
                      </w:txbxContent>
                    </wps:txbx>
                    <wps:bodyPr vert="horz" wrap="square" lIns="0" tIns="0" rIns="0" bIns="0" anchor="t" anchorCtr="0" upright="0">
                      <a:noAutofit/>
                    </wps:bodyPr>
                  </wps:wsp>
                </a:graphicData>
              </a:graphic>
            </wp:anchor>
          </w:drawing>
        </mc:Choice>
        <mc:Fallback>
          <w:pict>
            <v:shape id="_x0000_s1026" o:spid="_x0000_s1026" o:spt="202" type="#_x0000_t202" style="position:absolute;left:0pt;margin-left:185.65pt;margin-top:0pt;height:26.25pt;width:72.45pt;mso-position-horizontal-relative:margin;z-index:251659264;mso-width-relative:page;mso-height-relative:page;" filled="f" stroked="f" coordsize="21600,21600" o:gfxdata="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BEq6PXAAAABwEA&#10;AA8AAAAAAAAAAQAgAAAAIgAAAGRycy9kb3ducmV2LnhtbFBLAQIUABQAAAAIAIdO4kCE1pcI4gEA&#10;AL4DAAAOAAAAAAAAAAEAIAAAACYBAABkcnMvZTJvRG9jLnhtbFBLBQYAAAAABgAGAFkBAAB6BQAA&#10;AAA=&#10;">
              <v:fill on="f" focussize="0,0"/>
              <v:stroke on="f"/>
              <v:imagedata o:title=""/>
              <o:lock v:ext="edit" aspectratio="f"/>
              <v:textbox inset="0mm,0mm,0mm,0mm">
                <w:txbxContent>
                  <w:p w14:paraId="213D89C5">
                    <w:pPr>
                      <w:pStyle w:val="10"/>
                      <w:jc w:val="center"/>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heme="majorEastAsia" w:hAnsiTheme="majorEastAsia" w:eastAsiaTheme="majorEastAsia" w:cstheme="major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ZWM0OWExNTE5MjI1NzgzZTNkYzY0NjljYjI5NzEifQ=="/>
    <w:docVar w:name="KSO_WPS_MARK_KEY" w:val="41ee2a61-2d54-4f93-83be-afdb9a40d732"/>
  </w:docVars>
  <w:rsids>
    <w:rsidRoot w:val="00000000"/>
    <w:rsid w:val="00213C59"/>
    <w:rsid w:val="003210CE"/>
    <w:rsid w:val="00B70D59"/>
    <w:rsid w:val="00DA3EA5"/>
    <w:rsid w:val="00F52A8D"/>
    <w:rsid w:val="019404F8"/>
    <w:rsid w:val="02BD3108"/>
    <w:rsid w:val="02F73D26"/>
    <w:rsid w:val="034D4FEF"/>
    <w:rsid w:val="035D1785"/>
    <w:rsid w:val="039F47CE"/>
    <w:rsid w:val="03E05CE8"/>
    <w:rsid w:val="03F973EE"/>
    <w:rsid w:val="043E5B56"/>
    <w:rsid w:val="048B3E34"/>
    <w:rsid w:val="04C04386"/>
    <w:rsid w:val="04FA68C4"/>
    <w:rsid w:val="053F5AE6"/>
    <w:rsid w:val="057C0B0F"/>
    <w:rsid w:val="05EF4B48"/>
    <w:rsid w:val="05F76ECA"/>
    <w:rsid w:val="061C291F"/>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B1211B"/>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E73EE9"/>
    <w:rsid w:val="105B0B5E"/>
    <w:rsid w:val="112E58D0"/>
    <w:rsid w:val="11351C2F"/>
    <w:rsid w:val="116C7709"/>
    <w:rsid w:val="11731CAC"/>
    <w:rsid w:val="119500A0"/>
    <w:rsid w:val="11C0733B"/>
    <w:rsid w:val="11D50D17"/>
    <w:rsid w:val="120E0809"/>
    <w:rsid w:val="127F665A"/>
    <w:rsid w:val="12F7068C"/>
    <w:rsid w:val="14207DC0"/>
    <w:rsid w:val="14B932DA"/>
    <w:rsid w:val="150A66AF"/>
    <w:rsid w:val="154C1139"/>
    <w:rsid w:val="158346B4"/>
    <w:rsid w:val="158C5B77"/>
    <w:rsid w:val="160D1149"/>
    <w:rsid w:val="163563C0"/>
    <w:rsid w:val="164315EF"/>
    <w:rsid w:val="16557DFE"/>
    <w:rsid w:val="167268FB"/>
    <w:rsid w:val="16770D0A"/>
    <w:rsid w:val="16D47674"/>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03D28"/>
    <w:rsid w:val="1C472464"/>
    <w:rsid w:val="1D22799A"/>
    <w:rsid w:val="1D5C1A72"/>
    <w:rsid w:val="1DAF458D"/>
    <w:rsid w:val="1E086ACE"/>
    <w:rsid w:val="1E62130A"/>
    <w:rsid w:val="1E97358B"/>
    <w:rsid w:val="1EAA4A5F"/>
    <w:rsid w:val="1EE869A7"/>
    <w:rsid w:val="1FA15E62"/>
    <w:rsid w:val="1FED69B6"/>
    <w:rsid w:val="20182B1A"/>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3B183F"/>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532A1D"/>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5E673FC"/>
    <w:rsid w:val="36965B9D"/>
    <w:rsid w:val="36C549FD"/>
    <w:rsid w:val="37A755DD"/>
    <w:rsid w:val="37F94FA0"/>
    <w:rsid w:val="380D3381"/>
    <w:rsid w:val="38115B1F"/>
    <w:rsid w:val="385E3AC3"/>
    <w:rsid w:val="387D6B9E"/>
    <w:rsid w:val="38B75FF0"/>
    <w:rsid w:val="38D45016"/>
    <w:rsid w:val="38D90432"/>
    <w:rsid w:val="3914510A"/>
    <w:rsid w:val="3926770B"/>
    <w:rsid w:val="3971469F"/>
    <w:rsid w:val="398D3668"/>
    <w:rsid w:val="39DA0497"/>
    <w:rsid w:val="3A1222D4"/>
    <w:rsid w:val="3A893816"/>
    <w:rsid w:val="3A893B6D"/>
    <w:rsid w:val="3AD1763A"/>
    <w:rsid w:val="3B6716E3"/>
    <w:rsid w:val="3B6C6B2D"/>
    <w:rsid w:val="3C242659"/>
    <w:rsid w:val="3C96719C"/>
    <w:rsid w:val="3CA72BE8"/>
    <w:rsid w:val="3CF37F8C"/>
    <w:rsid w:val="3D137554"/>
    <w:rsid w:val="3D5275AC"/>
    <w:rsid w:val="3D536596"/>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390199"/>
    <w:rsid w:val="41431AD5"/>
    <w:rsid w:val="414B3C0F"/>
    <w:rsid w:val="417C1CE7"/>
    <w:rsid w:val="41900018"/>
    <w:rsid w:val="41944406"/>
    <w:rsid w:val="41CE128F"/>
    <w:rsid w:val="41DA6F12"/>
    <w:rsid w:val="42171FB1"/>
    <w:rsid w:val="42605F7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67A51"/>
    <w:rsid w:val="4E4D37AF"/>
    <w:rsid w:val="4E8B1908"/>
    <w:rsid w:val="4E8C6496"/>
    <w:rsid w:val="4EFD18DE"/>
    <w:rsid w:val="4F144236"/>
    <w:rsid w:val="4F663C87"/>
    <w:rsid w:val="4F6A7A4F"/>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4E467D1"/>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3A26EB"/>
    <w:rsid w:val="5BD456CE"/>
    <w:rsid w:val="5C0D1F49"/>
    <w:rsid w:val="5CBB0CE2"/>
    <w:rsid w:val="5CC17177"/>
    <w:rsid w:val="5CF306BC"/>
    <w:rsid w:val="5D3F3D64"/>
    <w:rsid w:val="5D833043"/>
    <w:rsid w:val="5DD92690"/>
    <w:rsid w:val="5DDB1CFD"/>
    <w:rsid w:val="5E7E6D93"/>
    <w:rsid w:val="5ECF75EF"/>
    <w:rsid w:val="5ED44800"/>
    <w:rsid w:val="5F350BDE"/>
    <w:rsid w:val="5F61632C"/>
    <w:rsid w:val="5FA17648"/>
    <w:rsid w:val="5FE705CB"/>
    <w:rsid w:val="603D5080"/>
    <w:rsid w:val="60D0261B"/>
    <w:rsid w:val="618E3791"/>
    <w:rsid w:val="61947DCA"/>
    <w:rsid w:val="61A46A97"/>
    <w:rsid w:val="61D1382F"/>
    <w:rsid w:val="61F114A2"/>
    <w:rsid w:val="62512BB4"/>
    <w:rsid w:val="625D7D1A"/>
    <w:rsid w:val="62AE32CD"/>
    <w:rsid w:val="62DD7D21"/>
    <w:rsid w:val="637D586B"/>
    <w:rsid w:val="63A5560B"/>
    <w:rsid w:val="63E9091F"/>
    <w:rsid w:val="64322AF9"/>
    <w:rsid w:val="64D6010D"/>
    <w:rsid w:val="64D82665"/>
    <w:rsid w:val="64E47C96"/>
    <w:rsid w:val="651E5741"/>
    <w:rsid w:val="658A4877"/>
    <w:rsid w:val="65954E51"/>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C975E8"/>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316997"/>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D9DD0C"/>
    <w:rsid w:val="77ED6F44"/>
    <w:rsid w:val="77F45548"/>
    <w:rsid w:val="784E7CA6"/>
    <w:rsid w:val="78574801"/>
    <w:rsid w:val="7873527F"/>
    <w:rsid w:val="78B574D7"/>
    <w:rsid w:val="78F13B7E"/>
    <w:rsid w:val="790A6425"/>
    <w:rsid w:val="790E2D96"/>
    <w:rsid w:val="791B54B2"/>
    <w:rsid w:val="795A0A34"/>
    <w:rsid w:val="797339C3"/>
    <w:rsid w:val="79D57D57"/>
    <w:rsid w:val="79F00650"/>
    <w:rsid w:val="7A6242BF"/>
    <w:rsid w:val="7A794513"/>
    <w:rsid w:val="7AE952D2"/>
    <w:rsid w:val="7B136D89"/>
    <w:rsid w:val="7C7248A0"/>
    <w:rsid w:val="7C976D69"/>
    <w:rsid w:val="7CD752DA"/>
    <w:rsid w:val="7CDE40AB"/>
    <w:rsid w:val="7CF057E2"/>
    <w:rsid w:val="7D1548B5"/>
    <w:rsid w:val="7DF84014"/>
    <w:rsid w:val="7E1626EC"/>
    <w:rsid w:val="7E207949"/>
    <w:rsid w:val="7E5C0A47"/>
    <w:rsid w:val="7E670C75"/>
    <w:rsid w:val="7E881DDB"/>
    <w:rsid w:val="7EE24272"/>
    <w:rsid w:val="7EEA6053"/>
    <w:rsid w:val="7F487C04"/>
    <w:rsid w:val="7FB45F21"/>
    <w:rsid w:val="7FE57088"/>
    <w:rsid w:val="7FF37FA3"/>
    <w:rsid w:val="7FF7B265"/>
    <w:rsid w:val="7FFC48D6"/>
    <w:rsid w:val="AFE5E764"/>
    <w:rsid w:val="CDB61641"/>
    <w:rsid w:val="DF7C6108"/>
    <w:rsid w:val="DFA751DE"/>
    <w:rsid w:val="FAF2FA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样式1"/>
    <w:basedOn w:val="3"/>
    <w:next w:val="5"/>
    <w:qFormat/>
    <w:uiPriority w:val="0"/>
    <w:pPr>
      <w:jc w:val="left"/>
    </w:pPr>
    <w:rPr>
      <w:rFonts w:ascii="Calibri" w:hAnsi="Calibri" w:eastAsia="仿宋_GB2312" w:cs="Times New Roman"/>
      <w:sz w:val="32"/>
    </w:rPr>
  </w:style>
  <w:style w:type="paragraph" w:customStyle="1" w:styleId="3">
    <w:name w:val="样式 标题 3 + 宋体 非加粗 黑色 段前: 6 磅 行距: 多倍行距 1.25 字行"/>
    <w:basedOn w:val="4"/>
    <w:qFormat/>
    <w:uiPriority w:val="0"/>
    <w:pPr>
      <w:spacing w:before="40" w:beforeLines="0" w:line="400" w:lineRule="exact"/>
    </w:pPr>
    <w:rPr>
      <w:rFonts w:cs="宋体"/>
      <w:color w:val="000000"/>
      <w:sz w:val="24"/>
      <w:szCs w:val="24"/>
    </w:rPr>
  </w:style>
  <w:style w:type="paragraph" w:customStyle="1" w:styleId="5">
    <w:name w:val="样式2"/>
    <w:basedOn w:val="1"/>
    <w:next w:val="6"/>
    <w:qFormat/>
    <w:uiPriority w:val="0"/>
    <w:pPr>
      <w:ind w:firstLine="200" w:firstLineChars="200"/>
    </w:pPr>
    <w:rPr>
      <w:rFonts w:eastAsia="仿宋_GB2312"/>
      <w:sz w:val="32"/>
    </w:rPr>
  </w:style>
  <w:style w:type="paragraph" w:styleId="8">
    <w:name w:val="annotation text"/>
    <w:basedOn w:val="1"/>
    <w:qFormat/>
    <w:uiPriority w:val="0"/>
    <w:pPr>
      <w:jc w:val="left"/>
    </w:p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7">
    <w:name w:val="Strong"/>
    <w:basedOn w:val="16"/>
    <w:qFormat/>
    <w:uiPriority w:val="0"/>
    <w:rPr>
      <w:b/>
    </w:rPr>
  </w:style>
  <w:style w:type="paragraph" w:customStyle="1" w:styleId="18">
    <w:name w:val="WPSOffice手动目录 3"/>
    <w:qFormat/>
    <w:uiPriority w:val="0"/>
    <w:pPr>
      <w:ind w:leftChars="40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5729</Words>
  <Characters>6417</Characters>
  <Lines>0</Lines>
  <Paragraphs>0</Paragraphs>
  <TotalTime>0</TotalTime>
  <ScaleCrop>false</ScaleCrop>
  <LinksUpToDate>false</LinksUpToDate>
  <CharactersWithSpaces>6427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冬日暖阳</cp:lastModifiedBy>
  <dcterms:modified xsi:type="dcterms:W3CDTF">2024-09-10T12:08:04Z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6366C8AD78754438B31E3CF100351FDC_13</vt:lpwstr>
  </property>
</Properties>
</file>