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Times New Roman" w:hAnsi="Times New Roman"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方正小标宋_GBK"/>
          <w:color w:val="auto"/>
          <w:sz w:val="44"/>
          <w:szCs w:val="44"/>
          <w:highlight w:val="none"/>
          <w:lang w:val="en-US" w:eastAsia="zh-CN"/>
        </w:rPr>
      </w:pPr>
      <w:r>
        <w:rPr>
          <w:rFonts w:hint="eastAsia" w:ascii="Times New Roman" w:hAnsi="Times New Roman" w:eastAsia="方正小标宋_GBK"/>
          <w:color w:val="auto"/>
          <w:sz w:val="44"/>
          <w:szCs w:val="44"/>
          <w:highlight w:val="none"/>
          <w:lang w:val="en-US" w:eastAsia="zh-CN"/>
        </w:rPr>
        <w:t>新疆维吾尔自治区水利厅机关</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lang w:eastAsia="zh-CN"/>
        </w:rPr>
        <w:t>2023年度</w:t>
      </w:r>
      <w:r>
        <w:rPr>
          <w:rFonts w:hint="eastAsia" w:ascii="Times New Roman" w:hAnsi="Times New Roman" w:eastAsia="方正小标宋_GBK"/>
          <w:color w:val="auto"/>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b/>
          <w:bCs w:val="0"/>
          <w:color w:val="auto"/>
          <w:kern w:val="0"/>
          <w:sz w:val="36"/>
          <w:szCs w:val="36"/>
          <w:highlight w:val="none"/>
        </w:rPr>
        <w:sectPr>
          <w:pgSz w:w="11906" w:h="16838"/>
          <w:pgMar w:top="1440" w:right="1800" w:bottom="1440" w:left="1800" w:header="851" w:footer="992" w:gutter="0"/>
          <w:pgNumType w:fmt="decimal" w:start="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Times New Roman" w:hAnsi="Times New Roman" w:eastAsia="仿宋_GB2312" w:cs="仿宋_GB2312"/>
          <w:b w:val="0"/>
          <w:bCs/>
          <w:color w:val="auto"/>
          <w:kern w:val="0"/>
          <w:sz w:val="32"/>
          <w:szCs w:val="32"/>
          <w:highlight w:val="none"/>
        </w:rPr>
      </w:pPr>
      <w:r>
        <w:rPr>
          <w:rFonts w:hint="eastAsia" w:ascii="Times New Roman" w:hAnsi="Times New Roman"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TOC \o "1-3" \n  \h \u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_Toc32314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 xml:space="preserve">第一部分 </w:t>
      </w:r>
      <w:r>
        <w:rPr>
          <w:rFonts w:hint="eastAsia" w:ascii="Times New Roman" w:hAnsi="Times New Roman" w:eastAsia="仿宋_GB2312" w:cs="仿宋_GB2312"/>
          <w:b/>
          <w:bCs/>
          <w:color w:val="auto"/>
          <w:sz w:val="32"/>
          <w:szCs w:val="32"/>
          <w:highlight w:val="none"/>
          <w:lang w:eastAsia="zh-CN"/>
        </w:rPr>
        <w:t>单位</w:t>
      </w:r>
      <w:r>
        <w:rPr>
          <w:rFonts w:hint="eastAsia" w:ascii="Times New Roman" w:hAnsi="Times New Roman" w:eastAsia="仿宋_GB2312" w:cs="仿宋_GB2312"/>
          <w:b/>
          <w:bCs/>
          <w:color w:val="auto"/>
          <w:sz w:val="32"/>
          <w:szCs w:val="32"/>
          <w:highlight w:val="none"/>
        </w:rPr>
        <w:t>概况</w:t>
      </w:r>
      <w:r>
        <w:rPr>
          <w:rFonts w:hint="eastAsia" w:ascii="Times New Roman" w:hAnsi="Times New Roman"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_Toc30567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一、主要职能</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二、机构设置</w:t>
      </w:r>
      <w:r>
        <w:rPr>
          <w:rFonts w:hint="eastAsia" w:ascii="Times New Roman" w:hAnsi="Times New Roman" w:eastAsia="仿宋_GB2312" w:cs="仿宋_GB2312"/>
          <w:bCs/>
          <w:color w:val="auto"/>
          <w:kern w:val="0"/>
          <w:sz w:val="32"/>
          <w:szCs w:val="32"/>
          <w:highlight w:val="none"/>
          <w:lang w:eastAsia="zh-CN"/>
        </w:rPr>
        <w:t>及人员</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3" w:firstLineChars="20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_Toc29374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第二部分 部门决算情况说明</w:t>
      </w:r>
      <w:r>
        <w:rPr>
          <w:rFonts w:hint="eastAsia" w:ascii="Times New Roman" w:hAnsi="Times New Roman"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_Toc25314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一、收入支出决算总体情况说明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_Toc12142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二、</w:t>
      </w:r>
      <w:r>
        <w:rPr>
          <w:rFonts w:hint="eastAsia" w:ascii="Times New Roman" w:hAnsi="Times New Roman" w:eastAsia="仿宋_GB2312" w:cs="仿宋_GB2312"/>
          <w:bCs/>
          <w:color w:val="auto"/>
          <w:kern w:val="0"/>
          <w:sz w:val="32"/>
          <w:szCs w:val="32"/>
          <w:highlight w:val="none"/>
        </w:rPr>
        <w:t>收入</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_Toc13201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三、支出决算情况说明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_Toc26564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四、财政拨款收入支出决算总体情况说明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_Toc20360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五、一般公共预算财政拨款支出决算情况说明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_Toc30870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六、一般公共预算财政拨款基本支出决算情况说明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_Toc21518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七</w:t>
      </w:r>
      <w:r>
        <w:rPr>
          <w:rFonts w:hint="eastAsia" w:ascii="Times New Roman" w:hAnsi="Times New Roman" w:eastAsia="仿宋_GB2312" w:cs="仿宋_GB2312"/>
          <w:bCs/>
          <w:color w:val="auto"/>
          <w:kern w:val="0"/>
          <w:sz w:val="32"/>
          <w:szCs w:val="32"/>
          <w:highlight w:val="none"/>
        </w:rPr>
        <w:t>、</w:t>
      </w:r>
      <w:r>
        <w:rPr>
          <w:rFonts w:hint="eastAsia" w:ascii="Times New Roman" w:hAnsi="Times New Roman" w:eastAsia="仿宋_GB2312" w:cs="仿宋_GB2312"/>
          <w:bCs/>
          <w:color w:val="auto"/>
          <w:kern w:val="0"/>
          <w:sz w:val="32"/>
          <w:szCs w:val="32"/>
          <w:highlight w:val="none"/>
          <w:lang w:eastAsia="zh-CN"/>
        </w:rPr>
        <w:t>财政拨款</w:t>
      </w:r>
      <w:r>
        <w:rPr>
          <w:rFonts w:hint="eastAsia" w:ascii="Times New Roman" w:hAnsi="Times New Roman" w:eastAsia="仿宋_GB2312" w:cs="仿宋_GB2312"/>
          <w:bCs/>
          <w:color w:val="auto"/>
          <w:kern w:val="0"/>
          <w:sz w:val="32"/>
          <w:szCs w:val="32"/>
          <w:highlight w:val="none"/>
        </w:rPr>
        <w:t>“三公”经费支出</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lang w:eastAsia="zh-CN"/>
        </w:rPr>
        <w:t>政府性基金预算财政拨款收入支出决算情况说明</w:t>
      </w:r>
      <w:r>
        <w:rPr>
          <w:rFonts w:hint="eastAsia" w:ascii="Times New Roman" w:hAnsi="Times New Roman"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560" w:lineRule="exact"/>
        <w:ind w:firstLine="640" w:firstLineChars="200"/>
        <w:textAlignment w:val="auto"/>
        <w:rPr>
          <w:rFonts w:hint="eastAsia"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、国有资本经营预算财政拨款收入支出决算情况说明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_Toc1235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bCs/>
          <w:color w:val="auto"/>
          <w:kern w:val="0"/>
          <w:sz w:val="32"/>
          <w:szCs w:val="32"/>
          <w:highlight w:val="none"/>
        </w:rPr>
        <w:t>、其他重要事项的情况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_Toc14519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（一）</w:t>
      </w:r>
      <w:r>
        <w:rPr>
          <w:rFonts w:hint="eastAsia" w:ascii="Times New Roman" w:hAnsi="Times New Roman" w:eastAsia="仿宋_GB2312" w:cs="仿宋_GB2312"/>
          <w:color w:val="auto"/>
          <w:sz w:val="32"/>
          <w:szCs w:val="32"/>
          <w:highlight w:val="none"/>
        </w:rPr>
        <w:t>机关运行经费支出情况</w:t>
      </w:r>
      <w:r>
        <w:rPr>
          <w:rFonts w:hint="eastAsia" w:ascii="Times New Roman" w:hAnsi="Times New Roman"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_Toc227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（二）政府采购情况</w:t>
      </w:r>
      <w:r>
        <w:rPr>
          <w:rFonts w:hint="eastAsia" w:ascii="Times New Roman" w:hAnsi="Times New Roman"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_Toc8391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（三）国有资产占用情况说明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_Toc11283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十</w:t>
      </w:r>
      <w:r>
        <w:rPr>
          <w:rFonts w:hint="eastAsia" w:ascii="Times New Roman" w:hAnsi="Times New Roman" w:eastAsia="仿宋_GB2312" w:cs="仿宋_GB2312"/>
          <w:bCs/>
          <w:color w:val="auto"/>
          <w:kern w:val="0"/>
          <w:sz w:val="32"/>
          <w:szCs w:val="32"/>
          <w:highlight w:val="none"/>
          <w:lang w:val="en-US" w:eastAsia="zh-CN"/>
        </w:rPr>
        <w:t>一</w:t>
      </w:r>
      <w:r>
        <w:rPr>
          <w:rFonts w:hint="eastAsia" w:ascii="Times New Roman" w:hAnsi="Times New Roman" w:eastAsia="仿宋_GB2312" w:cs="仿宋_GB2312"/>
          <w:bCs/>
          <w:color w:val="auto"/>
          <w:kern w:val="0"/>
          <w:sz w:val="32"/>
          <w:szCs w:val="32"/>
          <w:highlight w:val="none"/>
          <w:lang w:eastAsia="zh-CN"/>
        </w:rPr>
        <w:t>、预算绩效的情况说明</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3" w:firstLineChars="20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_Toc3250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第三部分 专业名词解释</w:t>
      </w:r>
      <w:r>
        <w:rPr>
          <w:rFonts w:hint="eastAsia" w:ascii="Times New Roman" w:hAnsi="Times New Roman"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3" w:firstLineChars="20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_Toc22784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第四部分 部门决算报表（见附表）</w:t>
      </w:r>
      <w:r>
        <w:rPr>
          <w:rFonts w:hint="eastAsia" w:ascii="Times New Roman" w:hAnsi="Times New Roman"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sectPr>
          <w:footerReference r:id="rId3" w:type="default"/>
          <w:pgSz w:w="11906" w:h="16838"/>
          <w:pgMar w:top="1440" w:right="1800" w:bottom="1440" w:left="1800" w:header="851" w:footer="992" w:gutter="0"/>
          <w:pgNumType w:fmt="decimal" w:start="1"/>
          <w:cols w:space="720" w:num="1"/>
          <w:docGrid w:type="lines" w:linePitch="312" w:charSpace="0"/>
        </w:sectPr>
      </w:pP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一、《收入支出决算总表》</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_Toc24532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二、《收入决算表》</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_Toc32434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三、《支出决算表》</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_Toc28786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四、《财政拨款收入支出决算总表》</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_Toc14869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五、《一般公共预算财政拨款支出决算表》</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_Toc8884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六、《一般公共预算财政拨款基本支出决算表》</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_Toc29106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七、《财政拨款“三公”经费支出决算表》</w:t>
      </w:r>
      <w:r>
        <w:rPr>
          <w:rFonts w:hint="eastAsia" w:ascii="Times New Roman" w:hAnsi="Times New Roman"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rPr>
      </w:pPr>
      <w:r>
        <w:rPr>
          <w:rFonts w:hint="eastAsia" w:ascii="Times New Roman" w:hAnsi="Times New Roman" w:eastAsia="仿宋_GB2312" w:cs="仿宋_GB2312"/>
          <w:bCs/>
          <w:color w:val="auto"/>
          <w:kern w:val="0"/>
          <w:sz w:val="32"/>
          <w:szCs w:val="32"/>
          <w:highlight w:val="none"/>
        </w:rPr>
        <w:fldChar w:fldCharType="begin"/>
      </w:r>
      <w:r>
        <w:rPr>
          <w:rFonts w:hint="eastAsia" w:ascii="Times New Roman" w:hAnsi="Times New Roman" w:eastAsia="仿宋_GB2312" w:cs="仿宋_GB2312"/>
          <w:bCs/>
          <w:color w:val="auto"/>
          <w:kern w:val="0"/>
          <w:sz w:val="32"/>
          <w:szCs w:val="32"/>
          <w:highlight w:val="none"/>
        </w:rPr>
        <w:instrText xml:space="preserve"> HYPERLINK \l _Toc7643 </w:instrText>
      </w:r>
      <w:r>
        <w:rPr>
          <w:rFonts w:hint="eastAsia" w:ascii="Times New Roman" w:hAnsi="Times New Roman" w:eastAsia="仿宋_GB2312" w:cs="仿宋_GB2312"/>
          <w:bCs/>
          <w:color w:val="auto"/>
          <w:kern w:val="0"/>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rPr>
        <w:t>《政府性基金预算财政拨款收入支出决算表》</w:t>
      </w:r>
      <w:r>
        <w:rPr>
          <w:rFonts w:hint="eastAsia" w:ascii="Times New Roman" w:hAnsi="Times New Roman"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lang w:eastAsia="zh-CN"/>
        </w:rPr>
      </w:pP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w:t>
      </w:r>
      <w:r>
        <w:rPr>
          <w:rFonts w:hint="eastAsia" w:ascii="Times New Roman" w:hAnsi="Times New Roman" w:eastAsia="仿宋_GB2312" w:cs="仿宋_GB2312"/>
          <w:bCs/>
          <w:color w:val="auto"/>
          <w:kern w:val="0"/>
          <w:sz w:val="32"/>
          <w:szCs w:val="32"/>
          <w:highlight w:val="none"/>
        </w:rPr>
        <w:t>预算财政拨款收入支出决算表</w:t>
      </w:r>
      <w:r>
        <w:rPr>
          <w:rFonts w:hint="eastAsia" w:ascii="Times New Roman" w:hAnsi="Times New Roman"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sectPr>
          <w:footerReference r:id="rId4" w:type="default"/>
          <w:pgSz w:w="11906" w:h="16838"/>
          <w:pgMar w:top="1440" w:right="1800" w:bottom="1440" w:left="1800" w:header="851" w:footer="992" w:gutter="0"/>
          <w:pgNumType w:fmt="decimal" w:start="1"/>
          <w:cols w:space="720" w:num="1"/>
          <w:docGrid w:type="lines" w:linePitch="312" w:charSpace="0"/>
        </w:sectPr>
      </w:pPr>
      <w:bookmarkStart w:id="0" w:name="_Toc24028"/>
      <w:bookmarkStart w:id="1" w:name="_Toc323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 xml:space="preserve">第一部分 </w:t>
      </w:r>
      <w:r>
        <w:rPr>
          <w:rFonts w:hint="eastAsia" w:ascii="Times New Roman" w:hAnsi="Times New Roman" w:eastAsia="黑体"/>
          <w:color w:val="auto"/>
          <w:sz w:val="32"/>
          <w:szCs w:val="32"/>
          <w:highlight w:val="none"/>
          <w:lang w:eastAsia="zh-CN"/>
        </w:rPr>
        <w:t>单位</w:t>
      </w:r>
      <w:r>
        <w:rPr>
          <w:rFonts w:hint="eastAsia" w:ascii="Times New Roman" w:hAnsi="Times New Roman"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Times New Roman" w:hAnsi="Times New Roman" w:eastAsia="黑体" w:cs="宋体"/>
          <w:bCs/>
          <w:color w:val="auto"/>
          <w:kern w:val="0"/>
          <w:sz w:val="32"/>
          <w:szCs w:val="32"/>
          <w:highlight w:val="none"/>
        </w:rPr>
      </w:pPr>
      <w:bookmarkStart w:id="2" w:name="_Toc30738"/>
      <w:bookmarkStart w:id="3" w:name="_Toc30567"/>
      <w:r>
        <w:rPr>
          <w:rFonts w:hint="eastAsia" w:ascii="Times New Roman" w:hAnsi="Times New Roman" w:eastAsia="黑体" w:cs="宋体"/>
          <w:bCs/>
          <w:color w:val="auto"/>
          <w:kern w:val="0"/>
          <w:sz w:val="32"/>
          <w:szCs w:val="32"/>
          <w:highlight w:val="none"/>
        </w:rPr>
        <w:t>一、主要职能</w:t>
      </w:r>
      <w:bookmarkEnd w:id="2"/>
      <w:bookmarkEnd w:id="3"/>
    </w:p>
    <w:p>
      <w:pPr>
        <w:keepNext w:val="0"/>
        <w:keepLines w:val="0"/>
        <w:pageBreakBefore w:val="0"/>
        <w:kinsoku/>
        <w:wordWrap/>
        <w:overflowPunct/>
        <w:topLinePunct w:val="0"/>
        <w:bidi w:val="0"/>
        <w:adjustRightInd/>
        <w:snapToGrid w:val="0"/>
        <w:spacing w:line="56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sz w:val="32"/>
          <w:szCs w:val="32"/>
        </w:rPr>
        <w:t>新疆水利厅机关是新疆人民政府的职能部门,是新疆水行政主管部门，积极贯彻落实党中央关于水利工作方针政府决策部署以及自治区党委要求，主要职责是：负责保障水资源的合理开发利用；负责生活、生产经营和生态环境用水的统筹和保障；按规定制定水利工程建设有关制度并组织实施，负责提出水利固定资产投资规模方向、具体安排建议并组织实施，按规定权限审批、核准规划和年度计划内固定资产投资项目，提出水利资金安排建议并负责项目实施的监督管理；指导水资源保护工作；负责节约用水工作；指导水文工作；指导水利设施、水域</w:t>
      </w:r>
      <w:r>
        <w:rPr>
          <w:rFonts w:hint="eastAsia" w:ascii="Times New Roman" w:hAnsi="Times New Roman" w:eastAsia="仿宋_GB2312"/>
          <w:sz w:val="32"/>
          <w:szCs w:val="32"/>
          <w:lang w:val="en-US" w:eastAsia="zh-CN"/>
        </w:rPr>
        <w:t>及其</w:t>
      </w:r>
      <w:r>
        <w:rPr>
          <w:rFonts w:hint="eastAsia" w:ascii="Times New Roman" w:hAnsi="Times New Roman" w:eastAsia="仿宋_GB2312"/>
          <w:sz w:val="32"/>
          <w:szCs w:val="32"/>
        </w:rPr>
        <w:t>岸线的管理、保护与综合利用；指导监督水利工程建设与运行管理；负责水土保持工作；指导农村水利工作；负责重大涉水违法事件的查处，协调整和仲裁地（州、市）水事纠纷，指导水政监察和水行政执法；开展水利科技和外事工作；负责落实综合防灾减灾规划相关要求，组织编制洪水干旱灾害防治规划和防护标准并指导实施；完成自治区党委、自治区人民政府交办的其他任务</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4" w:name="_Toc31238"/>
      <w:bookmarkStart w:id="5" w:name="_Toc2151"/>
      <w:r>
        <w:rPr>
          <w:rFonts w:hint="eastAsia" w:ascii="Times New Roman" w:hAnsi="Times New Roman" w:eastAsia="黑体" w:cs="宋体"/>
          <w:bCs/>
          <w:color w:val="auto"/>
          <w:kern w:val="0"/>
          <w:sz w:val="32"/>
          <w:szCs w:val="32"/>
          <w:highlight w:val="none"/>
        </w:rPr>
        <w:t>二、机构设置</w:t>
      </w:r>
      <w:r>
        <w:rPr>
          <w:rFonts w:hint="eastAsia" w:ascii="Times New Roman" w:hAnsi="Times New Roman" w:eastAsia="黑体" w:cs="宋体"/>
          <w:bCs/>
          <w:color w:val="auto"/>
          <w:kern w:val="0"/>
          <w:sz w:val="32"/>
          <w:szCs w:val="32"/>
          <w:highlight w:val="none"/>
          <w:lang w:eastAsia="zh-CN"/>
        </w:rPr>
        <w:t>及</w:t>
      </w:r>
      <w:bookmarkEnd w:id="4"/>
      <w:r>
        <w:rPr>
          <w:rFonts w:hint="eastAsia" w:ascii="Times New Roman" w:hAnsi="Times New Roman" w:eastAsia="黑体" w:cs="宋体"/>
          <w:bCs/>
          <w:color w:val="auto"/>
          <w:kern w:val="0"/>
          <w:sz w:val="32"/>
          <w:szCs w:val="32"/>
          <w:highlight w:val="none"/>
          <w:lang w:eastAsia="zh-CN"/>
        </w:rPr>
        <w:t>人员</w:t>
      </w:r>
      <w:r>
        <w:rPr>
          <w:rFonts w:hint="eastAsia" w:ascii="Times New Roman" w:hAnsi="Times New Roman"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新疆维吾尔自治区水利厅机关</w:t>
      </w:r>
      <w:r>
        <w:rPr>
          <w:rFonts w:hint="eastAsia" w:ascii="Times New Roman" w:hAnsi="Times New Roman" w:eastAsia="仿宋_GB2312" w:cs="仿宋_GB2312"/>
          <w:color w:val="auto"/>
          <w:sz w:val="32"/>
          <w:szCs w:val="32"/>
          <w:highlight w:val="none"/>
          <w:lang w:val="zh-CN" w:eastAsia="zh-CN"/>
        </w:rPr>
        <w:t>2023</w:t>
      </w:r>
      <w:r>
        <w:rPr>
          <w:rFonts w:hint="eastAsia" w:ascii="Times New Roman" w:hAnsi="Times New Roman" w:eastAsia="仿宋_GB2312"/>
          <w:color w:val="auto"/>
          <w:sz w:val="32"/>
          <w:szCs w:val="32"/>
          <w:highlight w:val="none"/>
          <w:lang w:eastAsia="zh-CN"/>
        </w:rPr>
        <w:t>年度，</w:t>
      </w:r>
      <w:r>
        <w:rPr>
          <w:rFonts w:hint="eastAsia" w:ascii="Times New Roman" w:hAnsi="Times New Roman" w:eastAsia="仿宋_GB2312"/>
          <w:color w:val="auto"/>
          <w:sz w:val="32"/>
          <w:szCs w:val="32"/>
          <w:highlight w:val="none"/>
        </w:rPr>
        <w:t>实有人数</w:t>
      </w:r>
      <w:r>
        <w:rPr>
          <w:rFonts w:hint="eastAsia" w:ascii="Times New Roman" w:hAnsi="Times New Roman" w:eastAsia="仿宋_GB2312" w:cs="仿宋_GB2312"/>
          <w:color w:val="auto"/>
          <w:sz w:val="32"/>
          <w:szCs w:val="32"/>
          <w:highlight w:val="none"/>
          <w:lang w:val="zh-CN" w:eastAsia="zh-CN"/>
        </w:rPr>
        <w:t>257</w:t>
      </w:r>
      <w:r>
        <w:rPr>
          <w:rFonts w:hint="eastAsia" w:ascii="Times New Roman" w:hAnsi="Times New Roman" w:eastAsia="仿宋_GB2312"/>
          <w:color w:val="auto"/>
          <w:sz w:val="32"/>
          <w:szCs w:val="32"/>
          <w:highlight w:val="none"/>
        </w:rPr>
        <w:t>人，其中：在职人员</w:t>
      </w:r>
      <w:r>
        <w:rPr>
          <w:rFonts w:hint="eastAsia" w:ascii="Times New Roman" w:hAnsi="Times New Roman" w:eastAsia="仿宋_GB2312" w:cs="仿宋_GB2312"/>
          <w:color w:val="auto"/>
          <w:sz w:val="32"/>
          <w:szCs w:val="32"/>
          <w:highlight w:val="none"/>
          <w:lang w:val="zh-CN" w:eastAsia="zh-CN"/>
        </w:rPr>
        <w:t>86</w:t>
      </w:r>
      <w:r>
        <w:rPr>
          <w:rFonts w:hint="eastAsia" w:ascii="Times New Roman" w:hAnsi="Times New Roman" w:eastAsia="仿宋_GB2312"/>
          <w:color w:val="auto"/>
          <w:sz w:val="32"/>
          <w:szCs w:val="32"/>
          <w:highlight w:val="none"/>
        </w:rPr>
        <w:t>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离休人员</w:t>
      </w:r>
      <w:r>
        <w:rPr>
          <w:rFonts w:hint="eastAsia" w:ascii="Times New Roman" w:hAnsi="Times New Roman" w:eastAsia="仿宋_GB2312" w:cs="仿宋_GB2312"/>
          <w:color w:val="auto"/>
          <w:sz w:val="32"/>
          <w:szCs w:val="32"/>
          <w:highlight w:val="none"/>
          <w:lang w:val="zh-CN" w:eastAsia="zh-CN"/>
        </w:rPr>
        <w:t>4</w:t>
      </w:r>
      <w:r>
        <w:rPr>
          <w:rFonts w:hint="eastAsia" w:ascii="Times New Roman" w:hAnsi="Times New Roman" w:eastAsia="仿宋_GB2312"/>
          <w:color w:val="auto"/>
          <w:sz w:val="32"/>
          <w:szCs w:val="32"/>
          <w:highlight w:val="none"/>
        </w:rPr>
        <w:t>人，退休人员</w:t>
      </w:r>
      <w:r>
        <w:rPr>
          <w:rFonts w:hint="eastAsia" w:ascii="Times New Roman" w:hAnsi="Times New Roman" w:eastAsia="仿宋_GB2312" w:cs="仿宋_GB2312"/>
          <w:color w:val="auto"/>
          <w:sz w:val="32"/>
          <w:szCs w:val="32"/>
          <w:highlight w:val="none"/>
          <w:lang w:val="zh-CN" w:eastAsia="zh-CN"/>
        </w:rPr>
        <w:t>167</w:t>
      </w:r>
      <w:r>
        <w:rPr>
          <w:rFonts w:hint="eastAsia" w:ascii="Times New Roman" w:hAnsi="Times New Roman"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s="宋体"/>
          <w:color w:val="auto"/>
          <w:kern w:val="0"/>
          <w:sz w:val="32"/>
          <w:szCs w:val="32"/>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r>
        <w:rPr>
          <w:rFonts w:hint="eastAsia" w:ascii="Times New Roman" w:hAnsi="Times New Roman" w:eastAsia="仿宋_GB2312" w:cs="宋体"/>
          <w:bCs/>
          <w:color w:val="auto"/>
          <w:kern w:val="0"/>
          <w:sz w:val="32"/>
          <w:szCs w:val="32"/>
          <w:highlight w:val="none"/>
        </w:rPr>
        <w:t>单位无下属预算单位，下设</w:t>
      </w:r>
      <w:r>
        <w:rPr>
          <w:rFonts w:hint="eastAsia" w:ascii="Times New Roman" w:hAnsi="Times New Roman" w:eastAsia="仿宋_GB2312"/>
          <w:color w:val="auto"/>
          <w:sz w:val="32"/>
          <w:szCs w:val="32"/>
          <w:highlight w:val="none"/>
          <w:lang w:val="en-US" w:eastAsia="zh-CN"/>
        </w:rPr>
        <w:t>19</w:t>
      </w:r>
      <w:r>
        <w:rPr>
          <w:rFonts w:hint="eastAsia" w:ascii="Times New Roman" w:hAnsi="Times New Roman" w:eastAsia="仿宋_GB2312" w:cs="宋体"/>
          <w:bCs/>
          <w:color w:val="auto"/>
          <w:kern w:val="0"/>
          <w:sz w:val="32"/>
          <w:szCs w:val="32"/>
          <w:highlight w:val="none"/>
        </w:rPr>
        <w:t>个处室，分别是：</w:t>
      </w:r>
      <w:r>
        <w:rPr>
          <w:rFonts w:hint="eastAsia" w:ascii="Times New Roman" w:hAnsi="Times New Roman" w:eastAsia="仿宋_GB2312"/>
          <w:bCs/>
          <w:sz w:val="32"/>
          <w:szCs w:val="32"/>
        </w:rPr>
        <w:t>规划计划处、政策法规处、财务审计处、水利厅办公室、水资源管理处、水利工程建设处、水旱灾害防御处、运行管理与调水处、水库移民处、河湖管理处、水土保持处、农牧水利水电处、监督处、科技和国际合作处、宣传教育培训处、人事处、机关党委、离退休干部工作处、水利厅工会</w:t>
      </w:r>
      <w:r>
        <w:rPr>
          <w:rFonts w:hint="eastAsia" w:ascii="Times New Roman" w:hAnsi="Times New Roman"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pPr>
      <w:bookmarkStart w:id="6" w:name="_Toc29374"/>
      <w:bookmarkStart w:id="7" w:name="_Toc3092"/>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二</w:t>
      </w:r>
      <w:r>
        <w:rPr>
          <w:rFonts w:hint="eastAsia" w:ascii="Times New Roman" w:hAnsi="Times New Roman"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8" w:name="_Toc25314"/>
      <w:bookmarkStart w:id="9" w:name="_Toc12566"/>
      <w:r>
        <w:rPr>
          <w:rFonts w:hint="eastAsia" w:ascii="Times New Roman" w:hAnsi="Times New Roman"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pacing w:val="0"/>
          <w:sz w:val="32"/>
          <w:szCs w:val="32"/>
          <w:highlight w:val="none"/>
          <w:lang w:val="en-US" w:eastAsia="zh-CN"/>
        </w:rPr>
        <w:t>收入总计</w:t>
      </w:r>
      <w:r>
        <w:rPr>
          <w:rFonts w:hint="eastAsia" w:ascii="Times New Roman" w:hAnsi="Times New Roman" w:eastAsia="仿宋_GB2312"/>
          <w:color w:val="auto"/>
          <w:spacing w:val="0"/>
          <w:sz w:val="32"/>
          <w:szCs w:val="32"/>
          <w:highlight w:val="none"/>
          <w:lang w:eastAsia="zh-CN"/>
        </w:rPr>
        <w:t>10,707.67万元，</w:t>
      </w:r>
      <w:r>
        <w:rPr>
          <w:rFonts w:hint="eastAsia" w:ascii="Times New Roman" w:hAnsi="Times New Roman" w:eastAsia="仿宋_GB2312"/>
          <w:color w:val="auto"/>
          <w:spacing w:val="0"/>
          <w:sz w:val="32"/>
          <w:szCs w:val="32"/>
          <w:highlight w:val="none"/>
          <w:lang w:val="en-US" w:eastAsia="zh-CN"/>
        </w:rPr>
        <w:t>其中：本年收入合计</w:t>
      </w:r>
      <w:r>
        <w:rPr>
          <w:rFonts w:hint="eastAsia" w:ascii="Times New Roman" w:hAnsi="Times New Roman" w:eastAsia="仿宋_GB2312"/>
          <w:color w:val="auto"/>
          <w:spacing w:val="0"/>
          <w:sz w:val="32"/>
          <w:szCs w:val="32"/>
          <w:highlight w:val="none"/>
          <w:lang w:eastAsia="zh-CN"/>
        </w:rPr>
        <w:t>10,647.67万元，使用非财政拨款结余0.00万元，年初结转和结余60.00万元。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2023</w:t>
      </w:r>
      <w:r>
        <w:rPr>
          <w:rFonts w:hint="eastAsia" w:ascii="Times New Roman" w:hAnsi="Times New Roman" w:eastAsia="仿宋_GB2312"/>
          <w:color w:val="auto"/>
          <w:spacing w:val="0"/>
          <w:sz w:val="32"/>
          <w:szCs w:val="32"/>
          <w:highlight w:val="none"/>
          <w:lang w:eastAsia="zh-CN"/>
        </w:rPr>
        <w:t>年</w:t>
      </w:r>
      <w:r>
        <w:rPr>
          <w:rFonts w:hint="eastAsia" w:ascii="Times New Roman" w:hAnsi="Times New Roman" w:eastAsia="仿宋_GB2312"/>
          <w:color w:val="auto"/>
          <w:spacing w:val="0"/>
          <w:sz w:val="32"/>
          <w:szCs w:val="32"/>
          <w:highlight w:val="none"/>
          <w:lang w:val="en-US" w:eastAsia="zh-CN"/>
        </w:rPr>
        <w:t>度</w:t>
      </w:r>
      <w:r>
        <w:rPr>
          <w:rFonts w:hint="eastAsia" w:ascii="Times New Roman" w:hAnsi="Times New Roman" w:eastAsia="仿宋_GB2312"/>
          <w:color w:val="auto"/>
          <w:spacing w:val="0"/>
          <w:sz w:val="32"/>
          <w:szCs w:val="32"/>
          <w:highlight w:val="none"/>
          <w:lang w:eastAsia="zh-CN"/>
        </w:rPr>
        <w:t>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eastAsia="zh-CN"/>
        </w:rPr>
        <w:t>10,707.67万元，</w:t>
      </w:r>
      <w:r>
        <w:rPr>
          <w:rFonts w:hint="eastAsia" w:ascii="Times New Roman" w:hAnsi="Times New Roman" w:eastAsia="仿宋_GB2312"/>
          <w:color w:val="auto"/>
          <w:spacing w:val="0"/>
          <w:sz w:val="32"/>
          <w:szCs w:val="32"/>
          <w:highlight w:val="none"/>
          <w:lang w:val="en-US" w:eastAsia="zh-CN"/>
        </w:rPr>
        <w:t>其中：本年支出合计</w:t>
      </w:r>
      <w:r>
        <w:rPr>
          <w:rFonts w:hint="eastAsia" w:ascii="Times New Roman" w:hAnsi="Times New Roman" w:eastAsia="仿宋_GB2312"/>
          <w:color w:val="auto"/>
          <w:spacing w:val="0"/>
          <w:sz w:val="32"/>
          <w:szCs w:val="32"/>
          <w:highlight w:val="none"/>
          <w:lang w:eastAsia="zh-CN"/>
        </w:rPr>
        <w:t>10,682.92万元，</w:t>
      </w:r>
      <w:r>
        <w:rPr>
          <w:rFonts w:hint="eastAsia" w:ascii="Times New Roman" w:hAnsi="Times New Roman" w:eastAsia="仿宋_GB2312"/>
          <w:color w:val="auto"/>
          <w:spacing w:val="0"/>
          <w:sz w:val="32"/>
          <w:szCs w:val="32"/>
          <w:highlight w:val="none"/>
          <w:lang w:val="en-US" w:eastAsia="zh-CN"/>
        </w:rPr>
        <w:t>结余分配</w:t>
      </w:r>
      <w:r>
        <w:rPr>
          <w:rFonts w:hint="eastAsia" w:ascii="Times New Roman" w:hAnsi="Times New Roman" w:eastAsia="仿宋_GB2312"/>
          <w:color w:val="auto"/>
          <w:spacing w:val="0"/>
          <w:sz w:val="32"/>
          <w:szCs w:val="32"/>
          <w:highlight w:val="none"/>
          <w:lang w:eastAsia="zh-CN"/>
        </w:rPr>
        <w:t>0.00万元，年末结转和结余24.75万元。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val="en-US" w:eastAsia="zh-CN"/>
        </w:rPr>
        <w:t>收入支出总体与上年相比</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减少228,485.39万元</w:t>
      </w:r>
      <w:r>
        <w:rPr>
          <w:rFonts w:hint="eastAsia" w:ascii="Times New Roman" w:hAnsi="Times New Roman" w:eastAsia="仿宋_GB2312"/>
          <w:color w:val="auto"/>
          <w:spacing w:val="0"/>
          <w:sz w:val="32"/>
          <w:szCs w:val="32"/>
          <w:highlight w:val="none"/>
          <w:lang w:eastAsia="zh-CN"/>
        </w:rPr>
        <w:t>，下降95.52%，主要原因是：</w:t>
      </w:r>
      <w:r>
        <w:rPr>
          <w:rFonts w:hint="eastAsia" w:ascii="Times New Roman" w:hAnsi="Times New Roman" w:eastAsia="仿宋_GB2312"/>
          <w:color w:val="auto"/>
          <w:spacing w:val="0"/>
          <w:sz w:val="32"/>
          <w:szCs w:val="32"/>
          <w:highlight w:val="none"/>
          <w:lang w:val="en-US" w:eastAsia="zh-CN"/>
        </w:rPr>
        <w:t>1.本年因工作规划未申请水利科技、水利工程建设及维修养护、水土保持及其他水利支出等项目，导致项目收入较上年减少</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2.因2022年已将因事业单位改企新增转拨Y河、E河及设计院项目款转拨到位，本年无此部分经费，故财政拨款减少。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黑体" w:cs="宋体"/>
          <w:bCs/>
          <w:color w:val="auto"/>
          <w:kern w:val="0"/>
          <w:sz w:val="32"/>
          <w:szCs w:val="32"/>
          <w:highlight w:val="none"/>
        </w:rPr>
      </w:pPr>
      <w:bookmarkStart w:id="10" w:name="_Toc1979"/>
      <w:bookmarkStart w:id="11" w:name="_Toc12142"/>
      <w:r>
        <w:rPr>
          <w:rFonts w:hint="eastAsia" w:ascii="Times New Roman" w:hAnsi="Times New Roman" w:eastAsia="黑体" w:cs="宋体"/>
          <w:bCs/>
          <w:color w:val="auto"/>
          <w:kern w:val="0"/>
          <w:sz w:val="32"/>
          <w:szCs w:val="32"/>
          <w:highlight w:val="none"/>
          <w:lang w:eastAsia="zh-CN"/>
        </w:rPr>
        <w:t>二、</w:t>
      </w:r>
      <w:r>
        <w:rPr>
          <w:rFonts w:hint="eastAsia" w:ascii="Times New Roman" w:hAnsi="Times New Roman" w:eastAsia="黑体" w:cs="宋体"/>
          <w:bCs/>
          <w:color w:val="auto"/>
          <w:kern w:val="0"/>
          <w:sz w:val="32"/>
          <w:szCs w:val="32"/>
          <w:highlight w:val="none"/>
        </w:rPr>
        <w:t>收入</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本年收入</w:t>
      </w:r>
      <w:r>
        <w:rPr>
          <w:rFonts w:hint="eastAsia" w:ascii="Times New Roman" w:hAnsi="Times New Roman" w:eastAsia="仿宋_GB2312"/>
          <w:color w:val="auto"/>
          <w:sz w:val="32"/>
          <w:szCs w:val="32"/>
          <w:highlight w:val="none"/>
          <w:lang w:eastAsia="zh-CN"/>
        </w:rPr>
        <w:t>10,647.67</w:t>
      </w:r>
      <w:r>
        <w:rPr>
          <w:rFonts w:hint="eastAsia" w:ascii="Times New Roman" w:hAnsi="Times New Roman" w:eastAsia="仿宋_GB2312"/>
          <w:color w:val="auto"/>
          <w:sz w:val="32"/>
          <w:szCs w:val="32"/>
          <w:highlight w:val="none"/>
        </w:rPr>
        <w:t>万元，其中：财政拨款收入</w:t>
      </w:r>
      <w:r>
        <w:rPr>
          <w:rFonts w:hint="eastAsia" w:ascii="Times New Roman" w:hAnsi="Times New Roman" w:eastAsia="仿宋_GB2312"/>
          <w:color w:val="auto"/>
          <w:sz w:val="32"/>
          <w:szCs w:val="32"/>
          <w:highlight w:val="none"/>
          <w:lang w:val="zh-CN"/>
        </w:rPr>
        <w:t>10,646.07</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99.98</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；上级补助收入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；事业收入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；经营收入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附属单位上缴收入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；其他收入</w:t>
      </w:r>
      <w:r>
        <w:rPr>
          <w:rFonts w:hint="eastAsia" w:ascii="Times New Roman" w:hAnsi="Times New Roman" w:eastAsia="仿宋_GB2312"/>
          <w:color w:val="auto"/>
          <w:sz w:val="32"/>
          <w:szCs w:val="32"/>
          <w:highlight w:val="none"/>
          <w:lang w:val="zh-CN"/>
        </w:rPr>
        <w:t>1.60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0.02</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2" w:name="_Toc13201"/>
      <w:bookmarkStart w:id="13" w:name="_Toc27961"/>
      <w:r>
        <w:rPr>
          <w:rFonts w:hint="eastAsia" w:ascii="Times New Roman" w:hAnsi="Times New Roman"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本年支出10,682.92万元，其中：基本支出3,531.37万元，占33.06%；项目支出7,151.56万元，占66.94%；上缴上级支出0.00万元，占0.00%；经营支出0.00万元，占0.00%；对附属单位补助支出0.00万元，占0.00%。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4" w:name="_Toc26564"/>
      <w:bookmarkStart w:id="15" w:name="_Toc4393"/>
      <w:r>
        <w:rPr>
          <w:rFonts w:hint="eastAsia" w:ascii="Times New Roman" w:hAnsi="Times New Roman"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2023年度财政拨款收入</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10,646.07</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其中：年初财政拨款结转和结余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本年财政拨款收入</w:t>
      </w:r>
      <w:r>
        <w:rPr>
          <w:rFonts w:hint="eastAsia" w:ascii="Times New Roman" w:hAnsi="Times New Roman" w:eastAsia="仿宋_GB2312"/>
          <w:color w:val="auto"/>
          <w:spacing w:val="0"/>
          <w:sz w:val="32"/>
          <w:szCs w:val="32"/>
          <w:highlight w:val="none"/>
          <w:lang w:val="zh-CN" w:eastAsia="zh-CN"/>
        </w:rPr>
        <w:t>10,646.07</w:t>
      </w:r>
      <w:r>
        <w:rPr>
          <w:rFonts w:hint="eastAsia" w:ascii="Times New Roman" w:hAnsi="Times New Roman" w:eastAsia="仿宋_GB2312"/>
          <w:color w:val="auto"/>
          <w:spacing w:val="0"/>
          <w:sz w:val="32"/>
          <w:szCs w:val="32"/>
          <w:highlight w:val="none"/>
          <w:lang w:eastAsia="zh-CN"/>
        </w:rPr>
        <w:t>万元。财政拨款支出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10,646.07</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其中：年末财政拨款结转和结余</w:t>
      </w:r>
      <w:r>
        <w:rPr>
          <w:rFonts w:hint="eastAsia" w:ascii="Times New Roman" w:hAnsi="Times New Roman" w:eastAsia="仿宋_GB2312"/>
          <w:color w:val="auto"/>
          <w:spacing w:val="0"/>
          <w:sz w:val="32"/>
          <w:szCs w:val="32"/>
          <w:highlight w:val="none"/>
          <w:lang w:val="zh-CN" w:eastAsia="zh-CN"/>
        </w:rPr>
        <w:t>24.06</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本年财政拨款支出</w:t>
      </w:r>
      <w:r>
        <w:rPr>
          <w:rFonts w:hint="eastAsia" w:ascii="Times New Roman" w:hAnsi="Times New Roman" w:eastAsia="仿宋_GB2312"/>
          <w:color w:val="auto"/>
          <w:spacing w:val="0"/>
          <w:sz w:val="32"/>
          <w:szCs w:val="32"/>
          <w:highlight w:val="none"/>
          <w:lang w:val="zh-CN" w:eastAsia="zh-CN"/>
        </w:rPr>
        <w:t>10,622.01</w:t>
      </w:r>
      <w:r>
        <w:rPr>
          <w:rFonts w:hint="eastAsia" w:ascii="Times New Roman" w:hAnsi="Times New Roman"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财政拨款收入支出总体与上年相比</w:t>
      </w:r>
      <w:r>
        <w:rPr>
          <w:rFonts w:hint="eastAsia" w:ascii="Times New Roman" w:hAnsi="Times New Roman" w:eastAsia="仿宋_GB2312"/>
          <w:color w:val="auto"/>
          <w:spacing w:val="0"/>
          <w:sz w:val="32"/>
          <w:szCs w:val="32"/>
          <w:highlight w:val="none"/>
          <w:lang w:val="en-US" w:eastAsia="zh-CN"/>
        </w:rPr>
        <w:t>,</w:t>
      </w:r>
      <w:r>
        <w:rPr>
          <w:rFonts w:hint="eastAsia" w:ascii="Times New Roman" w:hAnsi="Times New Roman" w:eastAsia="仿宋_GB2312"/>
          <w:color w:val="auto"/>
          <w:spacing w:val="0"/>
          <w:sz w:val="32"/>
          <w:szCs w:val="32"/>
          <w:highlight w:val="none"/>
          <w:lang w:val="zh-CN" w:eastAsia="zh-CN"/>
        </w:rPr>
        <w:t>减少228,349.73万元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下降95.55%,</w:t>
      </w:r>
      <w:r>
        <w:rPr>
          <w:rFonts w:hint="eastAsia" w:ascii="Times New Roman" w:hAnsi="Times New Roman" w:eastAsia="仿宋_GB2312"/>
          <w:color w:val="auto"/>
          <w:spacing w:val="0"/>
          <w:sz w:val="32"/>
          <w:szCs w:val="32"/>
          <w:highlight w:val="none"/>
          <w:lang w:eastAsia="zh-CN"/>
        </w:rPr>
        <w:t>主要原因是：因2022年已将因事业单位改企新增转拨Y河、E河及设计院项目款转拨到位，本年无此部分经费，故财政拨款减少。</w:t>
      </w:r>
      <w:r>
        <w:rPr>
          <w:rFonts w:hint="eastAsia" w:ascii="Times New Roman" w:hAnsi="Times New Roman" w:eastAsia="仿宋_GB2312"/>
          <w:color w:val="auto"/>
          <w:spacing w:val="0"/>
          <w:sz w:val="32"/>
          <w:szCs w:val="32"/>
          <w:highlight w:val="none"/>
          <w:lang w:val="en-US" w:eastAsia="zh-CN"/>
        </w:rPr>
        <w:t>以及部分项目已于上年完工，资金需求较上年减少</w:t>
      </w: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3,801.54</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10,646.07</w:t>
      </w:r>
      <w:r>
        <w:rPr>
          <w:rFonts w:hint="eastAsia" w:ascii="Times New Roman" w:hAnsi="Times New Roman" w:eastAsia="仿宋_GB2312"/>
          <w:color w:val="auto"/>
          <w:spacing w:val="0"/>
          <w:sz w:val="32"/>
          <w:szCs w:val="32"/>
          <w:highlight w:val="none"/>
          <w:lang w:eastAsia="zh-CN"/>
        </w:rPr>
        <w:t>万元，预决算差异率180.05%，主要原因是：</w:t>
      </w:r>
      <w:r>
        <w:rPr>
          <w:rFonts w:hint="eastAsia" w:ascii="Times New Roman" w:hAnsi="Times New Roman" w:eastAsia="仿宋_GB2312"/>
          <w:color w:val="auto"/>
          <w:spacing w:val="0"/>
          <w:sz w:val="32"/>
          <w:szCs w:val="32"/>
          <w:highlight w:val="none"/>
          <w:lang w:val="en-US" w:eastAsia="zh-CN"/>
        </w:rPr>
        <w:t>为本年追加上年绩效奖金、离退休人员相关经费等人员经费，以及“访惠聚”为民办实事经费、结亲路费等专项经费等，导致决算与年初预算差异较大</w:t>
      </w:r>
      <w:r>
        <w:rPr>
          <w:rFonts w:hint="eastAsia" w:ascii="Times New Roman" w:hAnsi="Times New Roman"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6" w:name="_Toc13833"/>
      <w:bookmarkStart w:id="17" w:name="_Toc20360"/>
      <w:r>
        <w:rPr>
          <w:rFonts w:hint="eastAsia" w:ascii="Times New Roman" w:hAnsi="Times New Roman"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2023年度一般公共预算财政拨款支出10,622.01万元，占本年支出合计的</w:t>
      </w:r>
      <w:r>
        <w:rPr>
          <w:rFonts w:hint="eastAsia" w:ascii="Times New Roman" w:hAnsi="Times New Roman" w:eastAsia="仿宋_GB2312"/>
          <w:color w:val="auto"/>
          <w:spacing w:val="0"/>
          <w:sz w:val="32"/>
          <w:szCs w:val="32"/>
          <w:highlight w:val="none"/>
          <w:lang w:val="zh-CN" w:eastAsia="zh-CN"/>
        </w:rPr>
        <w:t>99.43%</w:t>
      </w:r>
      <w:r>
        <w:rPr>
          <w:rFonts w:hint="eastAsia" w:ascii="Times New Roman" w:hAnsi="Times New Roman" w:eastAsia="仿宋_GB2312"/>
          <w:color w:val="auto"/>
          <w:spacing w:val="0"/>
          <w:sz w:val="32"/>
          <w:szCs w:val="32"/>
          <w:highlight w:val="none"/>
          <w:lang w:eastAsia="zh-CN"/>
        </w:rPr>
        <w:t>。与上年相比，</w:t>
      </w:r>
      <w:r>
        <w:rPr>
          <w:rFonts w:hint="eastAsia" w:ascii="Times New Roman" w:hAnsi="Times New Roman" w:eastAsia="仿宋_GB2312"/>
          <w:color w:val="auto"/>
          <w:spacing w:val="0"/>
          <w:sz w:val="32"/>
          <w:szCs w:val="32"/>
          <w:highlight w:val="none"/>
          <w:lang w:val="zh-CN" w:eastAsia="zh-CN"/>
        </w:rPr>
        <w:t>减少228,195.80万元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下降95.55%,</w:t>
      </w:r>
      <w:r>
        <w:rPr>
          <w:rFonts w:hint="eastAsia" w:ascii="Times New Roman" w:hAnsi="Times New Roman" w:eastAsia="仿宋_GB2312"/>
          <w:color w:val="auto"/>
          <w:spacing w:val="0"/>
          <w:sz w:val="32"/>
          <w:szCs w:val="32"/>
          <w:highlight w:val="none"/>
          <w:lang w:eastAsia="zh-CN"/>
        </w:rPr>
        <w:t>主要原因是：因2022年已将因事业单位改企新增转拨Y河、E河及设计院项目款转拨到位，本年无此部分经费，故财政拨款减少。与年初预算相比，年初预算数</w:t>
      </w:r>
      <w:r>
        <w:rPr>
          <w:rFonts w:hint="eastAsia" w:ascii="Times New Roman" w:hAnsi="Times New Roman" w:eastAsia="仿宋_GB2312"/>
          <w:color w:val="auto"/>
          <w:spacing w:val="0"/>
          <w:sz w:val="32"/>
          <w:szCs w:val="32"/>
          <w:highlight w:val="none"/>
          <w:lang w:val="zh-CN" w:eastAsia="zh-CN"/>
        </w:rPr>
        <w:t>3,801.54</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10,622.01</w:t>
      </w:r>
      <w:r>
        <w:rPr>
          <w:rFonts w:hint="eastAsia" w:ascii="Times New Roman" w:hAnsi="Times New Roman" w:eastAsia="仿宋_GB2312"/>
          <w:color w:val="auto"/>
          <w:spacing w:val="0"/>
          <w:sz w:val="32"/>
          <w:szCs w:val="32"/>
          <w:highlight w:val="none"/>
          <w:lang w:eastAsia="zh-CN"/>
        </w:rPr>
        <w:t>万元，预决算差异率</w:t>
      </w:r>
      <w:r>
        <w:rPr>
          <w:rFonts w:hint="eastAsia" w:ascii="Times New Roman" w:hAnsi="Times New Roman" w:eastAsia="仿宋_GB2312"/>
          <w:color w:val="auto"/>
          <w:spacing w:val="0"/>
          <w:sz w:val="32"/>
          <w:szCs w:val="32"/>
          <w:highlight w:val="none"/>
          <w:lang w:val="zh-CN" w:eastAsia="zh-CN"/>
        </w:rPr>
        <w:t>179.41%</w:t>
      </w:r>
      <w:r>
        <w:rPr>
          <w:rFonts w:hint="eastAsia" w:ascii="Times New Roman" w:hAnsi="Times New Roman" w:eastAsia="仿宋_GB2312"/>
          <w:color w:val="auto"/>
          <w:spacing w:val="0"/>
          <w:sz w:val="32"/>
          <w:szCs w:val="32"/>
          <w:highlight w:val="none"/>
          <w:lang w:eastAsia="zh-CN"/>
        </w:rPr>
        <w:t>，主要原因是：</w:t>
      </w:r>
      <w:r>
        <w:rPr>
          <w:rFonts w:hint="eastAsia" w:ascii="Times New Roman" w:hAnsi="Times New Roman" w:eastAsia="仿宋_GB2312"/>
          <w:color w:val="auto"/>
          <w:spacing w:val="0"/>
          <w:sz w:val="32"/>
          <w:szCs w:val="32"/>
          <w:highlight w:val="none"/>
          <w:lang w:val="en-US" w:eastAsia="zh-CN"/>
        </w:rPr>
        <w:t>主要是追加预算访惠聚经费、民族团结一家亲交通费、绩效奖、破产企业离休人员经费、职业年金拨款、丧葬抚恤拨款及其执行引起；项目支出7,151.56万元，较年初预算增加了6,173.56万元，主要是追加水资源待分配项目、水利前期工作-关于下达2023年第一批自治区预算内投资（前期费）的通知等</w:t>
      </w:r>
      <w:r>
        <w:rPr>
          <w:rFonts w:hint="eastAsia" w:ascii="Times New Roman" w:hAnsi="Times New Roman"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一般公共预算</w:t>
      </w:r>
      <w:r>
        <w:rPr>
          <w:rFonts w:hint="eastAsia" w:ascii="Times New Roman" w:hAnsi="Times New Roman" w:eastAsia="黑体"/>
          <w:color w:val="auto"/>
          <w:sz w:val="32"/>
          <w:szCs w:val="32"/>
          <w:highlight w:val="none"/>
          <w:lang w:val="en-US" w:eastAsia="zh-CN"/>
        </w:rPr>
        <w:t>财政拨款支出决算</w:t>
      </w:r>
      <w:r>
        <w:rPr>
          <w:rFonts w:hint="eastAsia" w:ascii="Times New Roman" w:hAnsi="Times New Roman"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Times New Roman"/>
          <w:color w:val="auto"/>
          <w:spacing w:val="0"/>
          <w:kern w:val="2"/>
          <w:sz w:val="32"/>
          <w:szCs w:val="32"/>
          <w:highlight w:val="none"/>
          <w:lang w:val="zh-CN" w:eastAsia="zh-CN" w:bidi="ar-SA"/>
        </w:rPr>
        <w:t>719.79</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6.78</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Times New Roman"/>
          <w:color w:val="auto"/>
          <w:spacing w:val="0"/>
          <w:kern w:val="2"/>
          <w:sz w:val="32"/>
          <w:szCs w:val="32"/>
          <w:highlight w:val="none"/>
          <w:lang w:val="zh-CN" w:eastAsia="zh-CN" w:bidi="ar-SA"/>
        </w:rPr>
        <w:t>85.46</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0.80</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农林水支出（类）</w:t>
      </w:r>
      <w:r>
        <w:rPr>
          <w:rFonts w:hint="eastAsia" w:ascii="Times New Roman" w:hAnsi="Times New Roman" w:eastAsia="仿宋_GB2312" w:cs="Times New Roman"/>
          <w:color w:val="auto"/>
          <w:spacing w:val="0"/>
          <w:kern w:val="2"/>
          <w:sz w:val="32"/>
          <w:szCs w:val="32"/>
          <w:highlight w:val="none"/>
          <w:lang w:val="zh-CN" w:eastAsia="zh-CN" w:bidi="ar-SA"/>
        </w:rPr>
        <w:t>9,665.27</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90.99</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Times New Roman"/>
          <w:color w:val="auto"/>
          <w:spacing w:val="0"/>
          <w:kern w:val="2"/>
          <w:sz w:val="32"/>
          <w:szCs w:val="32"/>
          <w:highlight w:val="none"/>
          <w:lang w:val="zh-CN" w:eastAsia="zh-CN" w:bidi="ar-SA"/>
        </w:rPr>
        <w:t>146.49</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1.38</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5</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害防治及应急管理支出（类）</w:t>
      </w:r>
      <w:r>
        <w:rPr>
          <w:rFonts w:hint="eastAsia" w:ascii="Times New Roman" w:hAnsi="Times New Roman" w:eastAsia="仿宋_GB2312" w:cs="Times New Roman"/>
          <w:color w:val="auto"/>
          <w:spacing w:val="0"/>
          <w:kern w:val="2"/>
          <w:sz w:val="32"/>
          <w:szCs w:val="32"/>
          <w:highlight w:val="none"/>
          <w:lang w:val="zh-CN" w:eastAsia="zh-CN" w:bidi="ar-SA"/>
        </w:rPr>
        <w:t>5.00</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0.05</w:t>
      </w:r>
      <w:r>
        <w:rPr>
          <w:rFonts w:hint="default" w:ascii="Times New Roman"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1.农林水支出（类）水利（款）行政运行（项）:支出决算数为2,588.27万元，比上年决算减少36.38万元，下降1.39%，主要原因是：</w:t>
      </w:r>
      <w:r>
        <w:rPr>
          <w:rFonts w:hint="eastAsia" w:ascii="Times New Roman" w:hAnsi="Times New Roman" w:eastAsia="仿宋_GB2312" w:cs="Times New Roman"/>
          <w:color w:val="auto"/>
          <w:kern w:val="2"/>
          <w:sz w:val="32"/>
          <w:szCs w:val="32"/>
          <w:highlight w:val="none"/>
          <w:lang w:val="zh-CN" w:eastAsia="zh-CN" w:bidi="ar-SA"/>
        </w:rPr>
        <w:t>1、本年减少因事业单位改企，转拨Y河、E河及设计院访惠聚工作经费及南疆支教工作经费。</w:t>
      </w:r>
      <w:r>
        <w:rPr>
          <w:rFonts w:hint="eastAsia" w:ascii="Times New Roman" w:hAnsi="Times New Roman" w:eastAsia="仿宋_GB2312" w:cs="Times New Roman"/>
          <w:color w:val="auto"/>
          <w:kern w:val="2"/>
          <w:sz w:val="32"/>
          <w:szCs w:val="32"/>
          <w:highlight w:val="none"/>
          <w:lang w:val="en-US" w:eastAsia="zh-CN" w:bidi="ar-SA"/>
        </w:rPr>
        <w:t>2、本年积极响应过紧日子的工作要求，节约使用公用经费，较上年结转结余增加。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2.农林水支出（类）水利（款）一般行政管理事务（项）:支出决算数为850.00万元，比上年决算增加236.64万元，增长38.58%，主要原因是：</w:t>
      </w:r>
      <w:r>
        <w:rPr>
          <w:rFonts w:hint="eastAsia" w:ascii="Times New Roman" w:hAnsi="Times New Roman" w:eastAsia="仿宋_GB2312" w:cs="Times New Roman"/>
          <w:color w:val="auto"/>
          <w:kern w:val="2"/>
          <w:sz w:val="32"/>
          <w:szCs w:val="32"/>
          <w:highlight w:val="none"/>
          <w:lang w:val="zh-CN" w:eastAsia="zh-CN" w:bidi="ar-SA"/>
        </w:rPr>
        <w:t>本年追加2023年度新疆人才发展基金等项目，导致本年支出增加。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3.卫生健康支出（类）行政事业单位医疗（款）公务员医疗补助（项）:支出决算数为85.46万元，比上年决算增加25.75万元，增长43.12%，主要原因是：人员工资增加导致</w:t>
      </w:r>
      <w:r>
        <w:rPr>
          <w:rFonts w:hint="eastAsia" w:ascii="Times New Roman" w:hAnsi="Times New Roman" w:eastAsia="仿宋_GB2312" w:cs="Times New Roman"/>
          <w:color w:val="auto"/>
          <w:kern w:val="2"/>
          <w:sz w:val="32"/>
          <w:szCs w:val="32"/>
          <w:highlight w:val="none"/>
          <w:lang w:val="zh-CN" w:eastAsia="zh-CN" w:bidi="ar-SA"/>
        </w:rPr>
        <w:t>本年缴纳基数变动，本年此类支出增加。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4.农林水支出（类）水利（款）水利前期工作（项）:支出决算数为3,100.00万元，比上年决算减少33,852.00万元，下降91.61%，主要原因是：相关项目已于上年实施完毕，本年无相关资金需求</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5.住房保障支出（类）住房改革支出（款）住房公积金（项）:支出决算数为146.49万元，比上年决算增加39.94万元，增长37.48%，主要原因是：人员工资增加导致</w:t>
      </w:r>
      <w:r>
        <w:rPr>
          <w:rFonts w:hint="eastAsia" w:ascii="Times New Roman" w:hAnsi="Times New Roman" w:eastAsia="仿宋_GB2312" w:cs="Times New Roman"/>
          <w:color w:val="auto"/>
          <w:kern w:val="2"/>
          <w:sz w:val="32"/>
          <w:szCs w:val="32"/>
          <w:highlight w:val="none"/>
          <w:lang w:val="zh-CN" w:eastAsia="zh-CN" w:bidi="ar-SA"/>
        </w:rPr>
        <w:t>本年缴纳基数变动，本年此类支出增加。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6.灾害防治及应急管理支出（类）应急管理事务（款）安全监管（项）:支出决算数为5.00万元，比上年决算增加5.00万元，增长100%，主要原因是：</w:t>
      </w:r>
      <w:r>
        <w:rPr>
          <w:rFonts w:hint="eastAsia" w:ascii="Times New Roman" w:hAnsi="Times New Roman" w:eastAsia="仿宋_GB2312" w:cs="Times New Roman"/>
          <w:color w:val="auto"/>
          <w:kern w:val="2"/>
          <w:sz w:val="32"/>
          <w:szCs w:val="32"/>
          <w:highlight w:val="none"/>
          <w:lang w:val="zh-CN" w:eastAsia="zh-CN" w:bidi="ar-SA"/>
        </w:rPr>
        <w:t>本单位荣获2022年安全生产先进单位，形成此款项奖金收入5.00</w:t>
      </w:r>
      <w:r>
        <w:rPr>
          <w:rFonts w:hint="eastAsia" w:ascii="Times New Roman" w:hAnsi="Times New Roman"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2023年</w:t>
      </w:r>
      <w:r>
        <w:rPr>
          <w:rFonts w:hint="eastAsia" w:ascii="Times New Roman" w:hAnsi="Times New Roman" w:eastAsia="仿宋_GB2312" w:cs="Times New Roman"/>
          <w:color w:val="auto"/>
          <w:kern w:val="2"/>
          <w:sz w:val="32"/>
          <w:szCs w:val="32"/>
          <w:highlight w:val="none"/>
          <w:lang w:val="zh-CN" w:eastAsia="zh-CN" w:bidi="ar-SA"/>
        </w:rPr>
        <w:t>使用相关奖金购买安全生产相关物资，形成此项支出。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7.农林水支出（类）水利（款）水利技术推广（项）:支出决算数为60.00万元，比上年决算减少65.00万元，下降52.00%，主要原因是：</w:t>
      </w:r>
      <w:r>
        <w:rPr>
          <w:rFonts w:hint="eastAsia" w:ascii="Times New Roman" w:hAnsi="Times New Roman" w:eastAsia="仿宋_GB2312" w:cs="Times New Roman"/>
          <w:color w:val="auto"/>
          <w:kern w:val="2"/>
          <w:sz w:val="32"/>
          <w:szCs w:val="32"/>
          <w:highlight w:val="none"/>
          <w:lang w:val="zh-CN" w:eastAsia="zh-CN" w:bidi="ar-SA"/>
        </w:rPr>
        <w:t>本年项目投入较上年减少。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行政单位离退休（项）:支出决算数为516.46万元，比上年决算减少168.00万元，下降24.54%，主要原因是：主要原因为人员变动及改变汇缴基数导致本年支出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9.社会保障和就业支出（类）企业改革补助（款）其他企业改革发展补助（项）:支出决算数为8.84万元，比上年决算减少0.02万元，下降0.21%，主要原因是：</w:t>
      </w:r>
      <w:r>
        <w:rPr>
          <w:rFonts w:hint="eastAsia" w:ascii="Times New Roman" w:hAnsi="Times New Roman" w:eastAsia="仿宋_GB2312" w:cs="Times New Roman"/>
          <w:color w:val="auto"/>
          <w:kern w:val="2"/>
          <w:sz w:val="32"/>
          <w:szCs w:val="32"/>
          <w:highlight w:val="none"/>
          <w:lang w:val="zh-CN" w:eastAsia="zh-CN" w:bidi="ar-SA"/>
        </w:rPr>
        <w:t>本年相关人员发生差旅费等支出较上年减少。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10.农林水支出（类）水利（款）大中型水库移民后期扶持专项支出（项）:支出决算数为178.00万元，比上年决算增加178.00万元，增长100%，主要原因是：</w:t>
      </w:r>
      <w:r>
        <w:rPr>
          <w:rFonts w:hint="eastAsia" w:ascii="Times New Roman" w:hAnsi="Times New Roman" w:eastAsia="仿宋_GB2312" w:cs="Times New Roman"/>
          <w:color w:val="auto"/>
          <w:kern w:val="2"/>
          <w:sz w:val="32"/>
          <w:szCs w:val="32"/>
          <w:highlight w:val="none"/>
          <w:lang w:val="zh-CN" w:eastAsia="zh-CN" w:bidi="ar-SA"/>
        </w:rPr>
        <w:t>按照工作需求，本年新增此</w:t>
      </w:r>
      <w:r>
        <w:rPr>
          <w:rFonts w:hint="eastAsia" w:ascii="Times New Roman" w:hAnsi="Times New Roman" w:eastAsia="仿宋_GB2312" w:cs="Times New Roman"/>
          <w:color w:val="auto"/>
          <w:kern w:val="2"/>
          <w:sz w:val="32"/>
          <w:szCs w:val="32"/>
          <w:highlight w:val="none"/>
          <w:lang w:val="en-US" w:eastAsia="zh-CN" w:bidi="ar-SA"/>
        </w:rPr>
        <w:t>移民后扶持</w:t>
      </w:r>
      <w:r>
        <w:rPr>
          <w:rFonts w:hint="eastAsia" w:ascii="Times New Roman" w:hAnsi="Times New Roman" w:eastAsia="仿宋_GB2312" w:cs="Times New Roman"/>
          <w:color w:val="auto"/>
          <w:kern w:val="2"/>
          <w:sz w:val="32"/>
          <w:szCs w:val="32"/>
          <w:highlight w:val="none"/>
          <w:lang w:val="zh-CN" w:eastAsia="zh-CN" w:bidi="ar-SA"/>
        </w:rPr>
        <w:t>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11.农林水支出（类）水利（款）水资源节约管理与保护（项）:支出决算数为2,889.00万元，比上年决算增加1,358.05万元，增长88.71%，主要原因是：</w:t>
      </w:r>
      <w:r>
        <w:rPr>
          <w:rFonts w:hint="eastAsia" w:ascii="Times New Roman" w:hAnsi="Times New Roman" w:eastAsia="仿宋_GB2312" w:cs="Times New Roman"/>
          <w:color w:val="auto"/>
          <w:kern w:val="2"/>
          <w:sz w:val="32"/>
          <w:szCs w:val="32"/>
          <w:highlight w:val="none"/>
          <w:lang w:val="zh-CN" w:eastAsia="zh-CN" w:bidi="ar-SA"/>
        </w:rPr>
        <w:t>本年水资源保护项目支出需求较上年增加。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社会保障和就业支出（类）行政事业单位养老支出（款）机关事业单位职业年金缴费支出（项）:支出决算数为23.23万元，比上年决算减少20.57万元，下降46.97%，主要原因是：本年应申请未申请相关职业年金待下年申报</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13.社会保障和就业支出（类）行政事业单位养老支出（款）机关事业单位基本养老保险缴费支出（项）:支出决算数为171.26万元，比上年决算增加29.18万元，增长20.54%，主要原因是：</w:t>
      </w:r>
      <w:r>
        <w:rPr>
          <w:rFonts w:hint="eastAsia" w:ascii="Times New Roman" w:hAnsi="Times New Roman" w:eastAsia="仿宋_GB2312" w:cs="Times New Roman"/>
          <w:color w:val="auto"/>
          <w:kern w:val="2"/>
          <w:sz w:val="32"/>
          <w:szCs w:val="32"/>
          <w:highlight w:val="none"/>
          <w:lang w:val="zh-CN" w:eastAsia="zh-CN" w:bidi="ar-SA"/>
        </w:rPr>
        <w:t>因人员增加及基数变动导致经费支出增加。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14.一般公共服务支出（类）发展与改革事务（款）其他发展与改革事务支出（项）:支出决算数为0.00万元，比上年决算减少50.00万元，下降100%，主要原因是：</w:t>
      </w:r>
      <w:r>
        <w:rPr>
          <w:rFonts w:hint="eastAsia" w:ascii="Times New Roman" w:hAnsi="Times New Roman" w:eastAsia="仿宋_GB2312" w:cs="Times New Roman"/>
          <w:color w:val="auto"/>
          <w:kern w:val="2"/>
          <w:sz w:val="32"/>
          <w:szCs w:val="32"/>
          <w:highlight w:val="none"/>
          <w:lang w:val="zh-CN" w:eastAsia="zh-CN" w:bidi="ar-SA"/>
        </w:rPr>
        <w:t>本年不需要产生相关项目的支出。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15.灾害防治及应急管理支出（类）应急管理事务（款）应急管理（项）:支出决算数为0.00万元，比上年决算减少5.00万元，下降100%，主要原因是：</w:t>
      </w:r>
      <w:r>
        <w:rPr>
          <w:rFonts w:hint="eastAsia" w:ascii="Times New Roman" w:hAnsi="Times New Roman" w:eastAsia="仿宋_GB2312" w:cs="Times New Roman"/>
          <w:color w:val="auto"/>
          <w:kern w:val="2"/>
          <w:sz w:val="32"/>
          <w:szCs w:val="32"/>
          <w:highlight w:val="none"/>
          <w:lang w:val="zh-CN" w:eastAsia="zh-CN" w:bidi="ar-SA"/>
        </w:rPr>
        <w:t>本年不需要产生相关项目的支出。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16.卫生健康支出（类）行政事业单位医疗（款）行政单位医疗（项）:支出决算数为0.00万元，比上年决算减少76.77万元，下降100%，主要原因是：</w:t>
      </w:r>
      <w:r>
        <w:rPr>
          <w:rFonts w:hint="eastAsia" w:ascii="Times New Roman" w:hAnsi="Times New Roman" w:eastAsia="仿宋_GB2312" w:cs="Times New Roman"/>
          <w:color w:val="auto"/>
          <w:kern w:val="2"/>
          <w:sz w:val="32"/>
          <w:szCs w:val="32"/>
          <w:highlight w:val="none"/>
          <w:lang w:val="zh-CN" w:eastAsia="zh-CN" w:bidi="ar-SA"/>
        </w:rPr>
        <w:t>因上年相关科目预算下达错误，导致结算数为</w:t>
      </w:r>
      <w:r>
        <w:rPr>
          <w:rFonts w:hint="eastAsia" w:ascii="Times New Roman" w:hAnsi="Times New Roman"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17.农林水支出（类）水利（款）水利行业业务管理（项）:支出决算数为0.00万元，比上年决算减少30.00万元，下降100%，主要原因是：</w:t>
      </w:r>
      <w:r>
        <w:rPr>
          <w:rFonts w:hint="eastAsia" w:ascii="Times New Roman" w:hAnsi="Times New Roman" w:eastAsia="仿宋_GB2312" w:cs="Times New Roman"/>
          <w:color w:val="auto"/>
          <w:kern w:val="2"/>
          <w:sz w:val="32"/>
          <w:szCs w:val="32"/>
          <w:highlight w:val="none"/>
          <w:lang w:val="zh-CN" w:eastAsia="zh-CN" w:bidi="ar-SA"/>
        </w:rPr>
        <w:t>本年未发生此支出功能分类的项目。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18.农林水支出（类）水利（款）水利工程建设（项）:支出决算数为0.00万元，比上年决算减少155,000.00万元，下降100%，主要原因是：</w:t>
      </w:r>
      <w:r>
        <w:rPr>
          <w:rFonts w:hint="eastAsia" w:ascii="Times New Roman" w:hAnsi="Times New Roman" w:eastAsia="仿宋_GB2312" w:cs="Times New Roman"/>
          <w:color w:val="auto"/>
          <w:kern w:val="2"/>
          <w:sz w:val="32"/>
          <w:szCs w:val="32"/>
          <w:highlight w:val="none"/>
          <w:lang w:val="zh-CN" w:eastAsia="zh-CN" w:bidi="ar-SA"/>
        </w:rPr>
        <w:t>本年未发生此支出功能分类的项目。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19.农林水支出（类）水利（款）水利工程运行与维护（项）:支出决算数为0.00万元，比上年决算减少40,000.00万元，下降100%，主要原因是：</w:t>
      </w:r>
      <w:r>
        <w:rPr>
          <w:rFonts w:hint="eastAsia" w:ascii="Times New Roman" w:hAnsi="Times New Roman" w:eastAsia="仿宋_GB2312" w:cs="Times New Roman"/>
          <w:color w:val="auto"/>
          <w:kern w:val="2"/>
          <w:sz w:val="32"/>
          <w:szCs w:val="32"/>
          <w:highlight w:val="none"/>
          <w:lang w:val="zh-CN" w:eastAsia="zh-CN" w:bidi="ar-SA"/>
        </w:rPr>
        <w:t>本年未发生此支出功能分类的项目。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20.农林水支出（类）水利（款）水土保持（项）:支出决算数为0.00万元，比上年决算减少484.81万元，下降100%，主要原因是：</w:t>
      </w:r>
      <w:r>
        <w:rPr>
          <w:rFonts w:hint="eastAsia" w:ascii="Times New Roman" w:hAnsi="Times New Roman" w:eastAsia="仿宋_GB2312" w:cs="Times New Roman"/>
          <w:color w:val="auto"/>
          <w:kern w:val="2"/>
          <w:sz w:val="32"/>
          <w:szCs w:val="32"/>
          <w:highlight w:val="none"/>
          <w:lang w:val="zh-CN" w:eastAsia="zh-CN" w:bidi="ar-SA"/>
        </w:rPr>
        <w:t>本年未发生此支出功能分类的项目。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21.农林水支出（类）水利（款）农村水利（项）:支出决算数为0.00万元，比上年决算减少86.39万元，下降100%，主要原因是：</w:t>
      </w:r>
      <w:r>
        <w:rPr>
          <w:rFonts w:hint="eastAsia" w:ascii="Times New Roman" w:hAnsi="Times New Roman" w:eastAsia="仿宋_GB2312" w:cs="Times New Roman"/>
          <w:color w:val="auto"/>
          <w:kern w:val="2"/>
          <w:sz w:val="32"/>
          <w:szCs w:val="32"/>
          <w:highlight w:val="none"/>
          <w:lang w:val="zh-CN" w:eastAsia="zh-CN" w:bidi="ar-SA"/>
        </w:rPr>
        <w:t>本年未发生此支出功能分类的项目。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22.农林水支出（类）水利（款）其他水利支出（项）:支出决算数为0.00万元，比上年决算减少193.42万元，下降100%，主要原因是：</w:t>
      </w:r>
      <w:r>
        <w:rPr>
          <w:rFonts w:hint="eastAsia" w:ascii="Times New Roman" w:hAnsi="Times New Roman" w:eastAsia="仿宋_GB2312" w:cs="Times New Roman"/>
          <w:color w:val="auto"/>
          <w:kern w:val="2"/>
          <w:sz w:val="32"/>
          <w:szCs w:val="32"/>
          <w:highlight w:val="none"/>
          <w:lang w:val="zh-CN" w:eastAsia="zh-CN" w:bidi="ar-SA"/>
        </w:rPr>
        <w:t>本年未发生此支出功能分类的项目。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z w:val="32"/>
          <w:szCs w:val="32"/>
          <w:highlight w:val="none"/>
        </w:rPr>
        <w:t>一般公共预算财政拨款基本支出</w:t>
      </w:r>
      <w:r>
        <w:rPr>
          <w:rFonts w:hint="eastAsia" w:ascii="Times New Roman" w:hAnsi="Times New Roman" w:eastAsia="仿宋_GB2312"/>
          <w:color w:val="auto"/>
          <w:sz w:val="32"/>
          <w:szCs w:val="32"/>
          <w:highlight w:val="none"/>
          <w:lang w:eastAsia="zh-CN"/>
        </w:rPr>
        <w:t>3,531.17</w:t>
      </w:r>
      <w:r>
        <w:rPr>
          <w:rFonts w:hint="eastAsia" w:ascii="Times New Roman" w:hAnsi="Times New Roman" w:eastAsia="仿宋_GB2312"/>
          <w:color w:val="auto"/>
          <w:sz w:val="32"/>
          <w:szCs w:val="32"/>
          <w:highlight w:val="none"/>
        </w:rPr>
        <w:t>万元，其中：人员经费</w:t>
      </w:r>
      <w:r>
        <w:rPr>
          <w:rFonts w:hint="eastAsia" w:ascii="Times New Roman" w:hAnsi="Times New Roman" w:eastAsia="仿宋_GB2312"/>
          <w:color w:val="auto"/>
          <w:sz w:val="32"/>
          <w:szCs w:val="32"/>
          <w:highlight w:val="none"/>
          <w:lang w:eastAsia="zh-CN"/>
        </w:rPr>
        <w:t>2,970.55</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离休费、退休费、抚恤金、生活补助。</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s="宋体"/>
          <w:color w:val="auto"/>
          <w:kern w:val="0"/>
          <w:sz w:val="32"/>
          <w:szCs w:val="32"/>
          <w:highlight w:val="none"/>
        </w:rPr>
      </w:pPr>
      <w:r>
        <w:rPr>
          <w:rFonts w:hint="eastAsia" w:ascii="Times New Roman" w:hAnsi="Times New Roman" w:eastAsia="仿宋_GB2312"/>
          <w:color w:val="auto"/>
          <w:sz w:val="32"/>
          <w:szCs w:val="32"/>
          <w:highlight w:val="none"/>
        </w:rPr>
        <w:t>公用经费</w:t>
      </w:r>
      <w:r>
        <w:rPr>
          <w:rFonts w:hint="eastAsia" w:ascii="Times New Roman" w:hAnsi="Times New Roman" w:eastAsia="仿宋_GB2312"/>
          <w:color w:val="auto"/>
          <w:sz w:val="32"/>
          <w:szCs w:val="32"/>
          <w:highlight w:val="none"/>
          <w:lang w:eastAsia="zh-CN"/>
        </w:rPr>
        <w:t>560.62</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办公费、水费、电费、邮电费、取暖费、物业管理费、差旅费、会议费、公务接待费、劳务费、委托业务费、工会经费、福利费、公务用车运行维护费、其他交通费用、其他商品和服务支出。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七、</w:t>
      </w:r>
      <w:r>
        <w:rPr>
          <w:rFonts w:hint="eastAsia" w:ascii="Times New Roman" w:hAnsi="Times New Roman" w:eastAsia="黑体" w:cs="宋体"/>
          <w:bCs/>
          <w:color w:val="auto"/>
          <w:kern w:val="0"/>
          <w:sz w:val="32"/>
          <w:szCs w:val="32"/>
          <w:highlight w:val="none"/>
          <w:lang w:eastAsia="zh-CN"/>
        </w:rPr>
        <w:t>财政拨款</w:t>
      </w:r>
      <w:r>
        <w:rPr>
          <w:rFonts w:hint="eastAsia" w:ascii="Times New Roman" w:hAnsi="Times New Roman" w:eastAsia="黑体" w:cs="宋体"/>
          <w:bCs/>
          <w:color w:val="auto"/>
          <w:kern w:val="0"/>
          <w:sz w:val="32"/>
          <w:szCs w:val="32"/>
          <w:highlight w:val="none"/>
        </w:rPr>
        <w:t>“三公”经费支出</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w:t>
      </w:r>
      <w:r>
        <w:rPr>
          <w:rFonts w:hint="eastAsia" w:ascii="Times New Roman" w:hAnsi="Times New Roman"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2023年度</w:t>
      </w:r>
      <w:r>
        <w:rPr>
          <w:rFonts w:hint="eastAsia" w:ascii="Times New Roman" w:hAnsi="Times New Roman" w:eastAsia="仿宋_GB2312"/>
          <w:color w:val="auto"/>
          <w:sz w:val="32"/>
          <w:szCs w:val="32"/>
          <w:highlight w:val="none"/>
          <w:lang w:val="en-US" w:eastAsia="zh-CN"/>
        </w:rPr>
        <w:t>财政拨款</w:t>
      </w:r>
      <w:r>
        <w:rPr>
          <w:rFonts w:hint="eastAsia" w:ascii="Times New Roman" w:hAnsi="Times New Roman" w:eastAsia="仿宋_GB2312"/>
          <w:color w:val="auto"/>
          <w:sz w:val="32"/>
          <w:szCs w:val="32"/>
          <w:highlight w:val="none"/>
          <w:lang w:val="zh-CN" w:eastAsia="zh-CN"/>
        </w:rPr>
        <w:t>“三公”经费支出33.40万元，</w:t>
      </w:r>
      <w:r>
        <w:rPr>
          <w:rFonts w:hint="eastAsia" w:ascii="Times New Roman" w:hAnsi="Times New Roman" w:eastAsia="仿宋_GB2312"/>
          <w:color w:val="auto"/>
          <w:sz w:val="32"/>
          <w:szCs w:val="32"/>
          <w:highlight w:val="none"/>
          <w:lang w:val="en-US" w:eastAsia="zh-CN"/>
        </w:rPr>
        <w:t>比上年</w:t>
      </w:r>
      <w:r>
        <w:rPr>
          <w:rFonts w:hint="eastAsia" w:ascii="Times New Roman" w:hAnsi="Times New Roman" w:eastAsia="仿宋_GB2312"/>
          <w:color w:val="auto"/>
          <w:sz w:val="32"/>
          <w:szCs w:val="32"/>
          <w:highlight w:val="none"/>
          <w:lang w:val="zh-CN" w:eastAsia="zh-CN"/>
        </w:rPr>
        <w:t>增加1.57万元，</w:t>
      </w:r>
      <w:r>
        <w:rPr>
          <w:rFonts w:hint="eastAsia" w:ascii="Times New Roman" w:hAnsi="Times New Roman" w:eastAsia="仿宋_GB2312"/>
          <w:color w:val="auto"/>
          <w:spacing w:val="0"/>
          <w:sz w:val="32"/>
          <w:szCs w:val="32"/>
          <w:highlight w:val="none"/>
          <w:lang w:val="en-US" w:eastAsia="zh-CN"/>
        </w:rPr>
        <w:t>增长4.93%,</w:t>
      </w:r>
      <w:r>
        <w:rPr>
          <w:rFonts w:hint="eastAsia" w:ascii="Times New Roman" w:hAnsi="Times New Roman" w:eastAsia="仿宋_GB2312"/>
          <w:color w:val="auto"/>
          <w:sz w:val="32"/>
          <w:szCs w:val="32"/>
          <w:highlight w:val="none"/>
          <w:lang w:val="zh-CN" w:eastAsia="zh-CN"/>
        </w:rPr>
        <w:t>主要原因是：2022年因疫情原因导致无法支出公务接待费，本年已恢复正常公务接待工作，故此费用</w:t>
      </w:r>
      <w:r>
        <w:rPr>
          <w:rFonts w:hint="eastAsia" w:eastAsia="仿宋_GB2312"/>
          <w:color w:val="auto"/>
          <w:sz w:val="32"/>
          <w:szCs w:val="32"/>
          <w:highlight w:val="none"/>
          <w:lang w:val="zh-CN" w:eastAsia="zh-CN"/>
        </w:rPr>
        <w:t>增加</w:t>
      </w:r>
      <w:r>
        <w:rPr>
          <w:rFonts w:hint="eastAsia" w:ascii="Times New Roman" w:hAnsi="Times New Roman" w:eastAsia="仿宋_GB2312"/>
          <w:color w:val="auto"/>
          <w:sz w:val="32"/>
          <w:szCs w:val="32"/>
          <w:highlight w:val="none"/>
          <w:lang w:val="zh-CN" w:eastAsia="zh-CN"/>
        </w:rPr>
        <w:t>。其中：因公出国（境）费支出0.00万元，占0.00%，比上年增加0.00万元，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主要原因是：本年单位未发生跨国项目；公务用车购置及运行维护费支出31.69万元，占94.89%，比上年增加0.00万元，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主要原因是：较上年无变动；公务接待费支出1.71万元，占5.11%，比上年增加1.57万元，</w:t>
      </w:r>
      <w:r>
        <w:rPr>
          <w:rFonts w:hint="eastAsia" w:ascii="Times New Roman" w:hAnsi="Times New Roman" w:eastAsia="仿宋_GB2312"/>
          <w:color w:val="auto"/>
          <w:spacing w:val="0"/>
          <w:sz w:val="32"/>
          <w:szCs w:val="32"/>
          <w:highlight w:val="none"/>
          <w:lang w:val="en-US" w:eastAsia="zh-CN"/>
        </w:rPr>
        <w:t>增长1154.49%,</w:t>
      </w:r>
      <w:r>
        <w:rPr>
          <w:rFonts w:hint="eastAsia" w:ascii="Times New Roman" w:hAnsi="Times New Roman" w:eastAsia="仿宋_GB2312"/>
          <w:color w:val="auto"/>
          <w:sz w:val="32"/>
          <w:szCs w:val="32"/>
          <w:highlight w:val="none"/>
          <w:lang w:val="zh-CN" w:eastAsia="zh-CN"/>
        </w:rPr>
        <w:t>主要原因是：2022年因疫情原因导致无法支出公务接待费，本年已恢复正常公务接待工作，故此费用增长。</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因公出国（境）费支出0.00万元，开支内容包括未发生相关支出。单位全年安排的因公出国（境）团组0个，因公出国（境）0人次。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zh-CN" w:eastAsia="zh-CN"/>
        </w:rPr>
        <w:t>公务用车购置及运行维护费31.69万元，其中：公务用车购置费0.00万元，公务用车运行维护费31.69万元。公务用车运行维护费开支内容包括车辆保险费、油料费、停车过路费及维修费等。公务用车购置数0辆，公务用车保有量18辆。国有资产占用情况</w:t>
      </w:r>
      <w:r>
        <w:rPr>
          <w:rFonts w:hint="eastAsia" w:ascii="Times New Roman" w:hAnsi="Times New Roman" w:eastAsia="仿宋_GB2312"/>
          <w:color w:val="auto"/>
          <w:sz w:val="32"/>
          <w:szCs w:val="32"/>
          <w:highlight w:val="none"/>
          <w:lang w:val="en-US" w:eastAsia="zh-CN"/>
        </w:rPr>
        <w:t>中固定资产车辆</w:t>
      </w:r>
      <w:r>
        <w:rPr>
          <w:rFonts w:hint="eastAsia" w:ascii="Times New Roman" w:hAnsi="Times New Roman" w:eastAsia="仿宋_GB2312"/>
          <w:color w:val="auto"/>
          <w:sz w:val="32"/>
          <w:szCs w:val="32"/>
          <w:highlight w:val="none"/>
          <w:lang w:val="zh-CN" w:eastAsia="zh-CN"/>
        </w:rPr>
        <w:t>18辆，</w:t>
      </w:r>
      <w:r>
        <w:rPr>
          <w:rFonts w:hint="eastAsia" w:ascii="Times New Roman" w:hAnsi="Times New Roman" w:eastAsia="仿宋_GB2312"/>
          <w:color w:val="auto"/>
          <w:sz w:val="32"/>
          <w:szCs w:val="32"/>
          <w:highlight w:val="none"/>
          <w:lang w:val="en-US" w:eastAsia="zh-CN"/>
        </w:rPr>
        <w:t>与</w:t>
      </w:r>
      <w:r>
        <w:rPr>
          <w:rFonts w:hint="eastAsia" w:ascii="Times New Roman" w:hAnsi="Times New Roman" w:eastAsia="仿宋_GB2312"/>
          <w:color w:val="auto"/>
          <w:sz w:val="32"/>
          <w:szCs w:val="32"/>
          <w:highlight w:val="none"/>
          <w:lang w:val="zh-CN" w:eastAsia="zh-CN"/>
        </w:rPr>
        <w:t>公务用车</w:t>
      </w:r>
      <w:r>
        <w:rPr>
          <w:rFonts w:hint="eastAsia" w:ascii="Times New Roman" w:hAnsi="Times New Roman" w:eastAsia="仿宋_GB2312"/>
          <w:color w:val="auto"/>
          <w:sz w:val="32"/>
          <w:szCs w:val="32"/>
          <w:highlight w:val="none"/>
          <w:lang w:val="en-US" w:eastAsia="zh-CN"/>
        </w:rPr>
        <w:t>保有量差异</w:t>
      </w:r>
      <w:r>
        <w:rPr>
          <w:rFonts w:hint="eastAsia" w:ascii="Times New Roman" w:hAnsi="Times New Roman"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公务接待费1.71万元，开支内容包括公务接待及接待会议</w:t>
      </w:r>
      <w:r>
        <w:rPr>
          <w:rFonts w:hint="eastAsia" w:eastAsia="仿宋_GB2312"/>
          <w:color w:val="auto"/>
          <w:sz w:val="32"/>
          <w:szCs w:val="32"/>
          <w:highlight w:val="none"/>
          <w:lang w:val="zh-CN" w:eastAsia="zh-CN"/>
        </w:rPr>
        <w:t>、餐费</w:t>
      </w:r>
      <w:r>
        <w:rPr>
          <w:rFonts w:hint="eastAsia" w:ascii="Times New Roman" w:hAnsi="Times New Roman" w:eastAsia="仿宋_GB2312"/>
          <w:color w:val="auto"/>
          <w:sz w:val="32"/>
          <w:szCs w:val="32"/>
          <w:highlight w:val="none"/>
          <w:lang w:val="zh-CN" w:eastAsia="zh-CN"/>
        </w:rPr>
        <w:t>。单位全年安排的国内公务接待13批次，93人次。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与</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预算相比</w:t>
      </w:r>
      <w:r>
        <w:rPr>
          <w:rFonts w:hint="eastAsia" w:ascii="Times New Roman" w:hAnsi="Times New Roman"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zh-CN" w:eastAsia="zh-CN"/>
        </w:rPr>
        <w:t>财政拨款“三公”经费支出</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预算数33.40万元，决算数33.40万元，预决算差异率0.00%，主要原因是：预算执行质量较高。其中：因公出国（境）费</w:t>
      </w:r>
      <w:r>
        <w:rPr>
          <w:rFonts w:hint="eastAsia" w:ascii="Times New Roman" w:hAnsi="Times New Roman" w:eastAsia="仿宋_GB2312"/>
          <w:color w:val="auto"/>
          <w:sz w:val="32"/>
          <w:szCs w:val="32"/>
          <w:highlight w:val="none"/>
          <w:lang w:val="en-US" w:eastAsia="zh-CN"/>
        </w:rPr>
        <w:t>全年预算数</w:t>
      </w:r>
      <w:r>
        <w:rPr>
          <w:rFonts w:hint="eastAsia" w:ascii="Times New Roman" w:hAnsi="Times New Roman" w:eastAsia="仿宋_GB2312"/>
          <w:color w:val="auto"/>
          <w:sz w:val="32"/>
          <w:szCs w:val="32"/>
          <w:highlight w:val="none"/>
          <w:lang w:val="zh-CN" w:eastAsia="zh-CN"/>
        </w:rPr>
        <w:t>0.00万元，决算数0.00万元，预决算差异率0.00%，主要原因是：</w:t>
      </w:r>
      <w:r>
        <w:rPr>
          <w:rFonts w:hint="eastAsia" w:eastAsia="仿宋_GB2312"/>
          <w:color w:val="auto"/>
          <w:sz w:val="32"/>
          <w:szCs w:val="32"/>
          <w:highlight w:val="none"/>
          <w:lang w:val="zh-CN" w:eastAsia="zh-CN"/>
        </w:rPr>
        <w:t>无</w:t>
      </w:r>
      <w:r>
        <w:rPr>
          <w:rFonts w:hint="eastAsia" w:ascii="Times New Roman" w:hAnsi="Times New Roman" w:eastAsia="仿宋_GB2312"/>
          <w:color w:val="auto"/>
          <w:sz w:val="32"/>
          <w:szCs w:val="32"/>
          <w:highlight w:val="none"/>
          <w:lang w:val="zh-CN" w:eastAsia="zh-CN"/>
        </w:rPr>
        <w:t>因公出国（境）费；公务用车购置费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eastAsia="仿宋_GB2312"/>
          <w:color w:val="auto"/>
          <w:sz w:val="32"/>
          <w:szCs w:val="32"/>
          <w:highlight w:val="none"/>
          <w:lang w:val="zh-CN" w:eastAsia="zh-CN"/>
        </w:rPr>
        <w:t>无</w:t>
      </w:r>
      <w:r>
        <w:rPr>
          <w:rFonts w:hint="eastAsia" w:ascii="Times New Roman" w:hAnsi="Times New Roman" w:eastAsia="仿宋_GB2312"/>
          <w:color w:val="auto"/>
          <w:sz w:val="32"/>
          <w:szCs w:val="32"/>
          <w:highlight w:val="none"/>
          <w:lang w:val="zh-CN" w:eastAsia="zh-CN"/>
        </w:rPr>
        <w:t>公务用车购置费；公务用车运行费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预算数31.69万元，决算数31.69万元，预决算差异率0.00%，主要原因是：预算执行质量较高；公务接待费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预算数1.71万元，决算数1.71万元，预决算差异率0.00%，主要原因是：预算执行质量较高。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仿宋_GB2312"/>
          <w:color w:val="auto"/>
          <w:sz w:val="32"/>
          <w:szCs w:val="32"/>
          <w:highlight w:val="none"/>
          <w:lang w:eastAsia="zh-CN"/>
        </w:rPr>
      </w:pPr>
      <w:bookmarkStart w:id="18" w:name="_Toc7927"/>
      <w:bookmarkStart w:id="19" w:name="_Toc5810"/>
      <w:r>
        <w:rPr>
          <w:rFonts w:hint="eastAsia" w:ascii="Times New Roman" w:hAnsi="Times New Roman" w:eastAsia="黑体" w:cs="宋体"/>
          <w:bCs/>
          <w:color w:val="auto"/>
          <w:kern w:val="0"/>
          <w:sz w:val="32"/>
          <w:szCs w:val="32"/>
          <w:highlight w:val="none"/>
          <w:lang w:val="en-US" w:eastAsia="zh-CN"/>
        </w:rPr>
        <w:t>八</w:t>
      </w:r>
      <w:r>
        <w:rPr>
          <w:rFonts w:hint="eastAsia" w:ascii="Times New Roman" w:hAnsi="Times New Roman"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kinsoku/>
        <w:wordWrap/>
        <w:overflowPunct/>
        <w:topLinePunct w:val="0"/>
        <w:bidi w:val="0"/>
        <w:adjustRightIn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与上年相比，减少178.00万元</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下降100.00%</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：本年财政资金充足，不需要相关资金弥补支出。与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0.00</w:t>
      </w:r>
      <w:r>
        <w:rPr>
          <w:rFonts w:hint="eastAsia" w:ascii="Times New Roman" w:hAnsi="Times New Roman" w:eastAsia="仿宋_GB2312" w:cs="Times New Roman"/>
          <w:color w:val="auto"/>
          <w:sz w:val="32"/>
          <w:szCs w:val="32"/>
          <w:highlight w:val="none"/>
          <w:lang w:val="zh-CN"/>
        </w:rPr>
        <w:t>万元，预决算差异率0.00%</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本年财政资金充足，不需要相关资金弥补支出。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zh-CN"/>
        </w:rPr>
        <w:t>1.社会保障和就业支出（类）大中型水库移民后期扶持基金支出（款）基础设施建设和经济发展（项）:支出决算数为0.00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zh-CN"/>
        </w:rPr>
        <w:t>178.00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下降</w:t>
      </w:r>
      <w:r>
        <w:rPr>
          <w:rFonts w:hint="eastAsia" w:ascii="Times New Roman" w:hAnsi="Times New Roman" w:eastAsia="仿宋_GB2312" w:cs="Times New Roman"/>
          <w:color w:val="auto"/>
          <w:sz w:val="32"/>
          <w:szCs w:val="32"/>
          <w:highlight w:val="none"/>
          <w:lang w:val="zh-CN"/>
        </w:rPr>
        <w:t>100%，主要原因是：本年财政资金充足，不需要相关资金弥补支出。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仿宋_GB2312"/>
          <w:color w:val="auto"/>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九</w:t>
      </w:r>
      <w:r>
        <w:rPr>
          <w:rFonts w:hint="eastAsia" w:ascii="Times New Roman" w:hAnsi="Times New Roman"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本年度无国有资本经营预算财政拨款收入、支出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，国有资本经营</w:t>
      </w:r>
      <w:r>
        <w:rPr>
          <w:rFonts w:hint="eastAsia" w:ascii="Times New Roman" w:hAnsi="Times New Roman"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0" w:name="_Toc7314"/>
      <w:bookmarkStart w:id="21" w:name="_Toc1235"/>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rPr>
        <w:t>、其他重要事项的情况</w:t>
      </w:r>
      <w:r>
        <w:rPr>
          <w:rFonts w:hint="eastAsia" w:ascii="Times New Roman" w:hAnsi="Times New Roman"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Times New Roman" w:hAnsi="Times New Roman" w:eastAsia="黑体"/>
          <w:color w:val="auto"/>
          <w:sz w:val="32"/>
          <w:szCs w:val="32"/>
          <w:highlight w:val="none"/>
        </w:rPr>
      </w:pPr>
      <w:bookmarkStart w:id="22" w:name="_Toc13105"/>
      <w:bookmarkStart w:id="23" w:name="_Toc14519"/>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新疆维吾尔自治区水利厅机关（行政单位和参照公务员法管理事业单位）机关运行经费支出560.62万元，</w:t>
      </w:r>
      <w:r>
        <w:rPr>
          <w:rFonts w:hint="eastAsia" w:ascii="Times New Roman" w:hAnsi="Times New Roman" w:eastAsia="仿宋_GB2312" w:cs="Times New Roman"/>
          <w:color w:val="auto"/>
          <w:sz w:val="32"/>
          <w:szCs w:val="32"/>
          <w:highlight w:val="none"/>
          <w:lang w:val="zh-CN" w:eastAsia="zh-CN"/>
        </w:rPr>
        <w:t>比上年增加303.91万元，增长118.38%，主要原因是：受</w:t>
      </w:r>
      <w:r>
        <w:rPr>
          <w:rFonts w:hint="eastAsia" w:ascii="Times New Roman" w:hAnsi="Times New Roman" w:eastAsia="仿宋_GB2312" w:cs="Times New Roman"/>
          <w:color w:val="auto"/>
          <w:sz w:val="32"/>
          <w:szCs w:val="32"/>
          <w:highlight w:val="none"/>
          <w:lang w:val="en-US" w:eastAsia="zh-CN"/>
        </w:rPr>
        <w:t>2022年疫情影响，本单位部分时间处于封闭状态，差旅费、办公费、接待费、公务用车运行维护等公用经费，无法支出或需求减少。2023年恢复正常后公用支出需求增加，导致本年支出较上年变动较大。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2,007.59万元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其中：政府采购货物支出216.44万元、政府采购工程支出160.45万元、政府采购服务支出1,630.70万元。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授予中小企业合同金额1,705.25万元，占政府采购支出总额的84.94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，其中：授予小微企业合同金额749.88万元，占政府采购支出总额的37.35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3,086.78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屋18,929.47平方米，价值1,085.48万元。车辆18辆，价值520.37万元，其中：副部（省）级及以上领导用车0辆、主要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用车2辆、机要通信用车1辆、应急保障用车3辆、执法执勤用车0辆、特种专业技术用车0辆、离退休干部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用车2辆、其他用车10辆，其他用车主要是：一般公务用车；单价100万元（含）以上设备（不含车辆）2</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8" w:name="_Toc11283"/>
      <w:bookmarkStart w:id="29" w:name="_Toc435"/>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一</w:t>
      </w:r>
      <w:r>
        <w:rPr>
          <w:rFonts w:hint="eastAsia" w:ascii="Times New Roman" w:hAnsi="Times New Roman"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0"/>
          <w:sz w:val="32"/>
          <w:szCs w:val="32"/>
          <w:highlight w:val="none"/>
          <w:lang w:val="en-US" w:eastAsia="zh-Hans"/>
        </w:rPr>
      </w:pPr>
      <w:r>
        <w:rPr>
          <w:rFonts w:hint="eastAsia" w:ascii="Times New Roman" w:hAnsi="Times New Roman" w:eastAsia="仿宋_GB2312"/>
          <w:color w:val="auto"/>
          <w:sz w:val="32"/>
          <w:szCs w:val="32"/>
          <w:highlight w:val="none"/>
          <w:lang w:eastAsia="zh-CN"/>
        </w:rPr>
        <w:t>根据预算绩效管理要求，我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s="仿宋_GB2312"/>
          <w:color w:val="auto"/>
          <w:kern w:val="0"/>
          <w:sz w:val="32"/>
          <w:szCs w:val="32"/>
          <w:highlight w:val="none"/>
        </w:rPr>
        <w:t>预算绩效管理整体</w:t>
      </w:r>
      <w:r>
        <w:rPr>
          <w:rFonts w:hint="eastAsia" w:ascii="Times New Roman" w:hAnsi="Times New Roman" w:eastAsia="仿宋_GB2312" w:cs="仿宋_GB2312"/>
          <w:color w:val="auto"/>
          <w:kern w:val="0"/>
          <w:sz w:val="32"/>
          <w:szCs w:val="32"/>
          <w:highlight w:val="none"/>
          <w:lang w:val="en-US" w:eastAsia="zh-CN"/>
        </w:rPr>
        <w:t>支出</w:t>
      </w:r>
      <w:r>
        <w:rPr>
          <w:rFonts w:hint="eastAsia" w:ascii="Times New Roman" w:hAnsi="Times New Roman" w:eastAsia="仿宋_GB2312" w:cs="仿宋_GB2312"/>
          <w:color w:val="auto"/>
          <w:kern w:val="0"/>
          <w:sz w:val="32"/>
          <w:szCs w:val="32"/>
          <w:highlight w:val="none"/>
        </w:rPr>
        <w:t>绩效自评表</w:t>
      </w: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s="仿宋_GB2312"/>
          <w:color w:val="auto"/>
          <w:kern w:val="0"/>
          <w:sz w:val="32"/>
          <w:szCs w:val="32"/>
          <w:highlight w:val="none"/>
          <w:lang w:val="en-US" w:eastAsia="zh-CN"/>
        </w:rPr>
        <w:t>个，全年</w:t>
      </w:r>
      <w:r>
        <w:rPr>
          <w:rFonts w:hint="eastAsia" w:ascii="Times New Roman" w:hAnsi="Times New Roman" w:eastAsia="仿宋_GB2312"/>
          <w:color w:val="auto"/>
          <w:sz w:val="32"/>
          <w:szCs w:val="32"/>
          <w:highlight w:val="none"/>
          <w:lang w:val="en-US" w:eastAsia="zh-CN"/>
        </w:rPr>
        <w:t>预算总额815.68</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实际执行总额815.68</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预算绩效管理取得的成效：一是组织各地开展移民美丽家园、生产开发及配套设施等项目，使得移民点的人居环境、文化生活得到改善，进一步增强全区移民的幸福感、获得感；二是完成2022年度自治区大中型水利水电工程5个在建工程及7个地州移民后期扶持项目的监督检查工作。发现的问题及原因：一是需要进一步细化项目预算申报；二是不断学习预算申报制度，为提高项目绩效做好政策储备；三是</w:t>
      </w:r>
      <w:r>
        <w:rPr>
          <w:rFonts w:hint="eastAsia" w:ascii="Times New Roman" w:hAnsi="Times New Roman" w:eastAsia="仿宋_GB2312"/>
          <w:color w:val="auto"/>
          <w:sz w:val="32"/>
          <w:szCs w:val="32"/>
          <w:highlight w:val="none"/>
          <w:lang w:val="en-US" w:eastAsia="zh-CN"/>
        </w:rPr>
        <w:t>完成水土保持重点工程和在建生产建设的核查、生态清洁小流域规划编制、2022年生产建设项目自主验收的核查、中央对自治区实施《全国水土保持规划》情况考核评估、自治区水土保持目标责任考核、国家水土保持卫星遥感图斑现场复核、2023年度水土保持重点工程；四是完成自治区河湖长工作平台信息系统安全等级保护测评1次</w:t>
      </w:r>
      <w:r>
        <w:rPr>
          <w:rFonts w:hint="eastAsia" w:ascii="Times New Roman" w:hAnsi="Times New Roman" w:eastAsia="仿宋_GB2312"/>
          <w:color w:val="auto"/>
          <w:sz w:val="32"/>
          <w:szCs w:val="32"/>
          <w:highlight w:val="none"/>
          <w:lang w:eastAsia="zh-CN"/>
        </w:rPr>
        <w:t>。下一步改进措施：一是强化全面预算意识，确保预算执行过程顺畅；二是坚持学习预算政策，提高项目预算可执行性</w:t>
      </w:r>
      <w:r>
        <w:rPr>
          <w:rFonts w:hint="eastAsia" w:ascii="Times New Roman" w:hAnsi="Times New Roman" w:eastAsia="仿宋_GB2312"/>
          <w:color w:val="auto"/>
          <w:sz w:val="32"/>
          <w:szCs w:val="32"/>
          <w:highlight w:val="none"/>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bookmarkStart w:id="48" w:name="_GoBack"/>
      <w:bookmarkEnd w:id="48"/>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二</w:t>
      </w:r>
      <w:r>
        <w:rPr>
          <w:rFonts w:hint="eastAsia" w:ascii="Times New Roman" w:hAnsi="Times New Roman"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Times New Roman" w:hAnsi="Times New Roman" w:eastAsia="仿宋_GB2312" w:cs="仿宋_GB2312"/>
          <w:color w:val="auto"/>
          <w:kern w:val="0"/>
          <w:sz w:val="32"/>
          <w:szCs w:val="32"/>
          <w:highlight w:val="none"/>
          <w:lang w:val="en-US" w:eastAsia="zh-CN"/>
        </w:rPr>
      </w:pPr>
      <w:r>
        <w:rPr>
          <w:rFonts w:hint="eastAsia" w:ascii="Times New Roman" w:hAnsi="Times New Roman"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Times New Roman" w:hAnsi="Times New Roman" w:eastAsia="黑体"/>
          <w:color w:val="auto"/>
          <w:sz w:val="32"/>
          <w:szCs w:val="32"/>
          <w:highlight w:val="none"/>
        </w:rPr>
      </w:pPr>
      <w:bookmarkStart w:id="30" w:name="_Toc3250"/>
      <w:bookmarkStart w:id="31" w:name="_Toc241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三</w:t>
      </w:r>
      <w:r>
        <w:rPr>
          <w:rFonts w:hint="eastAsia" w:ascii="Times New Roman" w:hAnsi="Times New Roman"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一、</w:t>
      </w:r>
      <w:r>
        <w:rPr>
          <w:rFonts w:hint="eastAsia" w:ascii="Times New Roman" w:hAnsi="Times New Roman" w:eastAsia="仿宋_GB2312"/>
          <w:b/>
          <w:bCs/>
          <w:color w:val="auto"/>
          <w:sz w:val="32"/>
          <w:szCs w:val="32"/>
          <w:highlight w:val="none"/>
        </w:rPr>
        <w:t>财政拨款收入：</w:t>
      </w:r>
      <w:r>
        <w:rPr>
          <w:rFonts w:hint="eastAsia" w:ascii="Times New Roman" w:hAnsi="Times New Roman"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二、</w:t>
      </w:r>
      <w:r>
        <w:rPr>
          <w:rFonts w:hint="eastAsia" w:ascii="Times New Roman" w:hAnsi="Times New Roman" w:eastAsia="仿宋_GB2312"/>
          <w:b/>
          <w:bCs/>
          <w:color w:val="auto"/>
          <w:sz w:val="32"/>
          <w:szCs w:val="32"/>
          <w:highlight w:val="none"/>
        </w:rPr>
        <w:t>上级补助收入：</w:t>
      </w:r>
      <w:r>
        <w:rPr>
          <w:rFonts w:hint="eastAsia" w:ascii="Times New Roman" w:hAnsi="Times New Roman"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三、</w:t>
      </w:r>
      <w:r>
        <w:rPr>
          <w:rFonts w:hint="eastAsia" w:ascii="Times New Roman" w:hAnsi="Times New Roman" w:eastAsia="仿宋_GB2312"/>
          <w:b/>
          <w:bCs/>
          <w:color w:val="auto"/>
          <w:sz w:val="32"/>
          <w:szCs w:val="32"/>
          <w:highlight w:val="none"/>
        </w:rPr>
        <w:t>事业收入：</w:t>
      </w:r>
      <w:r>
        <w:rPr>
          <w:rFonts w:hint="eastAsia" w:ascii="Times New Roman" w:hAnsi="Times New Roman"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四、</w:t>
      </w:r>
      <w:r>
        <w:rPr>
          <w:rFonts w:hint="eastAsia" w:ascii="Times New Roman" w:hAnsi="Times New Roman" w:eastAsia="仿宋_GB2312"/>
          <w:b/>
          <w:bCs/>
          <w:color w:val="auto"/>
          <w:sz w:val="32"/>
          <w:szCs w:val="32"/>
          <w:highlight w:val="none"/>
        </w:rPr>
        <w:t>经营收入：</w:t>
      </w:r>
      <w:r>
        <w:rPr>
          <w:rFonts w:hint="eastAsia" w:ascii="Times New Roman" w:hAnsi="Times New Roman"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五、</w:t>
      </w:r>
      <w:r>
        <w:rPr>
          <w:rFonts w:hint="eastAsia" w:ascii="Times New Roman" w:hAnsi="Times New Roman" w:eastAsia="仿宋_GB2312"/>
          <w:b/>
          <w:bCs/>
          <w:color w:val="auto"/>
          <w:sz w:val="32"/>
          <w:szCs w:val="32"/>
          <w:highlight w:val="none"/>
        </w:rPr>
        <w:t>附属单位上缴收入：</w:t>
      </w:r>
      <w:r>
        <w:rPr>
          <w:rFonts w:hint="eastAsia" w:ascii="Times New Roman" w:hAnsi="Times New Roman"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六、</w:t>
      </w:r>
      <w:r>
        <w:rPr>
          <w:rFonts w:hint="eastAsia" w:ascii="Times New Roman" w:hAnsi="Times New Roman" w:eastAsia="仿宋_GB2312"/>
          <w:b/>
          <w:bCs/>
          <w:color w:val="auto"/>
          <w:sz w:val="32"/>
          <w:szCs w:val="32"/>
          <w:highlight w:val="none"/>
        </w:rPr>
        <w:t>其他收入：</w:t>
      </w:r>
      <w:r>
        <w:rPr>
          <w:rFonts w:hint="eastAsia" w:ascii="Times New Roman" w:hAnsi="Times New Roman"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七、</w:t>
      </w:r>
      <w:r>
        <w:rPr>
          <w:rFonts w:hint="eastAsia" w:ascii="Times New Roman" w:hAnsi="Times New Roman" w:eastAsia="仿宋_GB2312"/>
          <w:b/>
          <w:bCs/>
          <w:color w:val="auto"/>
          <w:sz w:val="32"/>
          <w:szCs w:val="32"/>
          <w:highlight w:val="none"/>
          <w:lang w:eastAsia="zh-CN"/>
        </w:rPr>
        <w:t>年初</w:t>
      </w:r>
      <w:r>
        <w:rPr>
          <w:rFonts w:hint="eastAsia" w:ascii="Times New Roman" w:hAnsi="Times New Roman" w:eastAsia="仿宋_GB2312"/>
          <w:b/>
          <w:bCs/>
          <w:color w:val="auto"/>
          <w:sz w:val="32"/>
          <w:szCs w:val="32"/>
          <w:highlight w:val="none"/>
        </w:rPr>
        <w:t>结转和结余：</w:t>
      </w:r>
      <w:r>
        <w:rPr>
          <w:rFonts w:hint="eastAsia" w:ascii="Times New Roman" w:hAnsi="Times New Roman"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八、</w:t>
      </w:r>
      <w:r>
        <w:rPr>
          <w:rFonts w:hint="eastAsia" w:ascii="Times New Roman" w:hAnsi="Times New Roman" w:eastAsia="仿宋_GB2312"/>
          <w:b/>
          <w:bCs/>
          <w:color w:val="auto"/>
          <w:sz w:val="32"/>
          <w:szCs w:val="32"/>
          <w:highlight w:val="none"/>
        </w:rPr>
        <w:t>年末结转和结余：</w:t>
      </w:r>
      <w:r>
        <w:rPr>
          <w:rFonts w:hint="eastAsia" w:ascii="Times New Roman" w:hAnsi="Times New Roman"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九、</w:t>
      </w:r>
      <w:r>
        <w:rPr>
          <w:rFonts w:hint="eastAsia" w:ascii="Times New Roman" w:hAnsi="Times New Roman" w:eastAsia="仿宋_GB2312"/>
          <w:b/>
          <w:bCs/>
          <w:color w:val="auto"/>
          <w:sz w:val="32"/>
          <w:szCs w:val="32"/>
          <w:highlight w:val="none"/>
        </w:rPr>
        <w:t>基本支出：</w:t>
      </w:r>
      <w:r>
        <w:rPr>
          <w:rFonts w:hint="eastAsia" w:ascii="Times New Roman" w:hAnsi="Times New Roman"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w:t>
      </w:r>
      <w:r>
        <w:rPr>
          <w:rFonts w:hint="eastAsia" w:ascii="Times New Roman" w:hAnsi="Times New Roman" w:eastAsia="仿宋_GB2312"/>
          <w:b/>
          <w:bCs/>
          <w:color w:val="auto"/>
          <w:sz w:val="32"/>
          <w:szCs w:val="32"/>
          <w:highlight w:val="none"/>
        </w:rPr>
        <w:t>项目支出：</w:t>
      </w:r>
      <w:r>
        <w:rPr>
          <w:rFonts w:hint="eastAsia" w:ascii="Times New Roman" w:hAnsi="Times New Roman"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十一、</w:t>
      </w:r>
      <w:r>
        <w:rPr>
          <w:rFonts w:hint="eastAsia" w:ascii="Times New Roman" w:hAnsi="Times New Roman" w:eastAsia="仿宋_GB2312"/>
          <w:b/>
          <w:bCs/>
          <w:color w:val="auto"/>
          <w:sz w:val="32"/>
          <w:szCs w:val="32"/>
          <w:highlight w:val="none"/>
        </w:rPr>
        <w:t>经营支出：</w:t>
      </w:r>
      <w:r>
        <w:rPr>
          <w:rFonts w:hint="eastAsia" w:ascii="Times New Roman" w:hAnsi="Times New Roman"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十二、</w:t>
      </w:r>
      <w:r>
        <w:rPr>
          <w:rFonts w:hint="eastAsia" w:ascii="Times New Roman" w:hAnsi="Times New Roman" w:eastAsia="仿宋_GB2312"/>
          <w:b/>
          <w:bCs/>
          <w:color w:val="auto"/>
          <w:sz w:val="32"/>
          <w:szCs w:val="32"/>
          <w:highlight w:val="none"/>
        </w:rPr>
        <w:t>对附属单位补助支出：</w:t>
      </w:r>
      <w:r>
        <w:rPr>
          <w:rFonts w:hint="eastAsia" w:ascii="Times New Roman" w:hAnsi="Times New Roman"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b/>
          <w:bCs/>
          <w:color w:val="auto"/>
          <w:sz w:val="32"/>
          <w:szCs w:val="32"/>
          <w:highlight w:val="none"/>
          <w:lang w:val="en-US" w:eastAsia="zh-CN"/>
        </w:rPr>
        <w:t>十三、</w:t>
      </w:r>
      <w:r>
        <w:rPr>
          <w:rFonts w:hint="eastAsia" w:ascii="Times New Roman" w:hAnsi="Times New Roman" w:eastAsia="仿宋_GB2312"/>
          <w:b/>
          <w:bCs/>
          <w:color w:val="auto"/>
          <w:sz w:val="32"/>
          <w:szCs w:val="32"/>
          <w:highlight w:val="none"/>
        </w:rPr>
        <w:t>“三公”经费：</w:t>
      </w:r>
      <w:r>
        <w:rPr>
          <w:rFonts w:hint="eastAsia" w:ascii="Times New Roman" w:hAnsi="Times New Roman"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Times New Roman" w:hAnsi="Times New Roman" w:eastAsia="仿宋_GB2312"/>
          <w:color w:val="auto"/>
          <w:sz w:val="32"/>
          <w:szCs w:val="32"/>
          <w:highlight w:val="none"/>
          <w:lang w:eastAsia="zh-CN"/>
        </w:rPr>
        <w:t>国际旅费、国外城市间交通费、</w:t>
      </w:r>
      <w:r>
        <w:rPr>
          <w:rFonts w:hint="eastAsia" w:ascii="Times New Roman" w:hAnsi="Times New Roman" w:eastAsia="仿宋_GB2312"/>
          <w:color w:val="auto"/>
          <w:sz w:val="32"/>
          <w:szCs w:val="32"/>
          <w:highlight w:val="none"/>
        </w:rPr>
        <w:t>住宿费、伙食费、培训费、</w:t>
      </w:r>
      <w:r>
        <w:rPr>
          <w:rFonts w:hint="eastAsia" w:ascii="Times New Roman" w:hAnsi="Times New Roman" w:eastAsia="仿宋_GB2312"/>
          <w:color w:val="auto"/>
          <w:sz w:val="32"/>
          <w:szCs w:val="32"/>
          <w:highlight w:val="none"/>
          <w:lang w:eastAsia="zh-CN"/>
        </w:rPr>
        <w:t>公</w:t>
      </w:r>
      <w:r>
        <w:rPr>
          <w:rFonts w:hint="eastAsia" w:ascii="Times New Roman" w:hAnsi="Times New Roman" w:eastAsia="仿宋_GB2312"/>
          <w:color w:val="auto"/>
          <w:sz w:val="32"/>
          <w:szCs w:val="32"/>
          <w:highlight w:val="none"/>
        </w:rPr>
        <w:t>杂费等支出；公务用车购置费</w:t>
      </w:r>
      <w:r>
        <w:rPr>
          <w:rFonts w:hint="eastAsia" w:ascii="Times New Roman" w:hAnsi="Times New Roman" w:eastAsia="仿宋_GB2312"/>
          <w:color w:val="auto"/>
          <w:sz w:val="32"/>
          <w:szCs w:val="32"/>
          <w:highlight w:val="none"/>
          <w:lang w:eastAsia="zh-CN"/>
        </w:rPr>
        <w:t>反映公务用车购置支出（含车辆购置税、牌照费）；</w:t>
      </w:r>
      <w:r>
        <w:rPr>
          <w:rFonts w:hint="eastAsia" w:ascii="Times New Roman" w:hAnsi="Times New Roman" w:eastAsia="仿宋_GB2312"/>
          <w:color w:val="auto"/>
          <w:sz w:val="32"/>
          <w:szCs w:val="32"/>
          <w:highlight w:val="none"/>
        </w:rPr>
        <w:t>公务用车运行</w:t>
      </w:r>
      <w:r>
        <w:rPr>
          <w:rFonts w:hint="eastAsia" w:ascii="Times New Roman" w:hAnsi="Times New Roman" w:eastAsia="仿宋_GB2312"/>
          <w:color w:val="auto"/>
          <w:sz w:val="32"/>
          <w:szCs w:val="32"/>
          <w:highlight w:val="none"/>
          <w:lang w:eastAsia="zh-CN"/>
        </w:rPr>
        <w:t>维护</w:t>
      </w:r>
      <w:r>
        <w:rPr>
          <w:rFonts w:hint="eastAsia" w:ascii="Times New Roman" w:hAnsi="Times New Roman" w:eastAsia="仿宋_GB2312"/>
          <w:color w:val="auto"/>
          <w:sz w:val="32"/>
          <w:szCs w:val="32"/>
          <w:highlight w:val="none"/>
        </w:rPr>
        <w:t>费反映</w:t>
      </w:r>
      <w:r>
        <w:rPr>
          <w:rFonts w:hint="eastAsia" w:ascii="Times New Roman" w:hAnsi="Times New Roman" w:eastAsia="仿宋_GB2312"/>
          <w:color w:val="auto"/>
          <w:sz w:val="32"/>
          <w:szCs w:val="32"/>
          <w:highlight w:val="none"/>
          <w:lang w:eastAsia="zh-CN"/>
        </w:rPr>
        <w:t>单位按规定保留的公务用车燃料费、维修费、</w:t>
      </w:r>
      <w:r>
        <w:rPr>
          <w:rFonts w:hint="eastAsia" w:ascii="Times New Roman" w:hAnsi="Times New Roman" w:eastAsia="仿宋_GB2312"/>
          <w:color w:val="auto"/>
          <w:sz w:val="32"/>
          <w:szCs w:val="32"/>
          <w:highlight w:val="none"/>
        </w:rPr>
        <w:t>过路过桥费、保险费、安全奖励费用等支出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公务接待费反映单位按规定开支的各类公务接待（含外宾接待）</w:t>
      </w:r>
      <w:r>
        <w:rPr>
          <w:rFonts w:hint="eastAsia" w:ascii="Times New Roman" w:hAnsi="Times New Roman" w:eastAsia="仿宋_GB2312"/>
          <w:color w:val="auto"/>
          <w:sz w:val="32"/>
          <w:szCs w:val="32"/>
          <w:highlight w:val="none"/>
          <w:lang w:eastAsia="zh-CN"/>
        </w:rPr>
        <w:t>费用</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jc w:val="both"/>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十四、</w:t>
      </w:r>
      <w:r>
        <w:rPr>
          <w:rFonts w:hint="eastAsia" w:ascii="Times New Roman" w:hAnsi="Times New Roman" w:eastAsia="仿宋_GB2312"/>
          <w:b/>
          <w:bCs/>
          <w:color w:val="auto"/>
          <w:sz w:val="32"/>
          <w:szCs w:val="32"/>
          <w:highlight w:val="none"/>
        </w:rPr>
        <w:t>机关运行经费：</w:t>
      </w:r>
      <w:r>
        <w:rPr>
          <w:rFonts w:hint="eastAsia" w:ascii="Times New Roman" w:hAnsi="Times New Roman"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仿宋_GB2312"/>
          <w:color w:val="auto"/>
          <w:sz w:val="32"/>
          <w:szCs w:val="32"/>
          <w:highlight w:val="none"/>
        </w:rPr>
        <w:br w:type="page"/>
      </w:r>
      <w:r>
        <w:rPr>
          <w:rFonts w:hint="eastAsia" w:ascii="Times New Roman" w:hAnsi="Times New Roman"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2" w:name="_Toc2183"/>
      <w:bookmarkStart w:id="33" w:name="_Toc6062"/>
      <w:r>
        <w:rPr>
          <w:rFonts w:hint="eastAsia" w:ascii="Times New Roman" w:hAnsi="Times New Roman"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4" w:name="_Toc30364"/>
      <w:bookmarkStart w:id="35" w:name="_Toc24532"/>
      <w:r>
        <w:rPr>
          <w:rFonts w:hint="eastAsia" w:ascii="Times New Roman" w:hAnsi="Times New Roman"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6" w:name="_Toc21304"/>
      <w:bookmarkStart w:id="37" w:name="_Toc32434"/>
      <w:r>
        <w:rPr>
          <w:rFonts w:hint="eastAsia" w:ascii="Times New Roman" w:hAnsi="Times New Roman"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8" w:name="_Toc14238"/>
      <w:bookmarkStart w:id="39" w:name="_Toc28786"/>
      <w:r>
        <w:rPr>
          <w:rFonts w:hint="eastAsia" w:ascii="Times New Roman" w:hAnsi="Times New Roman"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0" w:name="_Toc14869"/>
      <w:bookmarkStart w:id="41" w:name="_Toc10347"/>
      <w:r>
        <w:rPr>
          <w:rFonts w:hint="eastAsia" w:ascii="Times New Roman" w:hAnsi="Times New Roman"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2" w:name="_Toc5626"/>
      <w:bookmarkStart w:id="43" w:name="_Toc8884"/>
      <w:r>
        <w:rPr>
          <w:rFonts w:hint="eastAsia" w:ascii="Times New Roman" w:hAnsi="Times New Roman"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七、</w:t>
      </w:r>
      <w:bookmarkStart w:id="44" w:name="_Toc29106"/>
      <w:bookmarkStart w:id="45" w:name="_Toc32663"/>
      <w:r>
        <w:rPr>
          <w:rFonts w:hint="eastAsia" w:ascii="Times New Roman" w:hAnsi="Times New Roman"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6" w:name="_Toc7643"/>
      <w:bookmarkStart w:id="47" w:name="_Toc5453"/>
      <w:r>
        <w:rPr>
          <w:rFonts w:hint="eastAsia" w:ascii="Times New Roman" w:hAnsi="Times New Roman"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lang w:val="en-US" w:eastAsia="zh-CN"/>
        </w:rPr>
        <w:t>九</w:t>
      </w:r>
      <w:r>
        <w:rPr>
          <w:rFonts w:hint="eastAsia" w:ascii="Times New Roman" w:hAnsi="Times New Roman" w:eastAsia="仿宋_GB2312" w:cs="宋体"/>
          <w:bCs/>
          <w:color w:val="auto"/>
          <w:kern w:val="0"/>
          <w:sz w:val="32"/>
          <w:szCs w:val="32"/>
          <w:highlight w:val="none"/>
        </w:rPr>
        <w:t>、《</w:t>
      </w:r>
      <w:r>
        <w:rPr>
          <w:rFonts w:hint="eastAsia" w:ascii="Times New Roman" w:hAnsi="Times New Roman" w:eastAsia="仿宋_GB2312" w:cs="宋体"/>
          <w:bCs/>
          <w:color w:val="auto"/>
          <w:kern w:val="0"/>
          <w:sz w:val="32"/>
          <w:szCs w:val="32"/>
          <w:highlight w:val="none"/>
          <w:lang w:eastAsia="zh-CN"/>
        </w:rPr>
        <w:t>国有资本经营</w:t>
      </w:r>
      <w:r>
        <w:rPr>
          <w:rFonts w:hint="eastAsia" w:ascii="Times New Roman" w:hAnsi="Times New Roman"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tjwut4BAAC+AwAADgAAAGRycy9lMm9Eb2MueG1srVPNjtMwEL4j8Q6W&#10;7zTZaoW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O2PC63gEAAL4DAAAOAAAAAAAA&#10;AAEAIAAAAB4BAABkcnMvZTJvRG9jLnhtbFBLBQYAAAAABgAGAFkBAABu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161772"/>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62CF3"/>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24E28"/>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B52C47"/>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FFE0F6"/>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2E0E85"/>
    <w:rsid w:val="669B4528"/>
    <w:rsid w:val="66CC12D7"/>
    <w:rsid w:val="67134CEF"/>
    <w:rsid w:val="671F1ABD"/>
    <w:rsid w:val="67521A59"/>
    <w:rsid w:val="67B9A3C6"/>
    <w:rsid w:val="67C304AB"/>
    <w:rsid w:val="683F0658"/>
    <w:rsid w:val="689C6793"/>
    <w:rsid w:val="68DB0208"/>
    <w:rsid w:val="68FB170C"/>
    <w:rsid w:val="691B3D98"/>
    <w:rsid w:val="691F7FCD"/>
    <w:rsid w:val="693748F0"/>
    <w:rsid w:val="69846A0E"/>
    <w:rsid w:val="69AA1366"/>
    <w:rsid w:val="69AD798C"/>
    <w:rsid w:val="69D005C0"/>
    <w:rsid w:val="69D80B96"/>
    <w:rsid w:val="6B68175F"/>
    <w:rsid w:val="6BFD799F"/>
    <w:rsid w:val="6C0B5840"/>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F72719"/>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312FE2"/>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 w:val="BA5FE88F"/>
    <w:rsid w:val="E8F634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10065</Words>
  <Characters>11590</Characters>
  <Lines>0</Lines>
  <Paragraphs>0</Paragraphs>
  <TotalTime>0</TotalTime>
  <ScaleCrop>false</ScaleCrop>
  <LinksUpToDate>false</LinksUpToDate>
  <CharactersWithSpaces>11605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Administrator</cp:lastModifiedBy>
  <dcterms:modified xsi:type="dcterms:W3CDTF">2024-09-11T16:49:25Z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F917E436E9874A45AA99AEE4A57A6293_13</vt:lpwstr>
  </property>
</Properties>
</file>