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新疆维吾尔自治区水利厅会计核算中心</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bCs w:val="0"/>
          <w:color w:val="auto"/>
          <w:kern w:val="0"/>
          <w:sz w:val="36"/>
          <w:szCs w:val="36"/>
          <w:highlight w:val="none"/>
        </w:rPr>
        <w:sectPr>
          <w:pgSz w:w="11906" w:h="16838"/>
          <w:pgMar w:top="1440" w:right="1800" w:bottom="1440" w:left="1800" w:header="851" w:footer="992"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sectPr>
          <w:footerReference r:id="rId3" w:type="default"/>
          <w:pgSz w:w="11906" w:h="16838"/>
          <w:pgMar w:top="1440" w:right="1800" w:bottom="1440" w:left="1800" w:header="851" w:footer="992" w:gutter="0"/>
          <w:pgNumType w:fmt="numberInDash" w:start="1"/>
          <w:cols w:space="720" w:num="1"/>
          <w:docGrid w:type="lines" w:linePitch="312" w:charSpace="0"/>
        </w:sectPr>
      </w:pP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sectPr>
          <w:footerReference r:id="rId4" w:type="default"/>
          <w:pgSz w:w="11906" w:h="16838"/>
          <w:pgMar w:top="1440" w:right="1800" w:bottom="1440" w:left="1800" w:header="851" w:footer="992" w:gutter="0"/>
          <w:pgNumType w:fmt="numberInDash" w:start="1"/>
          <w:cols w:space="720" w:num="1"/>
          <w:docGrid w:type="lines" w:linePitch="312" w:charSpace="0"/>
        </w:sectPr>
      </w:pPr>
      <w:bookmarkStart w:id="0" w:name="_Toc32314"/>
      <w:bookmarkStart w:id="1" w:name="_Toc24028"/>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根据自治区机关编制委员会办公室《关于设立自治区水利厅会计核算中心的批复》（新党编办﹝2015﹞119号）文件，设立“新疆维吾尔自治区水利厅会计核算中心”，负责对集中核算单位财务预算过程进行控制和管理；负责加强资产管理，防止国有资产流失；负责建立健全财务规章制度，完善内部控制；负责规范集中核算单位经济秩序并对经济活动进行全面监控，承担自治区水利厅所属19家公益一类事业单位财务管理以及4家公益二类事业单位</w:t>
      </w:r>
      <w:r>
        <w:rPr>
          <w:rFonts w:hint="eastAsia" w:ascii="仿宋_GB2312" w:eastAsia="仿宋_GB2312"/>
          <w:color w:val="auto"/>
          <w:sz w:val="32"/>
          <w:szCs w:val="32"/>
          <w:highlight w:val="none"/>
          <w:lang w:val="en-US" w:eastAsia="zh-CN"/>
        </w:rPr>
        <w:t>和</w:t>
      </w:r>
      <w:r>
        <w:rPr>
          <w:rFonts w:hint="eastAsia" w:ascii="仿宋_GB2312" w:eastAsia="仿宋_GB2312"/>
          <w:color w:val="auto"/>
          <w:sz w:val="32"/>
          <w:szCs w:val="32"/>
          <w:highlight w:val="none"/>
        </w:rPr>
        <w:t>1家社会团体财务代管等工作。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新疆维吾尔自治区水利厅会计核算中心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bookmarkStart w:id="6" w:name="_Toc29374"/>
      <w:bookmarkStart w:id="7" w:name="_Toc3092"/>
      <w:r>
        <w:rPr>
          <w:rFonts w:hint="eastAsia" w:ascii="仿宋_GB2312" w:eastAsia="仿宋_GB2312"/>
          <w:color w:val="auto"/>
          <w:sz w:val="32"/>
          <w:szCs w:val="32"/>
          <w:highlight w:val="none"/>
          <w:lang w:val="en-US" w:eastAsia="zh-CN"/>
        </w:rPr>
        <w:t>单位无下属预算单位，下设3个科室，分别是：综合科、业务科、财务科。</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477.08万元，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458.21万元，使用非财政拨款结余0.00万元，年初结转和结余18.86万元。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477.08万元，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460.95万元，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0.00万元，年末结转和结余16.13万元。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增加40.05万元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增长9.16%</w:t>
      </w:r>
      <w:r>
        <w:rPr>
          <w:rFonts w:hint="eastAsia" w:ascii="仿宋_GB2312" w:eastAsia="仿宋_GB2312"/>
          <w:color w:val="auto"/>
          <w:spacing w:val="0"/>
          <w:sz w:val="32"/>
          <w:szCs w:val="32"/>
          <w:highlight w:val="none"/>
          <w:lang w:eastAsia="zh-CN"/>
        </w:rPr>
        <w:t>，主要原因是：职工的正常职级晋升和增资导致人员经费增加。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458.21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458.11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本年支出460.95万元，其中：基本支出371.19万元，占80.53%；项目支出89.75万元，占19.47%；上缴上级支出0.00万元，占0.00%；经营支出0.00万元，占0.00%；对附属单位补助支出0.00万元，占0.00%。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476.83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18.72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458.11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476.83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16.06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460.78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增加50.33万元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增长11.80%，</w:t>
      </w:r>
      <w:r>
        <w:rPr>
          <w:rFonts w:hint="eastAsia" w:ascii="仿宋_GB2312" w:eastAsia="仿宋_GB2312"/>
          <w:color w:val="auto"/>
          <w:spacing w:val="0"/>
          <w:sz w:val="32"/>
          <w:szCs w:val="32"/>
          <w:highlight w:val="none"/>
          <w:lang w:eastAsia="zh-CN"/>
        </w:rPr>
        <w:t>主要原因是：职工的正常职级晋升和增资导致人员经费增加。与年初预算相比，年初预算数</w:t>
      </w:r>
      <w:r>
        <w:rPr>
          <w:rFonts w:hint="eastAsia" w:ascii="仿宋_GB2312" w:eastAsia="仿宋_GB2312"/>
          <w:color w:val="auto"/>
          <w:spacing w:val="0"/>
          <w:sz w:val="32"/>
          <w:szCs w:val="32"/>
          <w:highlight w:val="none"/>
          <w:lang w:val="zh-CN" w:eastAsia="zh-CN"/>
        </w:rPr>
        <w:t>407.93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476.83</w:t>
      </w:r>
      <w:r>
        <w:rPr>
          <w:rFonts w:hint="eastAsia" w:ascii="仿宋_GB2312" w:eastAsia="仿宋_GB2312"/>
          <w:color w:val="auto"/>
          <w:spacing w:val="0"/>
          <w:sz w:val="32"/>
          <w:szCs w:val="32"/>
          <w:highlight w:val="none"/>
          <w:lang w:eastAsia="zh-CN"/>
        </w:rPr>
        <w:t>万元，预决算差异率16.89%，主要原因是：（1）财政追加下达2022年年度考核奖15.48万元；（2）财政追加下达2022年提高基础绩效</w:t>
      </w:r>
      <w:r>
        <w:rPr>
          <w:rFonts w:hint="eastAsia" w:ascii="仿宋_GB2312" w:eastAsia="仿宋_GB2312"/>
          <w:color w:val="auto"/>
          <w:spacing w:val="0"/>
          <w:sz w:val="32"/>
          <w:szCs w:val="32"/>
          <w:highlight w:val="none"/>
          <w:lang w:val="en-US" w:eastAsia="zh-CN"/>
        </w:rPr>
        <w:t>奖</w:t>
      </w:r>
      <w:r>
        <w:rPr>
          <w:rFonts w:hint="eastAsia" w:ascii="仿宋_GB2312" w:eastAsia="仿宋_GB2312"/>
          <w:color w:val="auto"/>
          <w:spacing w:val="0"/>
          <w:sz w:val="32"/>
          <w:szCs w:val="32"/>
          <w:highlight w:val="none"/>
          <w:lang w:eastAsia="zh-CN"/>
        </w:rPr>
        <w:t>（退休）、2022-2023年提高基础绩效奖（在职离休）18.97万元；（3）财政追加下达非统发单位追加人员工资11.89万元；（4）2023年民族团结一家亲结对认亲交通费2.04万元。（5）访惠聚工作经费14.95万元。（6）2022-2023年调增艰边贴2.58万元。（7）丧葬费抚恤金8.15万元。以上均为本年追加经费，因此较预决算差异较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2023年度一般公共预算财政拨款支出460.78万元，占本年支出合计的</w:t>
      </w:r>
      <w:r>
        <w:rPr>
          <w:rFonts w:hint="eastAsia" w:ascii="仿宋_GB2312" w:eastAsia="仿宋_GB2312"/>
          <w:color w:val="auto"/>
          <w:spacing w:val="0"/>
          <w:sz w:val="32"/>
          <w:szCs w:val="32"/>
          <w:highlight w:val="none"/>
          <w:lang w:val="zh-CN" w:eastAsia="zh-CN"/>
        </w:rPr>
        <w:t>99.96%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增加50.73万元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增长12.37%，</w:t>
      </w:r>
      <w:r>
        <w:rPr>
          <w:rFonts w:hint="eastAsia" w:ascii="仿宋_GB2312" w:eastAsia="仿宋_GB2312"/>
          <w:color w:val="auto"/>
          <w:spacing w:val="0"/>
          <w:sz w:val="32"/>
          <w:szCs w:val="32"/>
          <w:highlight w:val="none"/>
          <w:lang w:eastAsia="zh-CN"/>
        </w:rPr>
        <w:t>主要原因是：职工的正常职级晋升和增资导致人员经费增加。与年初预算相比，年初预算数</w:t>
      </w:r>
      <w:r>
        <w:rPr>
          <w:rFonts w:hint="eastAsia" w:ascii="仿宋_GB2312" w:eastAsia="仿宋_GB2312"/>
          <w:color w:val="auto"/>
          <w:spacing w:val="0"/>
          <w:sz w:val="32"/>
          <w:szCs w:val="32"/>
          <w:highlight w:val="none"/>
          <w:lang w:val="zh-CN" w:eastAsia="zh-CN"/>
        </w:rPr>
        <w:t>407.93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460.78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12.96%</w:t>
      </w:r>
      <w:r>
        <w:rPr>
          <w:rFonts w:hint="eastAsia" w:ascii="仿宋_GB2312" w:eastAsia="仿宋_GB2312"/>
          <w:color w:val="auto"/>
          <w:spacing w:val="0"/>
          <w:sz w:val="32"/>
          <w:szCs w:val="32"/>
          <w:highlight w:val="none"/>
          <w:lang w:eastAsia="zh-CN"/>
        </w:rPr>
        <w:t>，主要原因是：本年度内新增财政拨款收入人员经费中的基本工资调标经费、基础绩效奖、年度考核奖、访惠聚生活补助、津贴补贴，公用经费中的2023年民族团结一家亲结对认亲交通费、访惠聚第一书记为民办实事经费7.5万元，因此支出较年初预算有所增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54.34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11.79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25.38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360.05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21.01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4.56</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1.农林水支出（类）水利（款）水利行业业务管理（项）:支出决算数为</w:t>
      </w:r>
      <w:r>
        <w:rPr>
          <w:rFonts w:hint="eastAsia" w:ascii="仿宋_GB2312" w:hAnsi="仿宋_GB2312" w:eastAsia="仿宋_GB2312" w:cs="仿宋_GB2312"/>
          <w:color w:val="auto"/>
          <w:kern w:val="2"/>
          <w:sz w:val="32"/>
          <w:szCs w:val="32"/>
          <w:highlight w:val="none"/>
          <w:lang w:val="en-US" w:eastAsia="zh-CN" w:bidi="ar-SA"/>
        </w:rPr>
        <w:t>360.05万元，比上年决算增加41.88万元，增长13.16%，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职工的正常职级晋升和增资导致人员经费增加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w:t>
      </w:r>
      <w:r>
        <w:rPr>
          <w:rFonts w:hint="eastAsia" w:ascii="仿宋_GB2312" w:hAnsi="仿宋_GB2312" w:eastAsia="仿宋_GB2312" w:cs="仿宋_GB2312"/>
          <w:color w:val="auto"/>
          <w:kern w:val="2"/>
          <w:sz w:val="32"/>
          <w:szCs w:val="32"/>
          <w:highlight w:val="none"/>
          <w:lang w:val="en-US" w:eastAsia="zh-CN" w:bidi="ar-SA"/>
        </w:rPr>
        <w:t>13.13万元，比上年决算增加0.47万元，增长3.71%，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职工的正常职级晋升和增资等基本工资调标，人员工资基数增加，事业单位经费医疗增加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w:t>
      </w:r>
      <w:r>
        <w:rPr>
          <w:rFonts w:hint="eastAsia" w:ascii="仿宋_GB2312" w:hAnsi="仿宋_GB2312" w:eastAsia="仿宋_GB2312" w:cs="仿宋_GB2312"/>
          <w:color w:val="auto"/>
          <w:kern w:val="2"/>
          <w:sz w:val="32"/>
          <w:szCs w:val="32"/>
          <w:highlight w:val="none"/>
          <w:lang w:val="en-US" w:eastAsia="zh-CN" w:bidi="ar-SA"/>
        </w:rPr>
        <w:t>12.25万元，比上年决算增加2.40万元，增长24.37%，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职工的正常职级晋升和增资等基本工资调标，人员工资基数增加，事业单位</w:t>
      </w:r>
      <w:r>
        <w:rPr>
          <w:rFonts w:hint="eastAsia" w:eastAsia="仿宋_GB2312" w:cs="Times New Roman"/>
          <w:color w:val="auto"/>
          <w:kern w:val="2"/>
          <w:sz w:val="32"/>
          <w:szCs w:val="32"/>
          <w:highlight w:val="none"/>
          <w:lang w:val="zh-CN" w:eastAsia="zh-CN" w:bidi="ar-SA"/>
        </w:rPr>
        <w:t>公务员</w:t>
      </w:r>
      <w:r>
        <w:rPr>
          <w:rFonts w:hint="eastAsia" w:ascii="Times New Roman" w:hAnsi="Times New Roman" w:eastAsia="仿宋_GB2312" w:cs="Times New Roman"/>
          <w:color w:val="auto"/>
          <w:kern w:val="2"/>
          <w:sz w:val="32"/>
          <w:szCs w:val="32"/>
          <w:highlight w:val="none"/>
          <w:lang w:val="zh-CN" w:eastAsia="zh-CN" w:bidi="ar-SA"/>
        </w:rPr>
        <w:t>医疗</w:t>
      </w:r>
      <w:r>
        <w:rPr>
          <w:rFonts w:hint="eastAsia" w:eastAsia="仿宋_GB2312" w:cs="Times New Roman"/>
          <w:color w:val="auto"/>
          <w:kern w:val="2"/>
          <w:sz w:val="32"/>
          <w:szCs w:val="32"/>
          <w:highlight w:val="none"/>
          <w:lang w:val="zh-CN" w:eastAsia="zh-CN" w:bidi="ar-SA"/>
        </w:rPr>
        <w:t>补助</w:t>
      </w:r>
      <w:r>
        <w:rPr>
          <w:rFonts w:hint="eastAsia" w:ascii="Times New Roman" w:hAnsi="Times New Roman" w:eastAsia="仿宋_GB2312" w:cs="Times New Roman"/>
          <w:color w:val="auto"/>
          <w:kern w:val="2"/>
          <w:sz w:val="32"/>
          <w:szCs w:val="32"/>
          <w:highlight w:val="none"/>
          <w:lang w:val="zh-CN"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w:t>
      </w:r>
      <w:r>
        <w:rPr>
          <w:rFonts w:hint="eastAsia" w:ascii="仿宋_GB2312" w:hAnsi="仿宋_GB2312" w:eastAsia="仿宋_GB2312" w:cs="仿宋_GB2312"/>
          <w:color w:val="auto"/>
          <w:kern w:val="2"/>
          <w:sz w:val="32"/>
          <w:szCs w:val="32"/>
          <w:highlight w:val="none"/>
          <w:lang w:val="en-US" w:eastAsia="zh-CN" w:bidi="ar-SA"/>
        </w:rPr>
        <w:t>21.01万元，比上年决算增加3.44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19.60%</w:t>
      </w:r>
      <w:r>
        <w:rPr>
          <w:rFonts w:hint="eastAsia" w:ascii="Times New Roman" w:hAnsi="Times New Roman" w:eastAsia="仿宋_GB2312" w:cs="Times New Roman"/>
          <w:color w:val="auto"/>
          <w:kern w:val="2"/>
          <w:sz w:val="32"/>
          <w:szCs w:val="32"/>
          <w:highlight w:val="none"/>
          <w:lang w:val="en-US" w:eastAsia="zh-CN" w:bidi="ar-SA"/>
        </w:rPr>
        <w:t>，主要原因是：职工的正常职级晋升和增资等基本工资调标，人员工资基数增加，</w:t>
      </w:r>
      <w:r>
        <w:rPr>
          <w:rFonts w:hint="eastAsia" w:eastAsia="仿宋_GB2312" w:cs="Times New Roman"/>
          <w:color w:val="auto"/>
          <w:kern w:val="2"/>
          <w:sz w:val="32"/>
          <w:szCs w:val="32"/>
          <w:highlight w:val="none"/>
          <w:lang w:val="en-US" w:eastAsia="zh-CN" w:bidi="ar-SA"/>
        </w:rPr>
        <w:t>住房公积金经费</w:t>
      </w:r>
      <w:r>
        <w:rPr>
          <w:rFonts w:hint="eastAsia" w:ascii="Times New Roman" w:hAnsi="Times New Roman" w:eastAsia="仿宋_GB2312" w:cs="Times New Roman"/>
          <w:color w:val="auto"/>
          <w:kern w:val="2"/>
          <w:sz w:val="32"/>
          <w:szCs w:val="32"/>
          <w:highlight w:val="none"/>
          <w:lang w:val="en-US" w:eastAsia="zh-CN" w:bidi="ar-SA"/>
        </w:rPr>
        <w:t>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w:t>
      </w:r>
      <w:r>
        <w:rPr>
          <w:rFonts w:hint="eastAsia" w:ascii="仿宋_GB2312" w:hAnsi="仿宋_GB2312" w:eastAsia="仿宋_GB2312" w:cs="仿宋_GB2312"/>
          <w:color w:val="auto"/>
          <w:kern w:val="2"/>
          <w:sz w:val="32"/>
          <w:szCs w:val="32"/>
          <w:highlight w:val="none"/>
          <w:lang w:val="en-US" w:eastAsia="zh-CN" w:bidi="ar-SA"/>
        </w:rPr>
        <w:t>26.58万元，比上年决算减少2.90万元，下降9.83%，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本年财政收回退休人员医疗保险。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w:t>
      </w:r>
      <w:r>
        <w:rPr>
          <w:rFonts w:hint="eastAsia" w:ascii="仿宋_GB2312" w:hAnsi="仿宋_GB2312" w:eastAsia="仿宋_GB2312" w:cs="仿宋_GB2312"/>
          <w:color w:val="auto"/>
          <w:kern w:val="2"/>
          <w:sz w:val="32"/>
          <w:szCs w:val="32"/>
          <w:highlight w:val="none"/>
          <w:lang w:val="en-US" w:eastAsia="zh-CN" w:bidi="ar-SA"/>
        </w:rPr>
        <w:t>27.76</w:t>
      </w:r>
      <w:r>
        <w:rPr>
          <w:rFonts w:hint="eastAsia" w:ascii="Times New Roman" w:hAnsi="Times New Roman" w:eastAsia="仿宋_GB2312" w:cs="Times New Roman"/>
          <w:color w:val="auto"/>
          <w:kern w:val="2"/>
          <w:sz w:val="32"/>
          <w:szCs w:val="32"/>
          <w:highlight w:val="none"/>
          <w:lang w:val="en-US" w:eastAsia="zh-CN" w:bidi="ar-SA"/>
        </w:rPr>
        <w:t>万元，比上年决算增加</w:t>
      </w:r>
      <w:r>
        <w:rPr>
          <w:rFonts w:hint="eastAsia" w:ascii="仿宋_GB2312" w:hAnsi="仿宋_GB2312" w:eastAsia="仿宋_GB2312" w:cs="仿宋_GB2312"/>
          <w:color w:val="auto"/>
          <w:kern w:val="2"/>
          <w:sz w:val="32"/>
          <w:szCs w:val="32"/>
          <w:highlight w:val="none"/>
          <w:lang w:val="en-US" w:eastAsia="zh-CN" w:bidi="ar-SA"/>
        </w:rPr>
        <w:t>5.43万元，增长24.33%，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职工的正常职级晋升和增资等基本工资调标，人员工资基数增加，</w:t>
      </w:r>
      <w:r>
        <w:rPr>
          <w:rFonts w:hint="eastAsia" w:eastAsia="仿宋_GB2312" w:cs="Times New Roman"/>
          <w:color w:val="auto"/>
          <w:kern w:val="2"/>
          <w:sz w:val="32"/>
          <w:szCs w:val="32"/>
          <w:highlight w:val="none"/>
          <w:lang w:val="zh-CN" w:eastAsia="zh-CN" w:bidi="ar-SA"/>
        </w:rPr>
        <w:t>相应社保缴费</w:t>
      </w:r>
      <w:r>
        <w:rPr>
          <w:rFonts w:hint="eastAsia" w:ascii="Times New Roman" w:hAnsi="Times New Roman" w:eastAsia="仿宋_GB2312" w:cs="Times New Roman"/>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371.07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348.49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工基本医疗保险缴费、公务员医疗补助缴费、其他社会保障缴费、住房公积金、其他工资福利支出、退休费、抚恤金、医疗费补助、其他对个人和家庭的补助。</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22.58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办公费、水费、电费、物业管理费、差旅费、维修（护）费、工会经费、福利费、其他商品和服务支出、办公设备购置。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三公”经费支出。其中：因公出国（境）费支出0.00万元，占0.00%，比上年增加0.00万元，增长0.00%，主要原因是：我单位无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原因是：与公务用车保有量无差异。</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公务接待费0.00万元，开支内容包括我单位无公务接待费支出。单位全年安排的国内公务接待0批次，0人次。</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预算数0.00万元，决算数0.00万元，预决算差异率0.00%，主要原因是：我单位无公务用车运行维护费支出；公务接待费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val="zh-CN" w:eastAsia="zh-CN"/>
        </w:rPr>
      </w:pPr>
      <w:bookmarkStart w:id="24" w:name="_Toc227"/>
      <w:bookmarkStart w:id="25" w:name="_Toc26704"/>
      <w:r>
        <w:rPr>
          <w:rFonts w:hint="eastAsia" w:ascii="仿宋_GB2312" w:eastAsia="仿宋_GB2312"/>
          <w:color w:val="auto"/>
          <w:spacing w:val="0"/>
          <w:sz w:val="32"/>
          <w:szCs w:val="32"/>
          <w:highlight w:val="none"/>
          <w:lang w:val="zh-CN" w:eastAsia="zh-CN"/>
        </w:rPr>
        <w:t>2023年度</w:t>
      </w:r>
      <w:r>
        <w:rPr>
          <w:rFonts w:hint="eastAsia" w:ascii="仿宋_GB2312" w:eastAsia="仿宋_GB2312"/>
          <w:color w:val="auto"/>
          <w:spacing w:val="0"/>
          <w:sz w:val="32"/>
          <w:szCs w:val="32"/>
          <w:highlight w:val="none"/>
          <w:lang w:val="en-US" w:eastAsia="zh-CN"/>
        </w:rPr>
        <w:t>新疆维吾尔自治区水利厅会计核算中心</w:t>
      </w:r>
      <w:r>
        <w:rPr>
          <w:rFonts w:hint="eastAsia" w:ascii="仿宋_GB2312" w:eastAsia="仿宋_GB2312"/>
          <w:color w:val="auto"/>
          <w:spacing w:val="0"/>
          <w:sz w:val="32"/>
          <w:szCs w:val="32"/>
          <w:highlight w:val="none"/>
          <w:lang w:val="zh-CN" w:eastAsia="zh-CN"/>
        </w:rPr>
        <w:t>（事业单位）公用经费支出22.58万元，比上年增加10.65万元，增长89.</w:t>
      </w:r>
      <w:r>
        <w:rPr>
          <w:rFonts w:hint="eastAsia" w:ascii="仿宋_GB2312" w:eastAsia="仿宋_GB2312"/>
          <w:color w:val="auto"/>
          <w:spacing w:val="0"/>
          <w:sz w:val="32"/>
          <w:szCs w:val="32"/>
          <w:highlight w:val="none"/>
          <w:lang w:val="en-US" w:eastAsia="zh-CN"/>
        </w:rPr>
        <w:t>27</w:t>
      </w:r>
      <w:r>
        <w:rPr>
          <w:rFonts w:hint="eastAsia" w:ascii="仿宋_GB2312" w:eastAsia="仿宋_GB2312"/>
          <w:color w:val="auto"/>
          <w:spacing w:val="0"/>
          <w:sz w:val="32"/>
          <w:szCs w:val="32"/>
          <w:highlight w:val="none"/>
          <w:lang w:val="zh-CN" w:eastAsia="zh-CN"/>
        </w:rPr>
        <w:t>%，主要原因是：职工的正常职级晋升和增资导致公用经费相应增加。</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2023年度政府采购支出总额64.72万元，其中：政府采购货物支出4.88万元、政府采购工程支出0.00万元、政府采购服务支出59.84万元。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授予中小企业合同金额62.72万元，占政府采购支出总额的96.91</w:t>
      </w:r>
      <w:r>
        <w:rPr>
          <w:rFonts w:hint="default"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zh-CN" w:eastAsia="zh-CN"/>
        </w:rPr>
        <w:t>，其中：授予小微企业合同金额62.72万元，占政府采购支出总额的96.91</w:t>
      </w:r>
      <w:r>
        <w:rPr>
          <w:rFonts w:hint="default"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截至2023</w:t>
      </w:r>
      <w:r>
        <w:rPr>
          <w:rFonts w:hint="eastAsia" w:ascii="仿宋_GB2312" w:eastAsia="仿宋_GB2312"/>
          <w:color w:val="auto"/>
          <w:spacing w:val="0"/>
          <w:sz w:val="32"/>
          <w:szCs w:val="32"/>
          <w:highlight w:val="none"/>
          <w:lang w:val="zh-CN" w:eastAsia="zh-CN"/>
        </w:rPr>
        <w:t>年</w:t>
      </w:r>
      <w:r>
        <w:rPr>
          <w:rFonts w:hint="eastAsia" w:ascii="仿宋_GB2312" w:eastAsia="仿宋_GB2312"/>
          <w:color w:val="auto"/>
          <w:spacing w:val="0"/>
          <w:sz w:val="32"/>
          <w:szCs w:val="32"/>
          <w:highlight w:val="none"/>
          <w:lang w:val="en-US" w:eastAsia="zh-CN"/>
        </w:rPr>
        <w:t>12月31日</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固定资产原值</w:t>
      </w:r>
      <w:r>
        <w:rPr>
          <w:rFonts w:hint="eastAsia" w:ascii="仿宋_GB2312" w:eastAsia="仿宋_GB2312"/>
          <w:color w:val="auto"/>
          <w:spacing w:val="0"/>
          <w:sz w:val="32"/>
          <w:szCs w:val="32"/>
          <w:highlight w:val="none"/>
          <w:lang w:val="zh-CN" w:eastAsia="zh-CN"/>
        </w:rPr>
        <w:t>180.37</w:t>
      </w:r>
      <w:r>
        <w:rPr>
          <w:rFonts w:hint="eastAsia" w:ascii="仿宋_GB2312" w:eastAsia="仿宋_GB2312"/>
          <w:color w:val="auto"/>
          <w:spacing w:val="0"/>
          <w:sz w:val="32"/>
          <w:szCs w:val="32"/>
          <w:highlight w:val="none"/>
          <w:lang w:val="en-US" w:eastAsia="zh-CN"/>
        </w:rPr>
        <w:t>万元，房</w:t>
      </w:r>
      <w:r>
        <w:rPr>
          <w:rFonts w:hint="eastAsia" w:ascii="仿宋_GB2312" w:eastAsia="仿宋_GB2312"/>
          <w:color w:val="auto"/>
          <w:spacing w:val="0"/>
          <w:sz w:val="32"/>
          <w:szCs w:val="32"/>
          <w:highlight w:val="none"/>
          <w:lang w:val="zh-CN" w:eastAsia="zh-CN"/>
        </w:rPr>
        <w:t>屋1075.36平方米，价值25.62万元。车辆0辆，价值0.00万元，其中：副部（省）级及以上领导用车0辆、主要</w:t>
      </w:r>
      <w:r>
        <w:rPr>
          <w:rFonts w:hint="eastAsia" w:ascii="仿宋_GB2312" w:eastAsia="仿宋_GB2312"/>
          <w:color w:val="auto"/>
          <w:spacing w:val="0"/>
          <w:sz w:val="32"/>
          <w:szCs w:val="32"/>
          <w:highlight w:val="none"/>
          <w:lang w:val="en-US" w:eastAsia="zh-CN"/>
        </w:rPr>
        <w:t>负责人</w:t>
      </w:r>
      <w:r>
        <w:rPr>
          <w:rFonts w:hint="eastAsia" w:ascii="仿宋_GB2312" w:eastAsia="仿宋_GB2312"/>
          <w:color w:val="auto"/>
          <w:spacing w:val="0"/>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pacing w:val="0"/>
          <w:sz w:val="32"/>
          <w:szCs w:val="32"/>
          <w:highlight w:val="none"/>
          <w:lang w:val="en-US" w:eastAsia="zh-CN"/>
        </w:rPr>
        <w:t>服务</w:t>
      </w:r>
      <w:r>
        <w:rPr>
          <w:rFonts w:hint="eastAsia" w:ascii="仿宋_GB2312" w:eastAsia="仿宋_GB2312"/>
          <w:color w:val="auto"/>
          <w:spacing w:val="0"/>
          <w:sz w:val="32"/>
          <w:szCs w:val="32"/>
          <w:highlight w:val="none"/>
          <w:lang w:val="zh-CN" w:eastAsia="zh-CN"/>
        </w:rPr>
        <w:t>用车0辆、其他用车0辆，其他用车主要是：我单位无其他用车；单价100万元（含）以上设备（不含车辆）0</w:t>
      </w:r>
      <w:r>
        <w:rPr>
          <w:rFonts w:hint="eastAsia" w:ascii="仿宋_GB2312" w:eastAsia="仿宋_GB2312"/>
          <w:color w:val="auto"/>
          <w:spacing w:val="0"/>
          <w:sz w:val="32"/>
          <w:szCs w:val="32"/>
          <w:highlight w:val="none"/>
          <w:lang w:val="en-US" w:eastAsia="zh-CN"/>
        </w:rPr>
        <w:t>台（</w:t>
      </w:r>
      <w:r>
        <w:rPr>
          <w:rFonts w:hint="eastAsia" w:ascii="仿宋_GB2312" w:eastAsia="仿宋_GB2312"/>
          <w:color w:val="auto"/>
          <w:spacing w:val="0"/>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全年预算数90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全年执行数89.71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会计核算中心对项目资金实行专款专用，按照项目经费管理办法的有关规定，确保专项资金专款专用。同时，本单位财务部门也对项目的资金管理进行全过程监督，确保资金依照会计制度和内部控制制度有效使用。 一是根据《</w:t>
      </w:r>
      <w:r>
        <w:rPr>
          <w:rFonts w:hint="eastAsia" w:ascii="仿宋_GB2312" w:eastAsia="仿宋_GB2312"/>
          <w:color w:val="auto"/>
          <w:sz w:val="32"/>
          <w:szCs w:val="32"/>
          <w:highlight w:val="none"/>
          <w:lang w:val="en-US" w:eastAsia="zh-CN"/>
        </w:rPr>
        <w:t>中华人民共和国</w:t>
      </w:r>
      <w:r>
        <w:rPr>
          <w:rFonts w:hint="eastAsia" w:ascii="仿宋_GB2312" w:eastAsia="仿宋_GB2312"/>
          <w:color w:val="auto"/>
          <w:sz w:val="32"/>
          <w:szCs w:val="32"/>
          <w:highlight w:val="none"/>
          <w:lang w:eastAsia="zh-CN"/>
        </w:rPr>
        <w:t>会计法》《</w:t>
      </w:r>
      <w:r>
        <w:rPr>
          <w:rFonts w:hint="eastAsia" w:ascii="仿宋_GB2312" w:eastAsia="仿宋_GB2312"/>
          <w:color w:val="auto"/>
          <w:sz w:val="32"/>
          <w:szCs w:val="32"/>
          <w:highlight w:val="none"/>
          <w:lang w:val="en-US" w:eastAsia="zh-CN"/>
        </w:rPr>
        <w:t>中华人民共和国</w:t>
      </w:r>
      <w:r>
        <w:rPr>
          <w:rFonts w:hint="eastAsia" w:ascii="仿宋_GB2312" w:eastAsia="仿宋_GB2312"/>
          <w:color w:val="auto"/>
          <w:sz w:val="32"/>
          <w:szCs w:val="32"/>
          <w:highlight w:val="none"/>
          <w:lang w:eastAsia="zh-CN"/>
        </w:rPr>
        <w:t>预算法》和有关财政法规制度，依法进行会计监督，保证会计核算的真实性、合法性和规范性，规范完成23家单位2023年度会计核算工作。二是为了规范各类会计业务工作，中心制订了《内部控制工作手册》，以严格细致的会计操作规范程序，明确划分会计人员职责，用制度管人管事，坚决杜绝工作中存在的漏洞，防范资金运行中的风险，确保国家资产的安全。三是为更好提供会计服务，2023年完善了各项资金报账制度，严格按财经纪律办事</w:t>
      </w:r>
      <w:r>
        <w:rPr>
          <w:rFonts w:hint="eastAsia" w:ascii="仿宋_GB2312" w:eastAsia="仿宋_GB2312"/>
          <w:color w:val="auto"/>
          <w:sz w:val="32"/>
          <w:szCs w:val="32"/>
          <w:highlight w:val="none"/>
          <w:lang w:val="en-US" w:eastAsia="zh-CN"/>
        </w:rPr>
        <w:t>并</w:t>
      </w:r>
      <w:r>
        <w:rPr>
          <w:rFonts w:hint="eastAsia" w:ascii="仿宋_GB2312" w:eastAsia="仿宋_GB2312"/>
          <w:color w:val="auto"/>
          <w:sz w:val="32"/>
          <w:szCs w:val="32"/>
          <w:highlight w:val="none"/>
          <w:lang w:eastAsia="zh-CN"/>
        </w:rPr>
        <w:t>实施会计核算，确保会计信息真实、完整、合法、合规。发现的问题及原因：一是发挥党建引领</w:t>
      </w:r>
      <w:r>
        <w:rPr>
          <w:rFonts w:hint="eastAsia" w:ascii="仿宋_GB2312" w:eastAsia="仿宋_GB2312"/>
          <w:color w:val="auto"/>
          <w:sz w:val="32"/>
          <w:szCs w:val="32"/>
          <w:highlight w:val="none"/>
          <w:lang w:val="en-US" w:eastAsia="zh-CN"/>
        </w:rPr>
        <w:t>作用</w:t>
      </w:r>
      <w:r>
        <w:rPr>
          <w:rFonts w:hint="eastAsia" w:ascii="仿宋_GB2312" w:eastAsia="仿宋_GB2312"/>
          <w:color w:val="auto"/>
          <w:sz w:val="32"/>
          <w:szCs w:val="32"/>
          <w:highlight w:val="none"/>
          <w:lang w:eastAsia="zh-CN"/>
        </w:rPr>
        <w:t>和业务工作深度融合上还不够紧密，对核算单位业务了解和服务能力还需进一步提升；二是各核算单位内控制度在单位层面和业务层面还有一些不够规范的地方，在审批流程、落实“四个不直接分管”规定上还存在一些问题和新情况，有待进一步评估后加以完善。三是在对核算单位预算执行进度的推进和指导措施上还应进一步加强，中心建设的水利厅预算绩效项目库管理信息系统的项目绩效、执行进度预警预报功能有待于进一步提升。四是在项目实施中，绩效指标的设立存在不完善的地方，指标评价收集资料稍有滞后，今后加强管理，完善资料收集途径，提高项目实施效率。下一步改进措施：一是加强有关绩效管理工作方面的培训。积极组织第三方开展绩效管理工作培训，进一步夯实业务基础，提高我单位绩效人员管理水平；二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三是进一步完善项目评价过程中有关数据和资料的收集、整理、审核及分析。项目启动时同步做好档案的归纳与整理，及时整理、收集、汇总，健全档案资料，项目后续管理有待进一步加强和跟踪。四是评价工作应从项目实施方案源头抓起，评价工作和</w:t>
      </w:r>
      <w:r>
        <w:rPr>
          <w:rFonts w:hint="eastAsia" w:ascii="仿宋_GB2312" w:eastAsia="仿宋_GB2312"/>
          <w:color w:val="auto"/>
          <w:sz w:val="32"/>
          <w:szCs w:val="32"/>
          <w:highlight w:val="none"/>
          <w:lang w:val="en-US" w:eastAsia="zh-CN"/>
        </w:rPr>
        <w:t>评价</w:t>
      </w:r>
      <w:r>
        <w:rPr>
          <w:rFonts w:hint="eastAsia" w:ascii="仿宋_GB2312" w:eastAsia="仿宋_GB2312"/>
          <w:color w:val="auto"/>
          <w:sz w:val="32"/>
          <w:szCs w:val="32"/>
          <w:highlight w:val="none"/>
          <w:lang w:eastAsia="zh-CN"/>
        </w:rPr>
        <w:t>意识应贯穿项目</w:t>
      </w:r>
      <w:r>
        <w:rPr>
          <w:rFonts w:hint="eastAsia" w:ascii="仿宋_GB2312" w:eastAsia="仿宋_GB2312"/>
          <w:color w:val="auto"/>
          <w:sz w:val="32"/>
          <w:szCs w:val="32"/>
          <w:highlight w:val="none"/>
          <w:lang w:val="en-US" w:eastAsia="zh-CN"/>
        </w:rPr>
        <w:t>实施</w:t>
      </w:r>
      <w:r>
        <w:rPr>
          <w:rFonts w:hint="eastAsia" w:ascii="仿宋_GB2312" w:eastAsia="仿宋_GB2312"/>
          <w:color w:val="auto"/>
          <w:sz w:val="32"/>
          <w:szCs w:val="32"/>
          <w:highlight w:val="none"/>
          <w:lang w:eastAsia="zh-CN"/>
        </w:rPr>
        <w:t>整个过程。具体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宋体" w:hAnsi="宋体" w:eastAsia="宋体" w:cs="宋体"/>
        <w:sz w:val="28"/>
        <w:szCs w:val="2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tjwut4BAAC+AwAADgAAAGRycy9lMm9Eb2MueG1srVPNjtMwEL4j8Q6W&#10;7zTZaoW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2PC63gEAAL4DAAAOAAAAAAAA&#10;AAEAIAAAAB4BAABkcnMvZTJvRG9jLnhtbFBLBQYAAAAABgAGAFkBAABu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kOTgwZTA2NzczYmY4NGI4ODI1YmU2NmE5OTcyZDMifQ=="/>
    <w:docVar w:name="KSO_WPS_MARK_KEY" w:val="41ee2a61-2d54-4f93-83be-afdb9a40d732"/>
  </w:docVars>
  <w:rsids>
    <w:rsidRoot w:val="00000000"/>
    <w:rsid w:val="00213C59"/>
    <w:rsid w:val="003210CE"/>
    <w:rsid w:val="00B70D59"/>
    <w:rsid w:val="00CD3DE4"/>
    <w:rsid w:val="00F52A8D"/>
    <w:rsid w:val="019404F8"/>
    <w:rsid w:val="026F3D5B"/>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E66479"/>
    <w:rsid w:val="09114954"/>
    <w:rsid w:val="095A5B83"/>
    <w:rsid w:val="096466E3"/>
    <w:rsid w:val="0968304D"/>
    <w:rsid w:val="09AF3D17"/>
    <w:rsid w:val="0A7809B7"/>
    <w:rsid w:val="0A7B4867"/>
    <w:rsid w:val="0A840954"/>
    <w:rsid w:val="0A9928ED"/>
    <w:rsid w:val="0B451037"/>
    <w:rsid w:val="0B61769D"/>
    <w:rsid w:val="0B8C3ECC"/>
    <w:rsid w:val="0B9C639D"/>
    <w:rsid w:val="0BB052B2"/>
    <w:rsid w:val="0BD33FFC"/>
    <w:rsid w:val="0BE97AC1"/>
    <w:rsid w:val="0C1C4780"/>
    <w:rsid w:val="0C3613A3"/>
    <w:rsid w:val="0C5E519C"/>
    <w:rsid w:val="0C7156BE"/>
    <w:rsid w:val="0C7227A7"/>
    <w:rsid w:val="0CA52EE8"/>
    <w:rsid w:val="0CBD6988"/>
    <w:rsid w:val="0CD208AC"/>
    <w:rsid w:val="0D4903E8"/>
    <w:rsid w:val="0D7A4A46"/>
    <w:rsid w:val="0E640559"/>
    <w:rsid w:val="0F1113DA"/>
    <w:rsid w:val="0F78534A"/>
    <w:rsid w:val="0F89358A"/>
    <w:rsid w:val="0F8C6D51"/>
    <w:rsid w:val="105B0B5E"/>
    <w:rsid w:val="112E58D0"/>
    <w:rsid w:val="11423ACC"/>
    <w:rsid w:val="11731CAC"/>
    <w:rsid w:val="119500A0"/>
    <w:rsid w:val="11A45BDB"/>
    <w:rsid w:val="11C0733B"/>
    <w:rsid w:val="11D50D17"/>
    <w:rsid w:val="120E0809"/>
    <w:rsid w:val="127F665A"/>
    <w:rsid w:val="12F7068C"/>
    <w:rsid w:val="14207DC0"/>
    <w:rsid w:val="14265237"/>
    <w:rsid w:val="145B73FE"/>
    <w:rsid w:val="14B932DA"/>
    <w:rsid w:val="150A66AF"/>
    <w:rsid w:val="154C1139"/>
    <w:rsid w:val="158C5B77"/>
    <w:rsid w:val="160D1149"/>
    <w:rsid w:val="163563C0"/>
    <w:rsid w:val="164315EF"/>
    <w:rsid w:val="16557DFE"/>
    <w:rsid w:val="167268FB"/>
    <w:rsid w:val="16D50C50"/>
    <w:rsid w:val="16E120E1"/>
    <w:rsid w:val="16E77547"/>
    <w:rsid w:val="17385A05"/>
    <w:rsid w:val="173B3901"/>
    <w:rsid w:val="176747F9"/>
    <w:rsid w:val="17954A6E"/>
    <w:rsid w:val="180059E9"/>
    <w:rsid w:val="184510FD"/>
    <w:rsid w:val="190648B0"/>
    <w:rsid w:val="19071D6C"/>
    <w:rsid w:val="19361576"/>
    <w:rsid w:val="195A714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C36E8D"/>
    <w:rsid w:val="1FED69B6"/>
    <w:rsid w:val="2064678E"/>
    <w:rsid w:val="20815E13"/>
    <w:rsid w:val="20DC1AB9"/>
    <w:rsid w:val="20DD6197"/>
    <w:rsid w:val="212631E0"/>
    <w:rsid w:val="21473E60"/>
    <w:rsid w:val="21933183"/>
    <w:rsid w:val="21A53757"/>
    <w:rsid w:val="21DA1AFF"/>
    <w:rsid w:val="221236C6"/>
    <w:rsid w:val="22D7662C"/>
    <w:rsid w:val="23326B7F"/>
    <w:rsid w:val="2380045B"/>
    <w:rsid w:val="23BC04D2"/>
    <w:rsid w:val="23E47787"/>
    <w:rsid w:val="23EF1892"/>
    <w:rsid w:val="2483647E"/>
    <w:rsid w:val="24A32D55"/>
    <w:rsid w:val="25292727"/>
    <w:rsid w:val="252E5CA9"/>
    <w:rsid w:val="256F7692"/>
    <w:rsid w:val="25BA2154"/>
    <w:rsid w:val="25C8773F"/>
    <w:rsid w:val="260521ED"/>
    <w:rsid w:val="264A7253"/>
    <w:rsid w:val="26F0170C"/>
    <w:rsid w:val="27200F3B"/>
    <w:rsid w:val="27201D62"/>
    <w:rsid w:val="27286E73"/>
    <w:rsid w:val="27847388"/>
    <w:rsid w:val="27BA1D0B"/>
    <w:rsid w:val="27BF59D5"/>
    <w:rsid w:val="27CF2642"/>
    <w:rsid w:val="27E777F5"/>
    <w:rsid w:val="27EA1D4C"/>
    <w:rsid w:val="27EA2E41"/>
    <w:rsid w:val="282459E2"/>
    <w:rsid w:val="283A7FE5"/>
    <w:rsid w:val="285F51FF"/>
    <w:rsid w:val="28DF2665"/>
    <w:rsid w:val="29072599"/>
    <w:rsid w:val="291029F3"/>
    <w:rsid w:val="29CB58F0"/>
    <w:rsid w:val="29CF19A6"/>
    <w:rsid w:val="2A053397"/>
    <w:rsid w:val="2A145E96"/>
    <w:rsid w:val="2AF5378F"/>
    <w:rsid w:val="2BB94DBF"/>
    <w:rsid w:val="2C2A3767"/>
    <w:rsid w:val="2C6F314E"/>
    <w:rsid w:val="2CC206BE"/>
    <w:rsid w:val="2D1136DF"/>
    <w:rsid w:val="2D20606D"/>
    <w:rsid w:val="2DB87198"/>
    <w:rsid w:val="2DB93C54"/>
    <w:rsid w:val="2E091F6A"/>
    <w:rsid w:val="2E3D144C"/>
    <w:rsid w:val="2E891204"/>
    <w:rsid w:val="2F3F0A28"/>
    <w:rsid w:val="2FBF7029"/>
    <w:rsid w:val="2FD0187F"/>
    <w:rsid w:val="2FD27414"/>
    <w:rsid w:val="2FFE4BB0"/>
    <w:rsid w:val="300E7B60"/>
    <w:rsid w:val="300F6E18"/>
    <w:rsid w:val="30862F5F"/>
    <w:rsid w:val="314029C9"/>
    <w:rsid w:val="315B2E71"/>
    <w:rsid w:val="31C63837"/>
    <w:rsid w:val="31C82E39"/>
    <w:rsid w:val="32601BAD"/>
    <w:rsid w:val="329F6389"/>
    <w:rsid w:val="333E4807"/>
    <w:rsid w:val="3389023A"/>
    <w:rsid w:val="33CB74FA"/>
    <w:rsid w:val="343642F2"/>
    <w:rsid w:val="343F3010"/>
    <w:rsid w:val="345D0A00"/>
    <w:rsid w:val="34713BFD"/>
    <w:rsid w:val="34C13589"/>
    <w:rsid w:val="353369E3"/>
    <w:rsid w:val="35B42802"/>
    <w:rsid w:val="35D77FC6"/>
    <w:rsid w:val="35E00D72"/>
    <w:rsid w:val="36965B9D"/>
    <w:rsid w:val="36C549FD"/>
    <w:rsid w:val="374F7D6F"/>
    <w:rsid w:val="376C5667"/>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6D0C0E"/>
    <w:rsid w:val="3DCC2473"/>
    <w:rsid w:val="3DEB0883"/>
    <w:rsid w:val="3E2527BF"/>
    <w:rsid w:val="3E731662"/>
    <w:rsid w:val="3E8168DD"/>
    <w:rsid w:val="3EA7725F"/>
    <w:rsid w:val="3EB03713"/>
    <w:rsid w:val="3EBF1A11"/>
    <w:rsid w:val="3EC52607"/>
    <w:rsid w:val="3EEC6CEF"/>
    <w:rsid w:val="3F183429"/>
    <w:rsid w:val="3F2444B4"/>
    <w:rsid w:val="3FB77A1D"/>
    <w:rsid w:val="3FDC3674"/>
    <w:rsid w:val="3FED7F8A"/>
    <w:rsid w:val="40094AEF"/>
    <w:rsid w:val="405470BD"/>
    <w:rsid w:val="40794A29"/>
    <w:rsid w:val="40834692"/>
    <w:rsid w:val="40D03A90"/>
    <w:rsid w:val="41431AD5"/>
    <w:rsid w:val="414B3C0F"/>
    <w:rsid w:val="417C1CE7"/>
    <w:rsid w:val="41900018"/>
    <w:rsid w:val="41944406"/>
    <w:rsid w:val="41CE128F"/>
    <w:rsid w:val="41DA6F12"/>
    <w:rsid w:val="42171FB1"/>
    <w:rsid w:val="434E6957"/>
    <w:rsid w:val="4366220F"/>
    <w:rsid w:val="43B373CD"/>
    <w:rsid w:val="43BA0E31"/>
    <w:rsid w:val="43C15147"/>
    <w:rsid w:val="43E14DD2"/>
    <w:rsid w:val="43F800E9"/>
    <w:rsid w:val="443A7E4B"/>
    <w:rsid w:val="452F5B3A"/>
    <w:rsid w:val="454E7FD2"/>
    <w:rsid w:val="45737E3D"/>
    <w:rsid w:val="46061BDC"/>
    <w:rsid w:val="461404F8"/>
    <w:rsid w:val="46413018"/>
    <w:rsid w:val="464B7E04"/>
    <w:rsid w:val="468041AA"/>
    <w:rsid w:val="468123C6"/>
    <w:rsid w:val="46901EEE"/>
    <w:rsid w:val="469C74D2"/>
    <w:rsid w:val="47445515"/>
    <w:rsid w:val="474B4782"/>
    <w:rsid w:val="47D90D14"/>
    <w:rsid w:val="48387FB0"/>
    <w:rsid w:val="483A6114"/>
    <w:rsid w:val="483D4D54"/>
    <w:rsid w:val="488727DB"/>
    <w:rsid w:val="48B82268"/>
    <w:rsid w:val="48C354B3"/>
    <w:rsid w:val="48CD12BD"/>
    <w:rsid w:val="48DC468C"/>
    <w:rsid w:val="493D58B5"/>
    <w:rsid w:val="494A7A04"/>
    <w:rsid w:val="4A0A26D2"/>
    <w:rsid w:val="4A2019A5"/>
    <w:rsid w:val="4A241A0B"/>
    <w:rsid w:val="4A7B2875"/>
    <w:rsid w:val="4A934476"/>
    <w:rsid w:val="4AAA220A"/>
    <w:rsid w:val="4AE12E67"/>
    <w:rsid w:val="4B0668AA"/>
    <w:rsid w:val="4B4C0111"/>
    <w:rsid w:val="4B8553A9"/>
    <w:rsid w:val="4BDB3730"/>
    <w:rsid w:val="4C200F7A"/>
    <w:rsid w:val="4CEE3180"/>
    <w:rsid w:val="4D0F4AF6"/>
    <w:rsid w:val="4D121E18"/>
    <w:rsid w:val="4D3E4504"/>
    <w:rsid w:val="4DF94F37"/>
    <w:rsid w:val="4E0A1DD5"/>
    <w:rsid w:val="4E3160E5"/>
    <w:rsid w:val="4E3427F8"/>
    <w:rsid w:val="4E4D37AF"/>
    <w:rsid w:val="4E697B46"/>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CF3ACF"/>
    <w:rsid w:val="53D03877"/>
    <w:rsid w:val="542F73CA"/>
    <w:rsid w:val="5430786D"/>
    <w:rsid w:val="54C811C0"/>
    <w:rsid w:val="556A442D"/>
    <w:rsid w:val="558910A6"/>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010894"/>
    <w:rsid w:val="5A60780B"/>
    <w:rsid w:val="5A727EF2"/>
    <w:rsid w:val="5AB34579"/>
    <w:rsid w:val="5AFC6609"/>
    <w:rsid w:val="5B113480"/>
    <w:rsid w:val="5B693C46"/>
    <w:rsid w:val="5BD456CE"/>
    <w:rsid w:val="5C0D1F49"/>
    <w:rsid w:val="5CBB0CE2"/>
    <w:rsid w:val="5CC17177"/>
    <w:rsid w:val="5CF306BC"/>
    <w:rsid w:val="5D3F3D64"/>
    <w:rsid w:val="5D6B3790"/>
    <w:rsid w:val="5D833043"/>
    <w:rsid w:val="5DD92690"/>
    <w:rsid w:val="5DDB1CFD"/>
    <w:rsid w:val="5E7E6D93"/>
    <w:rsid w:val="5E9E5644"/>
    <w:rsid w:val="5ED44800"/>
    <w:rsid w:val="5EF11E3C"/>
    <w:rsid w:val="5F282D5C"/>
    <w:rsid w:val="5F350BDE"/>
    <w:rsid w:val="5F351B48"/>
    <w:rsid w:val="5F3F7A03"/>
    <w:rsid w:val="5F61632C"/>
    <w:rsid w:val="5FA17648"/>
    <w:rsid w:val="5FE705CB"/>
    <w:rsid w:val="60303500"/>
    <w:rsid w:val="603D5080"/>
    <w:rsid w:val="60D0261B"/>
    <w:rsid w:val="618E3791"/>
    <w:rsid w:val="61947DCA"/>
    <w:rsid w:val="61A46A97"/>
    <w:rsid w:val="61D1382F"/>
    <w:rsid w:val="61F114A2"/>
    <w:rsid w:val="62512BB4"/>
    <w:rsid w:val="625D7D1A"/>
    <w:rsid w:val="62DD7D21"/>
    <w:rsid w:val="637D586B"/>
    <w:rsid w:val="63A5560B"/>
    <w:rsid w:val="63E9091F"/>
    <w:rsid w:val="64057667"/>
    <w:rsid w:val="64322AF9"/>
    <w:rsid w:val="64D6010D"/>
    <w:rsid w:val="64D82665"/>
    <w:rsid w:val="64E47C96"/>
    <w:rsid w:val="651E5741"/>
    <w:rsid w:val="655A6274"/>
    <w:rsid w:val="658A4877"/>
    <w:rsid w:val="65A00902"/>
    <w:rsid w:val="65AC6EDD"/>
    <w:rsid w:val="65D97752"/>
    <w:rsid w:val="66085536"/>
    <w:rsid w:val="66105BF7"/>
    <w:rsid w:val="66150023"/>
    <w:rsid w:val="6628010D"/>
    <w:rsid w:val="669B4528"/>
    <w:rsid w:val="66CC12D7"/>
    <w:rsid w:val="67134CEF"/>
    <w:rsid w:val="671F1ABD"/>
    <w:rsid w:val="67521A59"/>
    <w:rsid w:val="67C304AB"/>
    <w:rsid w:val="67F55412"/>
    <w:rsid w:val="683F0658"/>
    <w:rsid w:val="689C6793"/>
    <w:rsid w:val="68DB0208"/>
    <w:rsid w:val="68FB170C"/>
    <w:rsid w:val="691B3D98"/>
    <w:rsid w:val="693748F0"/>
    <w:rsid w:val="69765AF8"/>
    <w:rsid w:val="69846A0E"/>
    <w:rsid w:val="69AD798C"/>
    <w:rsid w:val="69D005C0"/>
    <w:rsid w:val="69D80B96"/>
    <w:rsid w:val="6AD52547"/>
    <w:rsid w:val="6AFE7680"/>
    <w:rsid w:val="6B68175F"/>
    <w:rsid w:val="6BFD799F"/>
    <w:rsid w:val="6C4A2E5A"/>
    <w:rsid w:val="6C4B4518"/>
    <w:rsid w:val="6C8138D0"/>
    <w:rsid w:val="6CEF0725"/>
    <w:rsid w:val="6D4B2604"/>
    <w:rsid w:val="6D8030E4"/>
    <w:rsid w:val="6E0E35C4"/>
    <w:rsid w:val="6E0F7A08"/>
    <w:rsid w:val="6E3947F5"/>
    <w:rsid w:val="6E555BB6"/>
    <w:rsid w:val="6E9C74ED"/>
    <w:rsid w:val="6EF72976"/>
    <w:rsid w:val="6F795A80"/>
    <w:rsid w:val="6F7C1D2E"/>
    <w:rsid w:val="6F8E0407"/>
    <w:rsid w:val="6FDD069F"/>
    <w:rsid w:val="702B4D16"/>
    <w:rsid w:val="706F5754"/>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77349"/>
    <w:rsid w:val="73FB6630"/>
    <w:rsid w:val="748D790E"/>
    <w:rsid w:val="749820CC"/>
    <w:rsid w:val="74CE04EC"/>
    <w:rsid w:val="74E76DCD"/>
    <w:rsid w:val="751D7C0A"/>
    <w:rsid w:val="753A44D3"/>
    <w:rsid w:val="75722D56"/>
    <w:rsid w:val="75DB5477"/>
    <w:rsid w:val="75FC5B86"/>
    <w:rsid w:val="75FC6AC3"/>
    <w:rsid w:val="7616619B"/>
    <w:rsid w:val="76660D7C"/>
    <w:rsid w:val="766C5968"/>
    <w:rsid w:val="76BE0C8F"/>
    <w:rsid w:val="76CD53B2"/>
    <w:rsid w:val="770719AC"/>
    <w:rsid w:val="772D61EB"/>
    <w:rsid w:val="776526CC"/>
    <w:rsid w:val="77A262E1"/>
    <w:rsid w:val="77AA4396"/>
    <w:rsid w:val="77B13C33"/>
    <w:rsid w:val="77ED6F44"/>
    <w:rsid w:val="77F45548"/>
    <w:rsid w:val="784E7CA6"/>
    <w:rsid w:val="78574801"/>
    <w:rsid w:val="7873527F"/>
    <w:rsid w:val="78D6637C"/>
    <w:rsid w:val="790A6425"/>
    <w:rsid w:val="790E2D96"/>
    <w:rsid w:val="791B54B2"/>
    <w:rsid w:val="795A0A34"/>
    <w:rsid w:val="797339C3"/>
    <w:rsid w:val="79D57D57"/>
    <w:rsid w:val="79E45E91"/>
    <w:rsid w:val="79F00650"/>
    <w:rsid w:val="7A6242BF"/>
    <w:rsid w:val="7A794513"/>
    <w:rsid w:val="7AE952D2"/>
    <w:rsid w:val="7B1665F0"/>
    <w:rsid w:val="7B636811"/>
    <w:rsid w:val="7BC649D2"/>
    <w:rsid w:val="7BF101A1"/>
    <w:rsid w:val="7C037E01"/>
    <w:rsid w:val="7C976D69"/>
    <w:rsid w:val="7CD752DA"/>
    <w:rsid w:val="7CDE40AB"/>
    <w:rsid w:val="7CF057E2"/>
    <w:rsid w:val="7D1548B5"/>
    <w:rsid w:val="7DF84014"/>
    <w:rsid w:val="7E207949"/>
    <w:rsid w:val="7E5C0A47"/>
    <w:rsid w:val="7E670C75"/>
    <w:rsid w:val="7E711C41"/>
    <w:rsid w:val="7E8A1662"/>
    <w:rsid w:val="7EDA28F9"/>
    <w:rsid w:val="7EE24272"/>
    <w:rsid w:val="7EE276D0"/>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6088</Words>
  <Characters>6743</Characters>
  <Lines>0</Lines>
  <Paragraphs>0</Paragraphs>
  <TotalTime>38</TotalTime>
  <ScaleCrop>false</ScaleCrop>
  <LinksUpToDate>false</LinksUpToDate>
  <CharactersWithSpaces>6755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席雄</cp:lastModifiedBy>
  <dcterms:modified xsi:type="dcterms:W3CDTF">2024-09-02T04:06:44Z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27A9E205FD3B4BDAB7CD4A48EAC56337</vt:lpwstr>
  </property>
</Properties>
</file>