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adjustRightInd/>
        <w:spacing w:line="560" w:lineRule="exact"/>
        <w:textAlignment w:val="auto"/>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方正小标宋_GBK" w:hAnsi="宋体" w:eastAsia="方正小标宋_GBK"/>
          <w:sz w:val="44"/>
          <w:szCs w:val="4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方正小标宋_GBK" w:hAnsi="宋体" w:eastAsia="方正小标宋_GBK"/>
          <w:sz w:val="44"/>
          <w:szCs w:val="44"/>
        </w:rPr>
      </w:pPr>
      <w:r>
        <w:rPr>
          <w:rFonts w:hint="eastAsia" w:ascii="方正小标宋_GBK" w:hAnsi="宋体" w:eastAsia="方正小标宋_GBK"/>
          <w:sz w:val="44"/>
          <w:szCs w:val="44"/>
        </w:rPr>
        <w:t>新疆维吾尔自治区水利厅乌拉泊水库绿化工程管理站</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方正小标宋_GBK" w:hAnsi="宋体" w:eastAsia="方正小标宋_GBK"/>
          <w:sz w:val="44"/>
          <w:szCs w:val="44"/>
        </w:rPr>
      </w:pPr>
      <w:r>
        <w:rPr>
          <w:rFonts w:hint="eastAsia" w:ascii="方正小标宋_GBK" w:hAnsi="宋体" w:eastAsia="方正小标宋_GBK"/>
          <w:sz w:val="44"/>
          <w:szCs w:val="44"/>
        </w:rPr>
        <w:t>公开说明</w:t>
      </w:r>
    </w:p>
    <w:p>
      <w:pPr>
        <w:keepNext w:val="0"/>
        <w:keepLines w:val="0"/>
        <w:pageBreakBefore w:val="0"/>
        <w:kinsoku/>
        <w:wordWrap/>
        <w:overflowPunct/>
        <w:topLinePunct w:val="0"/>
        <w:bidi w:val="0"/>
        <w:adjustRightInd/>
        <w:spacing w:line="560" w:lineRule="exact"/>
        <w:textAlignment w:val="auto"/>
        <w:rPr>
          <w:rFonts w:ascii="方正小标宋_GBK" w:hAnsi="宋体" w:eastAsia="方正小标宋_GBK"/>
          <w:sz w:val="44"/>
          <w:szCs w:val="44"/>
        </w:rPr>
      </w:pPr>
      <w:r>
        <w:rPr>
          <w:rFonts w:hint="eastAsia" w:ascii="方正小标宋_GBK" w:hAnsi="宋体" w:eastAsia="方正小标宋_GBK"/>
          <w:sz w:val="44"/>
          <w:szCs w:val="44"/>
        </w:rPr>
        <w:br w:type="page"/>
      </w:r>
    </w:p>
    <w:p>
      <w:pPr>
        <w:keepNext w:val="0"/>
        <w:keepLines w:val="0"/>
        <w:pageBreakBefore w:val="0"/>
        <w:kinsoku/>
        <w:wordWrap/>
        <w:overflowPunct/>
        <w:topLinePunct w:val="0"/>
        <w:bidi w:val="0"/>
        <w:adjustRightInd/>
        <w:spacing w:line="560" w:lineRule="exact"/>
        <w:jc w:val="center"/>
        <w:textAlignment w:val="auto"/>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8"/>
        <w:keepNext w:val="0"/>
        <w:keepLines w:val="0"/>
        <w:pageBreakBefore w:val="0"/>
        <w:tabs>
          <w:tab w:val="right" w:pos="8306"/>
        </w:tabs>
        <w:kinsoku/>
        <w:wordWrap/>
        <w:overflowPunct/>
        <w:topLinePunct w:val="0"/>
        <w:bidi w:val="0"/>
        <w:adjustRightInd/>
        <w:spacing w:line="560" w:lineRule="exact"/>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8"/>
        <w:keepNext w:val="0"/>
        <w:keepLines w:val="0"/>
        <w:pageBreakBefore w:val="0"/>
        <w:tabs>
          <w:tab w:val="right" w:pos="8306"/>
        </w:tabs>
        <w:kinsoku/>
        <w:wordWrap/>
        <w:overflowPunct/>
        <w:topLinePunct w:val="0"/>
        <w:bidi w:val="0"/>
        <w:adjustRightInd/>
        <w:spacing w:line="560" w:lineRule="exact"/>
        <w:textAlignment w:val="auto"/>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pPr>
        <w:keepNext w:val="0"/>
        <w:keepLines w:val="0"/>
        <w:pageBreakBefore w:val="0"/>
        <w:kinsoku/>
        <w:wordWrap/>
        <w:overflowPunct/>
        <w:topLinePunct w:val="0"/>
        <w:bidi w:val="0"/>
        <w:adjustRightInd/>
        <w:spacing w:line="560" w:lineRule="exact"/>
        <w:textAlignment w:val="auto"/>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5"/>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5"/>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5"/>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8"/>
        <w:keepNext w:val="0"/>
        <w:keepLines w:val="0"/>
        <w:pageBreakBefore w:val="0"/>
        <w:tabs>
          <w:tab w:val="right" w:pos="8306"/>
        </w:tabs>
        <w:kinsoku/>
        <w:wordWrap/>
        <w:overflowPunct/>
        <w:topLinePunct w:val="0"/>
        <w:bidi w:val="0"/>
        <w:adjustRightInd/>
        <w:spacing w:line="560" w:lineRule="exact"/>
        <w:textAlignment w:val="auto"/>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8"/>
        <w:keepNext w:val="0"/>
        <w:keepLines w:val="0"/>
        <w:pageBreakBefore w:val="0"/>
        <w:tabs>
          <w:tab w:val="right" w:pos="8306"/>
        </w:tabs>
        <w:kinsoku/>
        <w:wordWrap/>
        <w:overflowPunct/>
        <w:topLinePunct w:val="0"/>
        <w:bidi w:val="0"/>
        <w:adjustRightInd/>
        <w:spacing w:line="560" w:lineRule="exact"/>
        <w:textAlignment w:val="auto"/>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9"/>
        <w:keepNext w:val="0"/>
        <w:keepLines w:val="0"/>
        <w:pageBreakBefore w:val="0"/>
        <w:tabs>
          <w:tab w:val="right" w:pos="8306"/>
        </w:tabs>
        <w:kinsoku/>
        <w:wordWrap/>
        <w:overflowPunct/>
        <w:topLinePunct w:val="0"/>
        <w:bidi w:val="0"/>
        <w:adjustRightInd/>
        <w:spacing w:line="560" w:lineRule="exact"/>
        <w:ind w:left="0" w:leftChars="0"/>
        <w:textAlignment w:val="auto"/>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pPr>
        <w:keepNext w:val="0"/>
        <w:keepLines w:val="0"/>
        <w:pageBreakBefore w:val="0"/>
        <w:kinsoku/>
        <w:wordWrap/>
        <w:overflowPunct/>
        <w:topLinePunct w:val="0"/>
        <w:bidi w:val="0"/>
        <w:adjustRightInd/>
        <w:spacing w:line="560" w:lineRule="exact"/>
        <w:textAlignment w:val="auto"/>
      </w:pPr>
      <w:r>
        <w:rPr>
          <w:rFonts w:hint="eastAsia" w:ascii="仿宋_GB2312" w:hAnsi="仿宋_GB2312" w:eastAsia="仿宋_GB2312" w:cs="仿宋_GB2312"/>
          <w:sz w:val="32"/>
          <w:szCs w:val="32"/>
        </w:rPr>
        <w:fldChar w:fldCharType="end"/>
      </w:r>
    </w:p>
    <w:p>
      <w:pPr>
        <w:keepNext w:val="0"/>
        <w:keepLines w:val="0"/>
        <w:pageBreakBefore w:val="0"/>
        <w:kinsoku/>
        <w:wordWrap/>
        <w:overflowPunct/>
        <w:topLinePunct w:val="0"/>
        <w:bidi w:val="0"/>
        <w:adjustRightInd/>
        <w:spacing w:line="560" w:lineRule="exact"/>
        <w:textAlignment w:val="auto"/>
        <w:rPr>
          <w:rFonts w:ascii="仿宋_GB2312" w:eastAsia="仿宋_GB2312"/>
          <w:sz w:val="32"/>
          <w:szCs w:val="32"/>
        </w:rPr>
      </w:pPr>
      <w:r>
        <w:rPr>
          <w:rFonts w:hint="eastAsia" w:ascii="仿宋_GB2312" w:eastAsia="仿宋_GB2312"/>
          <w:sz w:val="32"/>
          <w:szCs w:val="32"/>
        </w:rPr>
        <w:br w:type="page"/>
      </w:r>
    </w:p>
    <w:p>
      <w:pPr>
        <w:keepNext w:val="0"/>
        <w:keepLines w:val="0"/>
        <w:pageBreakBefore w:val="0"/>
        <w:kinsoku/>
        <w:wordWrap/>
        <w:overflowPunct/>
        <w:topLinePunct w:val="0"/>
        <w:bidi w:val="0"/>
        <w:adjustRightInd/>
        <w:spacing w:line="560" w:lineRule="exact"/>
        <w:jc w:val="center"/>
        <w:textAlignment w:val="auto"/>
        <w:outlineLvl w:val="0"/>
        <w:rPr>
          <w:rFonts w:hint="default" w:ascii="Times New Roman" w:hAnsi="Times New Roman" w:eastAsia="黑体" w:cs="Times New Roman"/>
          <w:sz w:val="32"/>
          <w:szCs w:val="32"/>
        </w:rPr>
      </w:pPr>
      <w:bookmarkStart w:id="0" w:name="_Toc24028"/>
      <w:bookmarkStart w:id="1" w:name="_Toc32314"/>
      <w:r>
        <w:rPr>
          <w:rFonts w:hint="default" w:ascii="Times New Roman" w:hAnsi="Times New Roman" w:eastAsia="黑体" w:cs="Times New Roman"/>
          <w:sz w:val="32"/>
          <w:szCs w:val="32"/>
        </w:rPr>
        <w:t>第一部分 单位概况</w:t>
      </w:r>
      <w:bookmarkEnd w:id="0"/>
      <w:bookmarkEnd w:id="1"/>
    </w:p>
    <w:p>
      <w:pPr>
        <w:keepNext w:val="0"/>
        <w:keepLines w:val="0"/>
        <w:pageBreakBefore w:val="0"/>
        <w:kinsoku/>
        <w:wordWrap/>
        <w:overflowPunct/>
        <w:topLinePunct w:val="0"/>
        <w:bidi w:val="0"/>
        <w:adjustRightInd/>
        <w:spacing w:line="560" w:lineRule="exact"/>
        <w:ind w:firstLine="640" w:firstLineChars="200"/>
        <w:textAlignment w:val="auto"/>
        <w:outlineLvl w:val="1"/>
        <w:rPr>
          <w:rFonts w:hint="default" w:ascii="Times New Roman" w:hAnsi="Times New Roman" w:eastAsia="黑体" w:cs="Times New Roman"/>
          <w:bCs/>
          <w:kern w:val="0"/>
          <w:sz w:val="32"/>
          <w:szCs w:val="32"/>
        </w:rPr>
      </w:pPr>
      <w:bookmarkStart w:id="2" w:name="_Toc30738"/>
      <w:bookmarkStart w:id="3" w:name="_Toc30567"/>
      <w:r>
        <w:rPr>
          <w:rFonts w:hint="default" w:ascii="Times New Roman" w:hAnsi="Times New Roman" w:eastAsia="黑体" w:cs="Times New Roman"/>
          <w:bCs/>
          <w:kern w:val="0"/>
          <w:sz w:val="32"/>
          <w:szCs w:val="32"/>
        </w:rPr>
        <w:t>一、主要职能</w:t>
      </w:r>
      <w:bookmarkEnd w:id="2"/>
      <w:bookmarkEnd w:id="3"/>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val="zh-CN"/>
        </w:rPr>
      </w:pPr>
      <w:bookmarkStart w:id="4" w:name="_Toc31238"/>
      <w:bookmarkStart w:id="5" w:name="_Toc2151"/>
      <w:r>
        <w:rPr>
          <w:rFonts w:hint="default" w:ascii="Times New Roman" w:hAnsi="Times New Roman" w:eastAsia="仿宋_GB2312" w:cs="Times New Roman"/>
          <w:sz w:val="32"/>
          <w:szCs w:val="32"/>
          <w:lang w:val="zh-CN"/>
        </w:rPr>
        <w:t>新疆维吾尔自治区水利厅乌拉泊水库绿化工程管理站（以下简称绿化站）位于乌鲁木齐市南郊25公里处乌拉泊水库北岸荒山，始建于1985年，根据新机编办字〔1999〕74号文批复正式成立，为全额拨款事业单位,主要从事乌拉泊水库北岸荒山绿化建设与管理。在各级领导的大力支持下，得到了长足的发展，执行政府会计制度。</w:t>
      </w:r>
    </w:p>
    <w:p>
      <w:pPr>
        <w:keepNext w:val="0"/>
        <w:keepLines w:val="0"/>
        <w:pageBreakBefore w:val="0"/>
        <w:kinsoku/>
        <w:wordWrap/>
        <w:overflowPunct/>
        <w:topLinePunct w:val="0"/>
        <w:bidi w:val="0"/>
        <w:adjustRightInd/>
        <w:spacing w:line="560" w:lineRule="exact"/>
        <w:ind w:firstLine="640" w:firstLineChars="200"/>
        <w:textAlignment w:val="auto"/>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二、机构设置及</w:t>
      </w:r>
      <w:bookmarkEnd w:id="4"/>
      <w:r>
        <w:rPr>
          <w:rFonts w:hint="default" w:ascii="Times New Roman" w:hAnsi="Times New Roman" w:eastAsia="黑体" w:cs="Times New Roman"/>
          <w:bCs/>
          <w:kern w:val="0"/>
          <w:sz w:val="32"/>
          <w:szCs w:val="32"/>
        </w:rPr>
        <w:t>人员情况</w:t>
      </w:r>
      <w:bookmarkEnd w:id="5"/>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新疆维吾尔自治区水利厅乌拉泊水库绿化工程管理站2023年度，实有人数26人，其中：在职人员15人，离休人员0人，退休人员11人。2023年调入职工阿依江·艾买提，退休职工热孜亚·阿不都拉。</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val="zh-CN"/>
        </w:rPr>
        <w:sectPr>
          <w:footerReference r:id="rId3" w:type="default"/>
          <w:pgSz w:w="11906" w:h="16838"/>
          <w:pgMar w:top="2098" w:right="1474" w:bottom="1984" w:left="1587" w:header="851" w:footer="992" w:gutter="0"/>
          <w:cols w:space="720" w:num="1"/>
          <w:docGrid w:type="lines" w:linePitch="312" w:charSpace="0"/>
        </w:sectPr>
      </w:pPr>
      <w:r>
        <w:rPr>
          <w:rFonts w:hint="default" w:ascii="Times New Roman" w:hAnsi="Times New Roman" w:eastAsia="仿宋_GB2312" w:cs="Times New Roman"/>
          <w:sz w:val="32"/>
          <w:szCs w:val="32"/>
          <w:lang w:val="zh-CN"/>
        </w:rPr>
        <w:t>单位无下属预算单位，下设3个科室，分别是：综合股、运行管理股、技术服务股。</w:t>
      </w:r>
    </w:p>
    <w:p>
      <w:pPr>
        <w:keepNext w:val="0"/>
        <w:keepLines w:val="0"/>
        <w:pageBreakBefore w:val="0"/>
        <w:kinsoku/>
        <w:wordWrap/>
        <w:overflowPunct/>
        <w:topLinePunct w:val="0"/>
        <w:bidi w:val="0"/>
        <w:adjustRightInd/>
        <w:spacing w:line="560" w:lineRule="exact"/>
        <w:jc w:val="center"/>
        <w:textAlignment w:val="auto"/>
        <w:outlineLvl w:val="0"/>
        <w:rPr>
          <w:rFonts w:hint="default" w:ascii="Times New Roman" w:hAnsi="Times New Roman" w:eastAsia="黑体" w:cs="Times New Roman"/>
          <w:sz w:val="32"/>
          <w:szCs w:val="32"/>
        </w:rPr>
      </w:pPr>
      <w:bookmarkStart w:id="6" w:name="_Toc29374"/>
      <w:bookmarkStart w:id="7" w:name="_Toc3092"/>
      <w:r>
        <w:rPr>
          <w:rFonts w:hint="default" w:ascii="Times New Roman" w:hAnsi="Times New Roman" w:eastAsia="黑体" w:cs="Times New Roman"/>
          <w:sz w:val="32"/>
          <w:szCs w:val="32"/>
        </w:rPr>
        <w:t>第二部分 部门决算情况说明</w:t>
      </w:r>
      <w:bookmarkEnd w:id="6"/>
      <w:bookmarkEnd w:id="7"/>
    </w:p>
    <w:p>
      <w:pPr>
        <w:keepNext w:val="0"/>
        <w:keepLines w:val="0"/>
        <w:pageBreakBefore w:val="0"/>
        <w:kinsoku/>
        <w:wordWrap/>
        <w:overflowPunct/>
        <w:topLinePunct w:val="0"/>
        <w:bidi w:val="0"/>
        <w:adjustRightInd/>
        <w:spacing w:line="560" w:lineRule="exact"/>
        <w:ind w:firstLine="640" w:firstLineChars="200"/>
        <w:textAlignment w:val="auto"/>
        <w:outlineLvl w:val="1"/>
        <w:rPr>
          <w:rFonts w:hint="default" w:ascii="Times New Roman" w:hAnsi="Times New Roman" w:eastAsia="黑体" w:cs="Times New Roman"/>
          <w:bCs/>
          <w:kern w:val="0"/>
          <w:sz w:val="32"/>
          <w:szCs w:val="32"/>
        </w:rPr>
      </w:pPr>
      <w:bookmarkStart w:id="8" w:name="_Toc25314"/>
      <w:bookmarkStart w:id="9" w:name="_Toc12566"/>
      <w:r>
        <w:rPr>
          <w:rFonts w:hint="default" w:ascii="Times New Roman" w:hAnsi="Times New Roman" w:eastAsia="黑体" w:cs="Times New Roman"/>
          <w:bCs/>
          <w:kern w:val="0"/>
          <w:sz w:val="32"/>
          <w:szCs w:val="32"/>
        </w:rPr>
        <w:t>一、收入支出决算总体情况说明</w:t>
      </w:r>
      <w:bookmarkEnd w:id="8"/>
      <w:bookmarkEnd w:id="9"/>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2023年度收入总计417.41万元，其中：本年收入合计401.89万元，使用非财政拨款结余0.00万元，年初结转和结余15.52万元。</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2023年度支出总计417.41万元，其中：本年支出合计403.43万元，结余分配0.00万元，年末结转和结余13.98万元。</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收入支出总体与上年相比，</w:t>
      </w:r>
      <w:r>
        <w:rPr>
          <w:rFonts w:hint="default" w:ascii="Times New Roman" w:hAnsi="Times New Roman" w:eastAsia="仿宋_GB2312" w:cs="Times New Roman"/>
          <w:sz w:val="32"/>
          <w:szCs w:val="32"/>
          <w:lang w:val="zh-CN"/>
        </w:rPr>
        <w:t>减少73.63万元</w:t>
      </w:r>
      <w:r>
        <w:rPr>
          <w:rFonts w:hint="default" w:ascii="Times New Roman" w:hAnsi="Times New Roman" w:eastAsia="仿宋_GB2312" w:cs="Times New Roman"/>
          <w:sz w:val="32"/>
          <w:szCs w:val="32"/>
        </w:rPr>
        <w:t>，下降15.00%，主要原因是：2023年自治区本级机关事业单位离退休人员基本医疗保险财政收回,2023年较上年减少一个项目。</w:t>
      </w:r>
    </w:p>
    <w:p>
      <w:pPr>
        <w:keepNext w:val="0"/>
        <w:keepLines w:val="0"/>
        <w:pageBreakBefore w:val="0"/>
        <w:kinsoku/>
        <w:wordWrap/>
        <w:overflowPunct/>
        <w:topLinePunct w:val="0"/>
        <w:bidi w:val="0"/>
        <w:adjustRightInd/>
        <w:spacing w:line="560" w:lineRule="exact"/>
        <w:ind w:firstLine="640" w:firstLineChars="200"/>
        <w:jc w:val="left"/>
        <w:textAlignment w:val="auto"/>
        <w:outlineLvl w:val="1"/>
        <w:rPr>
          <w:rFonts w:hint="default" w:ascii="Times New Roman" w:hAnsi="Times New Roman" w:eastAsia="黑体" w:cs="Times New Roman"/>
          <w:bCs/>
          <w:kern w:val="0"/>
          <w:sz w:val="32"/>
          <w:szCs w:val="32"/>
        </w:rPr>
      </w:pPr>
      <w:bookmarkStart w:id="10" w:name="_Toc12142"/>
      <w:bookmarkStart w:id="11" w:name="_Toc1979"/>
      <w:r>
        <w:rPr>
          <w:rFonts w:hint="default" w:ascii="Times New Roman" w:hAnsi="Times New Roman" w:eastAsia="黑体" w:cs="Times New Roman"/>
          <w:bCs/>
          <w:kern w:val="0"/>
          <w:sz w:val="32"/>
          <w:szCs w:val="32"/>
        </w:rPr>
        <w:t>二、收入决算情况说明</w:t>
      </w:r>
      <w:bookmarkEnd w:id="10"/>
      <w:bookmarkEnd w:id="11"/>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本年收入401.89万元，其中：财政拨款收入</w:t>
      </w:r>
      <w:r>
        <w:rPr>
          <w:rFonts w:hint="default" w:ascii="Times New Roman" w:hAnsi="Times New Roman" w:eastAsia="仿宋_GB2312" w:cs="Times New Roman"/>
          <w:sz w:val="32"/>
          <w:szCs w:val="32"/>
          <w:lang w:val="zh-CN"/>
        </w:rPr>
        <w:t>401.85</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99.99</w:t>
      </w:r>
      <w:r>
        <w:rPr>
          <w:rFonts w:hint="default" w:ascii="Times New Roman" w:hAnsi="Times New Roman" w:eastAsia="仿宋_GB2312" w:cs="Times New Roman"/>
          <w:sz w:val="32"/>
          <w:szCs w:val="32"/>
        </w:rPr>
        <w:t>%；上级补助收入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%；事业收入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%；经营收入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%；附属单位上缴收入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%；其他收入</w:t>
      </w:r>
      <w:r>
        <w:rPr>
          <w:rFonts w:hint="default" w:ascii="Times New Roman" w:hAnsi="Times New Roman" w:eastAsia="仿宋_GB2312" w:cs="Times New Roman"/>
          <w:sz w:val="32"/>
          <w:szCs w:val="32"/>
          <w:lang w:val="zh-CN"/>
        </w:rPr>
        <w:t>0.04</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0.01</w:t>
      </w:r>
      <w:r>
        <w:rPr>
          <w:rFonts w:hint="default" w:ascii="Times New Roman" w:hAnsi="Times New Roman" w:eastAsia="仿宋_GB2312" w:cs="Times New Roman"/>
          <w:sz w:val="32"/>
          <w:szCs w:val="32"/>
        </w:rPr>
        <w:t>%。</w:t>
      </w:r>
    </w:p>
    <w:p>
      <w:pPr>
        <w:keepNext w:val="0"/>
        <w:keepLines w:val="0"/>
        <w:pageBreakBefore w:val="0"/>
        <w:kinsoku/>
        <w:wordWrap/>
        <w:overflowPunct/>
        <w:topLinePunct w:val="0"/>
        <w:bidi w:val="0"/>
        <w:adjustRightInd/>
        <w:spacing w:line="560" w:lineRule="exact"/>
        <w:ind w:firstLine="640" w:firstLineChars="200"/>
        <w:jc w:val="left"/>
        <w:textAlignment w:val="auto"/>
        <w:outlineLvl w:val="1"/>
        <w:rPr>
          <w:rFonts w:hint="default" w:ascii="Times New Roman" w:hAnsi="Times New Roman" w:eastAsia="黑体" w:cs="Times New Roman"/>
          <w:bCs/>
          <w:kern w:val="0"/>
          <w:sz w:val="32"/>
          <w:szCs w:val="32"/>
        </w:rPr>
      </w:pPr>
      <w:bookmarkStart w:id="12" w:name="_Toc13201"/>
      <w:bookmarkStart w:id="13" w:name="_Toc27961"/>
      <w:r>
        <w:rPr>
          <w:rFonts w:hint="default" w:ascii="Times New Roman" w:hAnsi="Times New Roman" w:eastAsia="黑体" w:cs="Times New Roman"/>
          <w:bCs/>
          <w:kern w:val="0"/>
          <w:sz w:val="32"/>
          <w:szCs w:val="32"/>
        </w:rPr>
        <w:t>三、支出决算情况说明</w:t>
      </w:r>
      <w:bookmarkEnd w:id="12"/>
      <w:bookmarkEnd w:id="13"/>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本年支出403.43万元，其中：基本支出314.37万元，占77.92%；项目支出89.06万元，占22.08%；上缴上级支出0.00万元，占0.00%；经营支出0.00万元，占0.00%；对附属单位补助支出0.00万元，占0.00%。</w:t>
      </w:r>
    </w:p>
    <w:p>
      <w:pPr>
        <w:keepNext w:val="0"/>
        <w:keepLines w:val="0"/>
        <w:pageBreakBefore w:val="0"/>
        <w:kinsoku/>
        <w:wordWrap/>
        <w:overflowPunct/>
        <w:topLinePunct w:val="0"/>
        <w:bidi w:val="0"/>
        <w:adjustRightInd/>
        <w:spacing w:line="560" w:lineRule="exact"/>
        <w:ind w:firstLine="640" w:firstLineChars="200"/>
        <w:jc w:val="left"/>
        <w:textAlignment w:val="auto"/>
        <w:outlineLvl w:val="1"/>
        <w:rPr>
          <w:rFonts w:hint="default" w:ascii="Times New Roman" w:hAnsi="Times New Roman" w:eastAsia="黑体" w:cs="Times New Roman"/>
          <w:bCs/>
          <w:kern w:val="0"/>
          <w:sz w:val="32"/>
          <w:szCs w:val="32"/>
        </w:rPr>
      </w:pPr>
      <w:bookmarkStart w:id="14" w:name="_Toc4393"/>
      <w:bookmarkStart w:id="15" w:name="_Toc26564"/>
      <w:r>
        <w:rPr>
          <w:rFonts w:hint="default" w:ascii="Times New Roman" w:hAnsi="Times New Roman" w:eastAsia="黑体" w:cs="Times New Roman"/>
          <w:bCs/>
          <w:kern w:val="0"/>
          <w:sz w:val="32"/>
          <w:szCs w:val="32"/>
        </w:rPr>
        <w:t>四、财政拨款收入支出决算总体情况说明</w:t>
      </w:r>
      <w:bookmarkEnd w:id="14"/>
      <w:bookmarkEnd w:id="15"/>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2023年度财政拨款收入总计410.98万元，其中：年初财政拨款结转和结余9.13万元，本年财政拨款收入401.85万元。财政拨款支出总计410.98万元，其中：年末财政拨款结转和结余13.61万元，本年财政拨款支出397.37万元。</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财政拨款收入支出总体与上年相比,减少11.89万元，下降2.81%，主要原因是：2023年自治区本级机关事业单位离退休人员基本医疗保险财政收回,2023年较上年减少一个项目。</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与年初预算相比，年初预算数353.11万元，决算数410.98万元，预决算差异率16.39%，主要原因是：为下达调增艰边贴1.53万元，下达基础绩效奖16.8万元，下达年度考核奖13.76万元，下达结亲交通费0.37万元，追加水利科技推广项目35万元。</w:t>
      </w:r>
    </w:p>
    <w:p>
      <w:pPr>
        <w:keepNext w:val="0"/>
        <w:keepLines w:val="0"/>
        <w:pageBreakBefore w:val="0"/>
        <w:kinsoku/>
        <w:wordWrap/>
        <w:overflowPunct/>
        <w:topLinePunct w:val="0"/>
        <w:bidi w:val="0"/>
        <w:adjustRightInd/>
        <w:spacing w:line="560" w:lineRule="exact"/>
        <w:ind w:firstLine="640" w:firstLineChars="200"/>
        <w:jc w:val="left"/>
        <w:textAlignment w:val="auto"/>
        <w:outlineLvl w:val="1"/>
        <w:rPr>
          <w:rFonts w:hint="default" w:ascii="Times New Roman" w:hAnsi="Times New Roman" w:eastAsia="黑体" w:cs="Times New Roman"/>
          <w:bCs/>
          <w:kern w:val="0"/>
          <w:sz w:val="32"/>
          <w:szCs w:val="32"/>
        </w:rPr>
      </w:pPr>
      <w:bookmarkStart w:id="16" w:name="_Toc20360"/>
      <w:bookmarkStart w:id="17" w:name="_Toc13833"/>
      <w:r>
        <w:rPr>
          <w:rFonts w:hint="default" w:ascii="Times New Roman" w:hAnsi="Times New Roman" w:eastAsia="黑体" w:cs="Times New Roman"/>
          <w:bCs/>
          <w:kern w:val="0"/>
          <w:sz w:val="32"/>
          <w:szCs w:val="32"/>
        </w:rPr>
        <w:t>五、一般公共预算财政拨款支出决算情况说明</w:t>
      </w:r>
      <w:bookmarkEnd w:id="16"/>
      <w:bookmarkEnd w:id="17"/>
    </w:p>
    <w:p>
      <w:pPr>
        <w:keepNext w:val="0"/>
        <w:keepLines w:val="0"/>
        <w:pageBreakBefore w:val="0"/>
        <w:kinsoku/>
        <w:wordWrap/>
        <w:overflowPunct/>
        <w:topLinePunct w:val="0"/>
        <w:bidi w:val="0"/>
        <w:adjustRightInd/>
        <w:spacing w:line="560" w:lineRule="exact"/>
        <w:ind w:firstLine="640" w:firstLineChars="200"/>
        <w:jc w:val="left"/>
        <w:textAlignment w:val="auto"/>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（一）一般公共预算财政拨款支出决算总体情况</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2023年度一般公共预算财政拨款支出397.37万元，占本年支出合计的98.50%。与上年相比，减少16.37万元，下降3.96%，主要原因是：2023年自治区本级机关事业单位离退休人员基本医疗保险财政收回,2023年较上年减少一个项目。</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与年初预算相比，年初预算数353.11万元，决算数397.37万元，预决算差异率12.54%，主要原因是：为下达调增艰边贴1.53万元，下达基础绩效奖16.8万元，下达年度考核奖13.76万元，下达结亲交通费0.37万元，追加水利科技推广项目35万元。</w:t>
      </w:r>
    </w:p>
    <w:p>
      <w:pPr>
        <w:keepNext w:val="0"/>
        <w:keepLines w:val="0"/>
        <w:pageBreakBefore w:val="0"/>
        <w:numPr>
          <w:ilvl w:val="0"/>
          <w:numId w:val="1"/>
        </w:numPr>
        <w:kinsoku/>
        <w:wordWrap/>
        <w:overflowPunct/>
        <w:topLinePunct w:val="0"/>
        <w:bidi w:val="0"/>
        <w:adjustRightInd/>
        <w:spacing w:line="560" w:lineRule="exact"/>
        <w:ind w:firstLine="640" w:firstLineChars="200"/>
        <w:jc w:val="left"/>
        <w:textAlignment w:val="auto"/>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一般公共预算财政拨款支出决算结构情况</w:t>
      </w:r>
    </w:p>
    <w:p>
      <w:pPr>
        <w:pStyle w:val="10"/>
        <w:keepNext w:val="0"/>
        <w:keepLines w:val="0"/>
        <w:pageBreakBefore w:val="0"/>
        <w:widowControl/>
        <w:kinsoku/>
        <w:wordWrap/>
        <w:overflowPunct/>
        <w:topLinePunct w:val="0"/>
        <w:bidi w:val="0"/>
        <w:adjustRightInd/>
        <w:spacing w:before="0" w:beforeAutospacing="0" w:after="0" w:afterAutospacing="0" w:line="560" w:lineRule="exact"/>
        <w:ind w:firstLine="640" w:firstLineChars="200"/>
        <w:textAlignment w:val="auto"/>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1.社会保障和就业支出（类）40.66万元，占10.23%；</w:t>
      </w:r>
    </w:p>
    <w:p>
      <w:pPr>
        <w:pStyle w:val="10"/>
        <w:keepNext w:val="0"/>
        <w:keepLines w:val="0"/>
        <w:pageBreakBefore w:val="0"/>
        <w:widowControl/>
        <w:kinsoku/>
        <w:wordWrap/>
        <w:overflowPunct/>
        <w:topLinePunct w:val="0"/>
        <w:bidi w:val="0"/>
        <w:adjustRightInd/>
        <w:spacing w:before="0" w:beforeAutospacing="0" w:after="0" w:afterAutospacing="0" w:line="560" w:lineRule="exact"/>
        <w:ind w:firstLine="640" w:firstLineChars="200"/>
        <w:textAlignment w:val="auto"/>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2.卫生健康支出（类）25.29万元，占6.36%；</w:t>
      </w:r>
    </w:p>
    <w:p>
      <w:pPr>
        <w:pStyle w:val="10"/>
        <w:keepNext w:val="0"/>
        <w:keepLines w:val="0"/>
        <w:pageBreakBefore w:val="0"/>
        <w:widowControl/>
        <w:kinsoku/>
        <w:wordWrap/>
        <w:overflowPunct/>
        <w:topLinePunct w:val="0"/>
        <w:bidi w:val="0"/>
        <w:adjustRightInd/>
        <w:spacing w:before="0" w:beforeAutospacing="0" w:after="0" w:afterAutospacing="0" w:line="560" w:lineRule="exact"/>
        <w:ind w:firstLine="640" w:firstLineChars="200"/>
        <w:textAlignment w:val="auto"/>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3.农林水支出（类）311.36万元，占78.36%；</w:t>
      </w:r>
    </w:p>
    <w:p>
      <w:pPr>
        <w:pStyle w:val="10"/>
        <w:keepNext w:val="0"/>
        <w:keepLines w:val="0"/>
        <w:pageBreakBefore w:val="0"/>
        <w:widowControl/>
        <w:kinsoku/>
        <w:wordWrap/>
        <w:overflowPunct/>
        <w:topLinePunct w:val="0"/>
        <w:bidi w:val="0"/>
        <w:adjustRightInd/>
        <w:spacing w:before="0" w:beforeAutospacing="0" w:after="0" w:afterAutospacing="0" w:line="560" w:lineRule="exact"/>
        <w:ind w:firstLine="640" w:firstLineChars="200"/>
        <w:textAlignment w:val="auto"/>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4.住房保障支出（类）20.06万元，占5.05%；</w:t>
      </w:r>
    </w:p>
    <w:p>
      <w:pPr>
        <w:keepNext w:val="0"/>
        <w:keepLines w:val="0"/>
        <w:pageBreakBefore w:val="0"/>
        <w:kinsoku/>
        <w:wordWrap/>
        <w:overflowPunct/>
        <w:topLinePunct w:val="0"/>
        <w:bidi w:val="0"/>
        <w:adjustRightInd/>
        <w:spacing w:line="560" w:lineRule="exact"/>
        <w:ind w:firstLine="640" w:firstLineChars="200"/>
        <w:jc w:val="left"/>
        <w:textAlignment w:val="auto"/>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（三）一般公共预算财政拨款支出决算具体情况</w:t>
      </w:r>
    </w:p>
    <w:p>
      <w:pPr>
        <w:keepNext w:val="0"/>
        <w:keepLines w:val="0"/>
        <w:pageBreakBefore w:val="0"/>
        <w:kinsoku/>
        <w:wordWrap/>
        <w:overflowPunct/>
        <w:topLinePunct w:val="0"/>
        <w:bidi w:val="0"/>
        <w:adjustRightIn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农林水支出（类）水利（款）水利行业业务管理（项）:支出决算数为48.37万元，比上年决算增加0.37万元，增长0.77%，主要原因是：基本支出中公用经费本年预算数与上年预算数基本持平，人员经费较上年预算数增长明显，主要原因是职工增资导致人员经费增加。</w:t>
      </w:r>
    </w:p>
    <w:p>
      <w:pPr>
        <w:keepNext w:val="0"/>
        <w:keepLines w:val="0"/>
        <w:pageBreakBefore w:val="0"/>
        <w:kinsoku/>
        <w:wordWrap/>
        <w:overflowPunct/>
        <w:topLinePunct w:val="0"/>
        <w:bidi w:val="0"/>
        <w:adjustRightInd/>
        <w:spacing w:line="560" w:lineRule="exact"/>
        <w:ind w:firstLine="640" w:firstLineChars="200"/>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2.卫生健康支出（类）行政事业单位医疗（款）事业单位医疗（项）:支出决算数为13.08万元，比上年决算增加1.39万元，增长11.91%，主要原因是：</w:t>
      </w:r>
      <w:r>
        <w:rPr>
          <w:rFonts w:hint="default" w:ascii="Times New Roman" w:hAnsi="Times New Roman" w:eastAsia="仿宋_GB2312" w:cs="Times New Roman"/>
          <w:sz w:val="32"/>
          <w:szCs w:val="32"/>
          <w:lang w:val="zh-CN"/>
        </w:rPr>
        <w:t>由于单位职工人员职称变化，工资基数变高，</w:t>
      </w:r>
      <w:r>
        <w:rPr>
          <w:rFonts w:hint="default" w:ascii="Times New Roman" w:hAnsi="Times New Roman" w:eastAsia="仿宋_GB2312" w:cs="Times New Roman"/>
          <w:sz w:val="32"/>
          <w:szCs w:val="32"/>
        </w:rPr>
        <w:t>事业单位医疗相应变高。</w:t>
      </w:r>
    </w:p>
    <w:p>
      <w:pPr>
        <w:keepNext w:val="0"/>
        <w:keepLines w:val="0"/>
        <w:pageBreakBefore w:val="0"/>
        <w:kinsoku/>
        <w:wordWrap/>
        <w:overflowPunct/>
        <w:topLinePunct w:val="0"/>
        <w:bidi w:val="0"/>
        <w:adjustRightInd/>
        <w:spacing w:line="560" w:lineRule="exact"/>
        <w:ind w:firstLine="640" w:firstLineChars="200"/>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3.卫生健康支出（类）行政事业单位医疗（款）公务员医疗补助（项）:支出决算数为12.21万元，比上年决算增加3.12万元，增长34.29%，主要原因是：</w:t>
      </w:r>
      <w:r>
        <w:rPr>
          <w:rFonts w:hint="default" w:ascii="Times New Roman" w:hAnsi="Times New Roman" w:eastAsia="仿宋_GB2312" w:cs="Times New Roman"/>
          <w:sz w:val="32"/>
          <w:szCs w:val="32"/>
          <w:lang w:val="zh-CN"/>
        </w:rPr>
        <w:t>由于单位职工人员职称变化，工资基数变高，</w:t>
      </w:r>
      <w:r>
        <w:rPr>
          <w:rFonts w:hint="default" w:ascii="Times New Roman" w:hAnsi="Times New Roman" w:eastAsia="仿宋_GB2312" w:cs="Times New Roman"/>
          <w:sz w:val="32"/>
          <w:szCs w:val="32"/>
        </w:rPr>
        <w:t>公务员医疗补助相应变高。</w:t>
      </w:r>
    </w:p>
    <w:p>
      <w:pPr>
        <w:keepNext w:val="0"/>
        <w:keepLines w:val="0"/>
        <w:pageBreakBefore w:val="0"/>
        <w:kinsoku/>
        <w:wordWrap/>
        <w:overflowPunct/>
        <w:topLinePunct w:val="0"/>
        <w:bidi w:val="0"/>
        <w:adjustRightInd/>
        <w:spacing w:line="560" w:lineRule="exact"/>
        <w:ind w:firstLine="640" w:firstLineChars="200"/>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4.住房保障支出（类）住房改革支出（款）住房公积金（项）:支出决算数为20.06万元，比上年决算增加3.81万元，增长23.45%，主要原因是：</w:t>
      </w:r>
      <w:r>
        <w:rPr>
          <w:rFonts w:hint="default" w:ascii="Times New Roman" w:hAnsi="Times New Roman" w:eastAsia="仿宋_GB2312" w:cs="Times New Roman"/>
          <w:sz w:val="32"/>
          <w:szCs w:val="32"/>
          <w:lang w:val="zh-CN"/>
        </w:rPr>
        <w:t>由于单位职工人员职称变化，工资基数变高，</w:t>
      </w:r>
      <w:r>
        <w:rPr>
          <w:rFonts w:hint="default" w:ascii="Times New Roman" w:hAnsi="Times New Roman" w:eastAsia="仿宋_GB2312" w:cs="Times New Roman"/>
          <w:sz w:val="32"/>
          <w:szCs w:val="32"/>
        </w:rPr>
        <w:t>住房公积金相应变高。</w:t>
      </w:r>
    </w:p>
    <w:p>
      <w:pPr>
        <w:keepNext w:val="0"/>
        <w:keepLines w:val="0"/>
        <w:pageBreakBefore w:val="0"/>
        <w:kinsoku/>
        <w:wordWrap/>
        <w:overflowPunct/>
        <w:topLinePunct w:val="0"/>
        <w:bidi w:val="0"/>
        <w:adjustRightInd/>
        <w:spacing w:line="560" w:lineRule="exact"/>
        <w:ind w:firstLine="640" w:firstLineChars="200"/>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5.农林水支出（类）水利（款）水利技术推广（项）:支出决算数为35.00万元，比上年决算增加35.00万元，增长100%，主要原因是：</w:t>
      </w:r>
      <w:r>
        <w:rPr>
          <w:rFonts w:hint="default" w:ascii="Times New Roman" w:hAnsi="Times New Roman" w:eastAsia="仿宋_GB2312" w:cs="Times New Roman"/>
          <w:sz w:val="32"/>
          <w:szCs w:val="32"/>
          <w:lang w:val="zh-CN"/>
        </w:rPr>
        <w:t>2023年本单位申请了</w:t>
      </w:r>
      <w:r>
        <w:rPr>
          <w:rFonts w:hint="default" w:ascii="Times New Roman" w:hAnsi="Times New Roman" w:eastAsia="仿宋_GB2312" w:cs="Times New Roman"/>
          <w:sz w:val="32"/>
          <w:szCs w:val="32"/>
        </w:rPr>
        <w:t>水利技术推广项目35</w:t>
      </w:r>
      <w:r>
        <w:rPr>
          <w:rFonts w:hint="default" w:ascii="Times New Roman" w:hAnsi="Times New Roman" w:eastAsia="仿宋_GB2312" w:cs="Times New Roman"/>
          <w:sz w:val="32"/>
          <w:szCs w:val="32"/>
          <w:lang w:val="zh-CN"/>
        </w:rPr>
        <w:t>万元</w:t>
      </w:r>
    </w:p>
    <w:p>
      <w:pPr>
        <w:keepNext w:val="0"/>
        <w:keepLines w:val="0"/>
        <w:pageBreakBefore w:val="0"/>
        <w:kinsoku/>
        <w:wordWrap/>
        <w:overflowPunct/>
        <w:topLinePunct w:val="0"/>
        <w:bidi w:val="0"/>
        <w:adjustRightIn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rPr>
        <w:t>6.社会保障和就业支出（类）行政事业单位养老支出（款）事业单位离退休（项）:支出决算数为19.26万元，比上年决算减少7.06万元，下降26.83%，主要原因是：2023年自治区本级机关事业单位离退休人员基本医疗保险财政收回</w:t>
      </w:r>
      <w:r>
        <w:rPr>
          <w:rFonts w:hint="eastAsia" w:ascii="Times New Roman" w:hAnsi="Times New Roman" w:eastAsia="仿宋_GB2312" w:cs="Times New Roman"/>
          <w:sz w:val="32"/>
          <w:szCs w:val="32"/>
          <w:lang w:eastAsia="zh-CN"/>
        </w:rPr>
        <w:t>，因此</w:t>
      </w:r>
      <w:r>
        <w:rPr>
          <w:rFonts w:hint="eastAsia" w:ascii="Times New Roman" w:hAnsi="Times New Roman" w:eastAsia="仿宋_GB2312" w:cs="Times New Roman"/>
          <w:sz w:val="32"/>
          <w:szCs w:val="32"/>
          <w:lang w:val="en-US" w:eastAsia="zh-CN"/>
        </w:rPr>
        <w:t>2023年较上年此项减少。</w:t>
      </w:r>
    </w:p>
    <w:p>
      <w:pPr>
        <w:keepNext w:val="0"/>
        <w:keepLines w:val="0"/>
        <w:pageBreakBefore w:val="0"/>
        <w:kinsoku/>
        <w:wordWrap/>
        <w:overflowPunct/>
        <w:topLinePunct w:val="0"/>
        <w:bidi w:val="0"/>
        <w:adjustRightInd/>
        <w:spacing w:line="560" w:lineRule="exact"/>
        <w:ind w:firstLine="640" w:firstLineChars="200"/>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 xml:space="preserve">7.农林水支出（类）水利（款）其他水利支出（项）:支出决算数为227.99万元，比上年决算增加17.27万元，增长8.19%，主要原因是：为下达调增艰边贴1.53万元，下达基础绩效奖16.8万元，下达年度考核奖13.76万元，下达结亲交通费0.37万元。 </w:t>
      </w:r>
    </w:p>
    <w:p>
      <w:pPr>
        <w:keepNext w:val="0"/>
        <w:keepLines w:val="0"/>
        <w:pageBreakBefore w:val="0"/>
        <w:kinsoku/>
        <w:wordWrap/>
        <w:overflowPunct/>
        <w:topLinePunct w:val="0"/>
        <w:bidi w:val="0"/>
        <w:adjustRightInd/>
        <w:spacing w:line="560" w:lineRule="exact"/>
        <w:ind w:firstLine="640" w:firstLineChars="200"/>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8.社会保障和就业支出（类）行政事业单位养老支出（款）机关事业单位基本养老保险缴费支出（项）:支出决算数为21.40万元，比上年决算减少0.26万元，下降1.22%，主要原因是：</w:t>
      </w:r>
      <w:r>
        <w:rPr>
          <w:rFonts w:hint="eastAsia" w:eastAsia="仿宋_GB2312" w:cs="Times New Roman"/>
          <w:sz w:val="32"/>
          <w:szCs w:val="32"/>
          <w:lang w:val="en-US" w:eastAsia="zh-CN"/>
        </w:rPr>
        <w:t>2023年我单位人员调整，退休1人，在职人员减少</w:t>
      </w:r>
      <w:r>
        <w:rPr>
          <w:rFonts w:hint="default" w:ascii="Times New Roman" w:hAnsi="Times New Roman" w:eastAsia="仿宋_GB2312" w:cs="Times New Roman"/>
          <w:sz w:val="32"/>
          <w:szCs w:val="32"/>
        </w:rPr>
        <w:t>。</w:t>
      </w:r>
    </w:p>
    <w:p>
      <w:pPr>
        <w:keepNext w:val="0"/>
        <w:keepLines w:val="0"/>
        <w:pageBreakBefore w:val="0"/>
        <w:kinsoku/>
        <w:wordWrap/>
        <w:overflowPunct/>
        <w:topLinePunct w:val="0"/>
        <w:bidi w:val="0"/>
        <w:adjustRightInd/>
        <w:spacing w:line="560" w:lineRule="exact"/>
        <w:ind w:firstLine="640" w:firstLineChars="200"/>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9.农林水支出（类）水利（款）水资源节约管理与保护（项）:支出决算数为0.00万元，比上年决算减少40.00万元，下降100%，主要原因是：</w:t>
      </w:r>
      <w:r>
        <w:rPr>
          <w:rFonts w:hint="default" w:ascii="Times New Roman" w:hAnsi="Times New Roman" w:eastAsia="仿宋_GB2312" w:cs="Times New Roman"/>
          <w:sz w:val="32"/>
          <w:szCs w:val="32"/>
          <w:lang w:val="zh-CN"/>
        </w:rPr>
        <w:t>我单位2023年未申请</w:t>
      </w:r>
      <w:r>
        <w:rPr>
          <w:rFonts w:hint="default" w:ascii="Times New Roman" w:hAnsi="Times New Roman" w:eastAsia="仿宋_GB2312" w:cs="Times New Roman"/>
          <w:sz w:val="32"/>
          <w:szCs w:val="32"/>
        </w:rPr>
        <w:t>水资源节约管理与保护</w:t>
      </w:r>
      <w:r>
        <w:rPr>
          <w:rFonts w:hint="default" w:ascii="Times New Roman" w:hAnsi="Times New Roman" w:eastAsia="仿宋_GB2312" w:cs="Times New Roman"/>
          <w:sz w:val="32"/>
          <w:szCs w:val="32"/>
          <w:lang w:val="zh-CN"/>
        </w:rPr>
        <w:t>项目资金。</w:t>
      </w:r>
    </w:p>
    <w:p>
      <w:pPr>
        <w:keepNext w:val="0"/>
        <w:keepLines w:val="0"/>
        <w:pageBreakBefore w:val="0"/>
        <w:kinsoku/>
        <w:wordWrap/>
        <w:overflowPunct/>
        <w:topLinePunct w:val="0"/>
        <w:bidi w:val="0"/>
        <w:adjustRightInd/>
        <w:spacing w:line="560" w:lineRule="exact"/>
        <w:ind w:firstLine="640" w:firstLineChars="200"/>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10.农林水支出（类）水利（款）防汛（项）:支出决算数为0.00万元，比上年决算减少30.00万元，下降100%，主要原因是：</w:t>
      </w:r>
      <w:r>
        <w:rPr>
          <w:rFonts w:hint="default" w:ascii="Times New Roman" w:hAnsi="Times New Roman" w:eastAsia="仿宋_GB2312" w:cs="Times New Roman"/>
          <w:sz w:val="32"/>
          <w:szCs w:val="32"/>
          <w:lang w:val="zh-CN"/>
        </w:rPr>
        <w:t>我单位2023年未申请</w:t>
      </w:r>
      <w:r>
        <w:rPr>
          <w:rFonts w:hint="default" w:ascii="Times New Roman" w:hAnsi="Times New Roman" w:eastAsia="仿宋_GB2312" w:cs="Times New Roman"/>
          <w:sz w:val="32"/>
          <w:szCs w:val="32"/>
        </w:rPr>
        <w:t>防汛</w:t>
      </w:r>
      <w:r>
        <w:rPr>
          <w:rFonts w:hint="default" w:ascii="Times New Roman" w:hAnsi="Times New Roman" w:eastAsia="仿宋_GB2312" w:cs="Times New Roman"/>
          <w:sz w:val="32"/>
          <w:szCs w:val="32"/>
          <w:lang w:val="zh-CN"/>
        </w:rPr>
        <w:t>项目资金。</w:t>
      </w:r>
    </w:p>
    <w:p>
      <w:pPr>
        <w:keepNext w:val="0"/>
        <w:keepLines w:val="0"/>
        <w:pageBreakBefore w:val="0"/>
        <w:kinsoku/>
        <w:wordWrap/>
        <w:overflowPunct/>
        <w:topLinePunct w:val="0"/>
        <w:bidi w:val="0"/>
        <w:adjustRightInd/>
        <w:spacing w:line="560" w:lineRule="exact"/>
        <w:ind w:firstLine="640" w:firstLineChars="200"/>
        <w:jc w:val="left"/>
        <w:textAlignment w:val="auto"/>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六、一般公共预算财政拨款基本支出决算情况说明</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2023年度一般公共预算财政拨款基本支出314.37万元，其中：人员经费299.86万元，包括：基本工资、津贴补贴、奖金、绩效工资、机关事业单位基本养老保险缴费、职工基本医疗保险缴费、公务员医疗补助缴费、其他社会保障缴费、住房公积金、其他工资福利支出、退休费、生活补助、其他对个人和家庭的补助。</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公用经费14.52万元，包括：办公费、邮电费、差旅费、工会经费、福利费、公务用车运行维护费、其他商品和服务支出。</w:t>
      </w:r>
    </w:p>
    <w:p>
      <w:pPr>
        <w:keepNext w:val="0"/>
        <w:keepLines w:val="0"/>
        <w:pageBreakBefore w:val="0"/>
        <w:kinsoku/>
        <w:wordWrap/>
        <w:overflowPunct/>
        <w:topLinePunct w:val="0"/>
        <w:bidi w:val="0"/>
        <w:adjustRightInd/>
        <w:spacing w:line="560" w:lineRule="exact"/>
        <w:ind w:firstLine="640" w:firstLineChars="200"/>
        <w:jc w:val="left"/>
        <w:textAlignment w:val="auto"/>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七、财政拨款“三公”经费支出决算情况说明</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2023年度</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sz w:val="32"/>
          <w:szCs w:val="32"/>
          <w:lang w:val="zh-CN"/>
        </w:rPr>
        <w:t>“三公”经费支出1.35万元，</w:t>
      </w:r>
      <w:r>
        <w:rPr>
          <w:rFonts w:hint="default" w:ascii="Times New Roman" w:hAnsi="Times New Roman" w:eastAsia="仿宋_GB2312" w:cs="Times New Roman"/>
          <w:sz w:val="32"/>
          <w:szCs w:val="32"/>
        </w:rPr>
        <w:t>比上年</w:t>
      </w:r>
      <w:r>
        <w:rPr>
          <w:rFonts w:hint="default" w:ascii="Times New Roman" w:hAnsi="Times New Roman" w:eastAsia="仿宋_GB2312" w:cs="Times New Roman"/>
          <w:sz w:val="32"/>
          <w:szCs w:val="32"/>
          <w:lang w:val="zh-CN"/>
        </w:rPr>
        <w:t>增加0.00万元，增长0.00%，主要原因是：我单位2023年无变化。其中：因公出国（境）费支出0.00万元，占0.00%，比上年增加0.00万元，增长0.00%，主要原因是：我单位2023年无因公出国（境）费支出；公务用车购置及运行维护费支出1.35万元，占100.00%，比上年增加0.00万元，增长0.00%，主要原因是：我单位2023年公务用车购置及运行维护费支出无变化；公务接待费支出0.00万元，占0.00%，比上年增加0.00万元，增长0.00%，主要原因是：我单位2023年无公务接待费支出。</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具体情况如下：</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因公出国（境）费支出0.00万元，</w:t>
      </w:r>
      <w:r>
        <w:rPr>
          <w:rFonts w:hint="eastAsia" w:ascii="Times New Roman" w:hAnsi="Times New Roman" w:eastAsia="仿宋_GB2312" w:cs="Times New Roman"/>
          <w:color w:val="auto"/>
          <w:sz w:val="32"/>
          <w:szCs w:val="32"/>
          <w:highlight w:val="none"/>
          <w:lang w:val="zh-CN" w:eastAsia="zh-CN"/>
        </w:rPr>
        <w:t>开支内容包括：无此项支出。单位全年安排的因公出国（境）团组0个，因公出国（境）0人次。</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highlight w:val="none"/>
          <w:lang w:val="zh-CN"/>
        </w:rPr>
      </w:pPr>
      <w:r>
        <w:rPr>
          <w:rFonts w:hint="default" w:ascii="Times New Roman" w:hAnsi="Times New Roman" w:eastAsia="仿宋_GB2312" w:cs="Times New Roman"/>
          <w:color w:val="auto"/>
          <w:sz w:val="32"/>
          <w:szCs w:val="32"/>
          <w:highlight w:val="none"/>
          <w:lang w:val="zh-CN" w:eastAsia="zh-CN"/>
        </w:rPr>
        <w:t>公务用车购置及运行维护费1.35万元，其中：公务用</w:t>
      </w:r>
      <w:r>
        <w:rPr>
          <w:rFonts w:hint="default" w:ascii="Times New Roman" w:hAnsi="Times New Roman" w:eastAsia="仿宋_GB2312" w:cs="Times New Roman"/>
          <w:sz w:val="32"/>
          <w:szCs w:val="32"/>
          <w:highlight w:val="none"/>
          <w:lang w:val="zh-CN"/>
        </w:rPr>
        <w:t>车购置费0.00万元，公务用车运行维护费1.35万元。公务用车运行维护费开支内容包括公务用车日常维修及车辆保险。公务用车购置数0辆，公务用车保有量2辆。国有资产占用情况</w:t>
      </w:r>
      <w:r>
        <w:rPr>
          <w:rFonts w:hint="default" w:ascii="Times New Roman" w:hAnsi="Times New Roman" w:eastAsia="仿宋_GB2312" w:cs="Times New Roman"/>
          <w:sz w:val="32"/>
          <w:szCs w:val="32"/>
          <w:highlight w:val="none"/>
        </w:rPr>
        <w:t>中固定资产车辆</w:t>
      </w:r>
      <w:r>
        <w:rPr>
          <w:rFonts w:hint="default" w:ascii="Times New Roman" w:hAnsi="Times New Roman" w:eastAsia="仿宋_GB2312" w:cs="Times New Roman"/>
          <w:sz w:val="32"/>
          <w:szCs w:val="32"/>
          <w:highlight w:val="none"/>
          <w:lang w:val="zh-CN"/>
        </w:rPr>
        <w:t>2辆，</w:t>
      </w:r>
      <w:r>
        <w:rPr>
          <w:rFonts w:hint="default" w:ascii="Times New Roman" w:hAnsi="Times New Roman" w:eastAsia="仿宋_GB2312" w:cs="Times New Roman"/>
          <w:sz w:val="32"/>
          <w:szCs w:val="32"/>
          <w:highlight w:val="none"/>
        </w:rPr>
        <w:t>与</w:t>
      </w:r>
      <w:r>
        <w:rPr>
          <w:rFonts w:hint="default" w:ascii="Times New Roman" w:hAnsi="Times New Roman" w:eastAsia="仿宋_GB2312" w:cs="Times New Roman"/>
          <w:sz w:val="32"/>
          <w:szCs w:val="32"/>
          <w:highlight w:val="none"/>
          <w:lang w:val="zh-CN"/>
        </w:rPr>
        <w:t>公务用车</w:t>
      </w:r>
      <w:r>
        <w:rPr>
          <w:rFonts w:hint="default" w:ascii="Times New Roman" w:hAnsi="Times New Roman" w:eastAsia="仿宋_GB2312" w:cs="Times New Roman"/>
          <w:sz w:val="32"/>
          <w:szCs w:val="32"/>
          <w:highlight w:val="none"/>
        </w:rPr>
        <w:t>保有量差异</w:t>
      </w:r>
      <w:r>
        <w:rPr>
          <w:rFonts w:hint="default" w:ascii="Times New Roman" w:hAnsi="Times New Roman" w:eastAsia="仿宋_GB2312" w:cs="Times New Roman"/>
          <w:sz w:val="32"/>
          <w:szCs w:val="32"/>
          <w:highlight w:val="none"/>
          <w:lang w:val="zh-CN"/>
        </w:rPr>
        <w:t>原因是：</w:t>
      </w:r>
      <w:r>
        <w:rPr>
          <w:rFonts w:hint="default" w:ascii="Times New Roman" w:hAnsi="Times New Roman" w:eastAsia="仿宋_GB2312" w:cs="Times New Roman"/>
          <w:sz w:val="32"/>
          <w:szCs w:val="32"/>
          <w:highlight w:val="none"/>
        </w:rPr>
        <w:t>固定资产车辆与</w:t>
      </w:r>
      <w:r>
        <w:rPr>
          <w:rFonts w:hint="default" w:ascii="Times New Roman" w:hAnsi="Times New Roman" w:eastAsia="仿宋_GB2312" w:cs="Times New Roman"/>
          <w:sz w:val="32"/>
          <w:szCs w:val="32"/>
          <w:highlight w:val="none"/>
          <w:lang w:val="zh-CN"/>
        </w:rPr>
        <w:t>公务用车</w:t>
      </w:r>
      <w:r>
        <w:rPr>
          <w:rFonts w:hint="default" w:ascii="Times New Roman" w:hAnsi="Times New Roman" w:eastAsia="仿宋_GB2312" w:cs="Times New Roman"/>
          <w:sz w:val="32"/>
          <w:szCs w:val="32"/>
          <w:highlight w:val="none"/>
        </w:rPr>
        <w:t>保有量无差异。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公务接待费0.00万元，</w:t>
      </w:r>
      <w:r>
        <w:rPr>
          <w:rFonts w:hint="eastAsia" w:ascii="Times New Roman" w:hAnsi="Times New Roman" w:eastAsia="仿宋_GB2312" w:cs="Times New Roman"/>
          <w:color w:val="auto"/>
          <w:sz w:val="32"/>
          <w:szCs w:val="32"/>
          <w:highlight w:val="none"/>
          <w:lang w:val="zh-CN" w:eastAsia="zh-CN"/>
        </w:rPr>
        <w:t>开支内容包括：无此项支出。</w:t>
      </w:r>
      <w:r>
        <w:rPr>
          <w:rFonts w:hint="eastAsia" w:ascii="仿宋_GB2312" w:eastAsia="仿宋_GB2312"/>
          <w:color w:val="auto"/>
          <w:sz w:val="32"/>
          <w:szCs w:val="32"/>
          <w:highlight w:val="none"/>
          <w:lang w:val="zh-CN" w:eastAsia="zh-CN"/>
        </w:rPr>
        <w:t>单位全年安排的国内公</w:t>
      </w:r>
      <w:r>
        <w:rPr>
          <w:rFonts w:hint="eastAsia" w:ascii="Times New Roman" w:hAnsi="Times New Roman" w:eastAsia="仿宋_GB2312" w:cs="Times New Roman"/>
          <w:sz w:val="32"/>
          <w:szCs w:val="32"/>
          <w:highlight w:val="none"/>
          <w:lang w:val="zh-CN" w:eastAsia="zh-CN"/>
        </w:rPr>
        <w:t>务接待0批次，0人次。</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highlight w:val="none"/>
          <w:lang w:val="zh-CN"/>
        </w:rPr>
      </w:pPr>
      <w:r>
        <w:rPr>
          <w:rFonts w:hint="default" w:ascii="Times New Roman" w:hAnsi="Times New Roman" w:eastAsia="仿宋_GB2312" w:cs="Times New Roman"/>
          <w:sz w:val="32"/>
          <w:szCs w:val="32"/>
          <w:highlight w:val="none"/>
          <w:lang w:val="zh-CN"/>
        </w:rPr>
        <w:t>与</w:t>
      </w:r>
      <w:r>
        <w:rPr>
          <w:rFonts w:hint="default" w:ascii="Times New Roman" w:hAnsi="Times New Roman" w:eastAsia="仿宋_GB2312" w:cs="Times New Roman"/>
          <w:sz w:val="32"/>
          <w:szCs w:val="32"/>
          <w:highlight w:val="none"/>
        </w:rPr>
        <w:t>全年</w:t>
      </w:r>
      <w:r>
        <w:rPr>
          <w:rFonts w:hint="default" w:ascii="Times New Roman" w:hAnsi="Times New Roman" w:eastAsia="仿宋_GB2312" w:cs="Times New Roman"/>
          <w:sz w:val="32"/>
          <w:szCs w:val="32"/>
          <w:highlight w:val="none"/>
          <w:lang w:val="zh-CN"/>
        </w:rPr>
        <w:t>预算相比</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zh-CN"/>
        </w:rPr>
        <w:t>财政拨款“三公”经费支出</w:t>
      </w:r>
      <w:r>
        <w:rPr>
          <w:rFonts w:hint="default" w:ascii="Times New Roman" w:hAnsi="Times New Roman" w:eastAsia="仿宋_GB2312" w:cs="Times New Roman"/>
          <w:sz w:val="32"/>
          <w:szCs w:val="32"/>
          <w:highlight w:val="none"/>
        </w:rPr>
        <w:t>全年</w:t>
      </w:r>
      <w:r>
        <w:rPr>
          <w:rFonts w:hint="default" w:ascii="Times New Roman" w:hAnsi="Times New Roman" w:eastAsia="仿宋_GB2312" w:cs="Times New Roman"/>
          <w:sz w:val="32"/>
          <w:szCs w:val="32"/>
          <w:highlight w:val="none"/>
          <w:lang w:val="zh-CN"/>
        </w:rPr>
        <w:t>预算数1.35万元，决算数1.35万元，预决算差异率0.00%，主要原因是：我单位高效完成预算执行。其中：因公出国（境）费</w:t>
      </w:r>
      <w:r>
        <w:rPr>
          <w:rFonts w:hint="default" w:ascii="Times New Roman" w:hAnsi="Times New Roman" w:eastAsia="仿宋_GB2312" w:cs="Times New Roman"/>
          <w:sz w:val="32"/>
          <w:szCs w:val="32"/>
          <w:highlight w:val="none"/>
        </w:rPr>
        <w:t>全年预算数</w:t>
      </w:r>
      <w:r>
        <w:rPr>
          <w:rFonts w:hint="default" w:ascii="Times New Roman" w:hAnsi="Times New Roman" w:eastAsia="仿宋_GB2312" w:cs="Times New Roman"/>
          <w:sz w:val="32"/>
          <w:szCs w:val="32"/>
          <w:highlight w:val="none"/>
          <w:lang w:val="zh-CN"/>
        </w:rPr>
        <w:t>0.00万元，决算数0.00万元，预决算差异率0.00%，主要原因是：我单位无因公出国（境）费；公务用车购置费</w:t>
      </w:r>
      <w:r>
        <w:rPr>
          <w:rFonts w:hint="default" w:ascii="Times New Roman" w:hAnsi="Times New Roman" w:eastAsia="仿宋_GB2312" w:cs="Times New Roman"/>
          <w:sz w:val="32"/>
          <w:szCs w:val="32"/>
          <w:highlight w:val="none"/>
        </w:rPr>
        <w:t>全年</w:t>
      </w:r>
      <w:r>
        <w:rPr>
          <w:rFonts w:hint="default" w:ascii="Times New Roman" w:hAnsi="Times New Roman" w:eastAsia="仿宋_GB2312" w:cs="Times New Roman"/>
          <w:sz w:val="32"/>
          <w:szCs w:val="32"/>
          <w:highlight w:val="none"/>
          <w:lang w:val="zh-CN"/>
        </w:rPr>
        <w:t>预算数0.00万元，决算数0.00万元，预决算差异率0.00%，主要原因是：我单位无公务用车购置费；公务用车运行费</w:t>
      </w:r>
      <w:r>
        <w:rPr>
          <w:rFonts w:hint="default" w:ascii="Times New Roman" w:hAnsi="Times New Roman" w:eastAsia="仿宋_GB2312" w:cs="Times New Roman"/>
          <w:sz w:val="32"/>
          <w:szCs w:val="32"/>
          <w:highlight w:val="none"/>
        </w:rPr>
        <w:t>全年</w:t>
      </w:r>
      <w:r>
        <w:rPr>
          <w:rFonts w:hint="default" w:ascii="Times New Roman" w:hAnsi="Times New Roman" w:eastAsia="仿宋_GB2312" w:cs="Times New Roman"/>
          <w:sz w:val="32"/>
          <w:szCs w:val="32"/>
          <w:highlight w:val="none"/>
          <w:lang w:val="zh-CN"/>
        </w:rPr>
        <w:t>预算数1.35万元，决算数1.35万元，预决算差异率0.00%，主要原因是：我单位高效完成预算执行；公务接待费</w:t>
      </w:r>
      <w:r>
        <w:rPr>
          <w:rFonts w:hint="default" w:ascii="Times New Roman" w:hAnsi="Times New Roman" w:eastAsia="仿宋_GB2312" w:cs="Times New Roman"/>
          <w:sz w:val="32"/>
          <w:szCs w:val="32"/>
          <w:highlight w:val="none"/>
        </w:rPr>
        <w:t>全年</w:t>
      </w:r>
      <w:r>
        <w:rPr>
          <w:rFonts w:hint="default" w:ascii="Times New Roman" w:hAnsi="Times New Roman" w:eastAsia="仿宋_GB2312" w:cs="Times New Roman"/>
          <w:sz w:val="32"/>
          <w:szCs w:val="32"/>
          <w:highlight w:val="none"/>
          <w:lang w:val="zh-CN"/>
        </w:rPr>
        <w:t>预算数0.00万元，决算数0.00万元，预决算差异率0.00%，主要原因是：我单位无公务接待费。</w:t>
      </w:r>
    </w:p>
    <w:p>
      <w:pPr>
        <w:keepNext w:val="0"/>
        <w:keepLines w:val="0"/>
        <w:pageBreakBefore w:val="0"/>
        <w:kinsoku/>
        <w:wordWrap/>
        <w:overflowPunct/>
        <w:topLinePunct w:val="0"/>
        <w:bidi w:val="0"/>
        <w:adjustRightInd/>
        <w:spacing w:line="560" w:lineRule="exact"/>
        <w:ind w:firstLine="640" w:firstLineChars="200"/>
        <w:jc w:val="left"/>
        <w:textAlignment w:val="auto"/>
        <w:outlineLvl w:val="1"/>
        <w:rPr>
          <w:rFonts w:hint="default" w:ascii="Times New Roman" w:hAnsi="Times New Roman" w:eastAsia="黑体" w:cs="Times New Roman"/>
          <w:bCs/>
          <w:kern w:val="0"/>
          <w:sz w:val="32"/>
          <w:szCs w:val="32"/>
        </w:rPr>
      </w:pPr>
      <w:bookmarkStart w:id="18" w:name="_Toc7927"/>
      <w:bookmarkStart w:id="19" w:name="_Toc5810"/>
      <w:r>
        <w:rPr>
          <w:rFonts w:hint="default" w:ascii="Times New Roman" w:hAnsi="Times New Roman" w:eastAsia="黑体" w:cs="Times New Roman"/>
          <w:bCs/>
          <w:kern w:val="0"/>
          <w:sz w:val="32"/>
          <w:szCs w:val="32"/>
        </w:rPr>
        <w:t>八、政府性基金预算财政拨款收入支出决算情况说明</w:t>
      </w:r>
      <w:bookmarkEnd w:id="18"/>
      <w:bookmarkEnd w:id="19"/>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我单位本年度无政府性基金预算财政拨款收入、支出及结转和结余，政府性基金预算财政拨款收入支出决算表为空表。</w:t>
      </w:r>
    </w:p>
    <w:p>
      <w:pPr>
        <w:keepNext w:val="0"/>
        <w:keepLines w:val="0"/>
        <w:pageBreakBefore w:val="0"/>
        <w:kinsoku/>
        <w:wordWrap/>
        <w:overflowPunct/>
        <w:topLinePunct w:val="0"/>
        <w:bidi w:val="0"/>
        <w:adjustRightInd/>
        <w:spacing w:line="560" w:lineRule="exact"/>
        <w:ind w:firstLine="640" w:firstLineChars="200"/>
        <w:jc w:val="left"/>
        <w:textAlignment w:val="auto"/>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九、国有资本经营预算财政拨款收入支出决算情况说明</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我单位本年度无国有资本经营预算财政拨款收入、支出及结转和结余，国有资本经营预算财政拨款收入支出决算表为空表。</w:t>
      </w:r>
    </w:p>
    <w:p>
      <w:pPr>
        <w:keepNext w:val="0"/>
        <w:keepLines w:val="0"/>
        <w:pageBreakBefore w:val="0"/>
        <w:kinsoku/>
        <w:wordWrap/>
        <w:overflowPunct/>
        <w:topLinePunct w:val="0"/>
        <w:bidi w:val="0"/>
        <w:adjustRightInd/>
        <w:spacing w:line="560" w:lineRule="exact"/>
        <w:ind w:firstLine="640" w:firstLineChars="200"/>
        <w:jc w:val="left"/>
        <w:textAlignment w:val="auto"/>
        <w:outlineLvl w:val="1"/>
        <w:rPr>
          <w:rFonts w:hint="default" w:ascii="Times New Roman" w:hAnsi="Times New Roman" w:eastAsia="黑体" w:cs="Times New Roman"/>
          <w:bCs/>
          <w:kern w:val="0"/>
          <w:sz w:val="32"/>
          <w:szCs w:val="32"/>
        </w:rPr>
      </w:pPr>
      <w:bookmarkStart w:id="20" w:name="_Toc1235"/>
      <w:bookmarkStart w:id="21" w:name="_Toc7314"/>
      <w:r>
        <w:rPr>
          <w:rFonts w:hint="default" w:ascii="Times New Roman" w:hAnsi="Times New Roman" w:eastAsia="黑体" w:cs="Times New Roman"/>
          <w:bCs/>
          <w:kern w:val="0"/>
          <w:sz w:val="32"/>
          <w:szCs w:val="32"/>
        </w:rPr>
        <w:t>十、其他重要事项的情况说明</w:t>
      </w:r>
      <w:bookmarkEnd w:id="20"/>
      <w:bookmarkEnd w:id="21"/>
    </w:p>
    <w:p>
      <w:pPr>
        <w:keepNext w:val="0"/>
        <w:keepLines w:val="0"/>
        <w:pageBreakBefore w:val="0"/>
        <w:kinsoku/>
        <w:wordWrap/>
        <w:overflowPunct/>
        <w:topLinePunct w:val="0"/>
        <w:bidi w:val="0"/>
        <w:adjustRightInd/>
        <w:spacing w:line="560" w:lineRule="exact"/>
        <w:ind w:firstLine="640" w:firstLineChars="200"/>
        <w:jc w:val="left"/>
        <w:textAlignment w:val="auto"/>
        <w:outlineLvl w:val="2"/>
        <w:rPr>
          <w:rFonts w:hint="default" w:ascii="Times New Roman" w:hAnsi="Times New Roman" w:eastAsia="黑体" w:cs="Times New Roman"/>
          <w:sz w:val="32"/>
          <w:szCs w:val="32"/>
        </w:rPr>
      </w:pPr>
      <w:bookmarkStart w:id="22" w:name="_Toc13105"/>
      <w:bookmarkStart w:id="23" w:name="_Toc14519"/>
      <w:r>
        <w:rPr>
          <w:rFonts w:hint="default" w:ascii="Times New Roman" w:hAnsi="Times New Roman" w:eastAsia="黑体" w:cs="Times New Roman"/>
          <w:sz w:val="32"/>
          <w:szCs w:val="32"/>
        </w:rPr>
        <w:t>（一）机关运行经费支出情况</w:t>
      </w:r>
      <w:bookmarkEnd w:id="22"/>
      <w:bookmarkEnd w:id="23"/>
    </w:p>
    <w:p>
      <w:pPr>
        <w:keepNext w:val="0"/>
        <w:keepLines w:val="0"/>
        <w:pageBreakBefore w:val="0"/>
        <w:kinsoku/>
        <w:wordWrap/>
        <w:overflowPunct/>
        <w:topLinePunct w:val="0"/>
        <w:bidi w:val="0"/>
        <w:adjustRightInd/>
        <w:spacing w:line="560" w:lineRule="exact"/>
        <w:ind w:firstLine="640" w:firstLineChars="200"/>
        <w:textAlignment w:val="auto"/>
        <w:rPr>
          <w:rFonts w:hint="default" w:ascii="Times New Roman" w:hAnsi="Times New Roman" w:eastAsia="仿宋_GB2312" w:cs="Times New Roman"/>
          <w:sz w:val="32"/>
          <w:szCs w:val="32"/>
          <w:highlight w:val="yellow"/>
          <w:lang w:val="en-US" w:eastAsia="zh-CN"/>
        </w:rPr>
      </w:pPr>
      <w:bookmarkStart w:id="24" w:name="_Toc227"/>
      <w:bookmarkStart w:id="25" w:name="_Toc26704"/>
      <w:r>
        <w:rPr>
          <w:rFonts w:hint="default" w:ascii="Times New Roman" w:hAnsi="Times New Roman" w:eastAsia="仿宋_GB2312" w:cs="Times New Roman"/>
          <w:sz w:val="32"/>
          <w:szCs w:val="32"/>
          <w:lang w:val="zh-CN"/>
        </w:rPr>
        <w:t>2023年度</w:t>
      </w:r>
      <w:r>
        <w:rPr>
          <w:rFonts w:hint="default" w:ascii="Times New Roman" w:hAnsi="Times New Roman" w:eastAsia="仿宋_GB2312" w:cs="Times New Roman"/>
          <w:sz w:val="32"/>
          <w:szCs w:val="32"/>
        </w:rPr>
        <w:t>新疆维吾尔自治区水利厅乌拉泊水库绿化工程管理站</w:t>
      </w:r>
      <w:r>
        <w:rPr>
          <w:rFonts w:hint="default" w:ascii="Times New Roman" w:hAnsi="Times New Roman" w:eastAsia="仿宋_GB2312" w:cs="Times New Roman"/>
          <w:sz w:val="32"/>
          <w:szCs w:val="32"/>
          <w:lang w:val="zh-CN"/>
        </w:rPr>
        <w:t>（事业单位）公用经费支出14.52万元，比上年减少0.09万元，下降0.61%，主要原因是：</w:t>
      </w:r>
      <w:r>
        <w:rPr>
          <w:rFonts w:hint="eastAsia" w:eastAsia="仿宋_GB2312" w:cs="Times New Roman"/>
          <w:color w:val="000000"/>
          <w:sz w:val="32"/>
          <w:szCs w:val="32"/>
          <w:highlight w:val="none"/>
          <w:lang w:eastAsia="zh-CN"/>
        </w:rPr>
        <w:t>我单位</w:t>
      </w:r>
      <w:r>
        <w:rPr>
          <w:rFonts w:hint="eastAsia" w:eastAsia="仿宋_GB2312" w:cs="Times New Roman"/>
          <w:color w:val="000000"/>
          <w:sz w:val="32"/>
          <w:szCs w:val="32"/>
          <w:highlight w:val="none"/>
          <w:lang w:val="en-US" w:eastAsia="zh-CN"/>
        </w:rPr>
        <w:t>2023年退休1人，在职人员减少，导致</w:t>
      </w:r>
      <w:r>
        <w:rPr>
          <w:rFonts w:hint="default" w:ascii="Times New Roman" w:hAnsi="Times New Roman" w:eastAsia="仿宋_GB2312" w:cs="Times New Roman"/>
          <w:sz w:val="32"/>
          <w:szCs w:val="32"/>
          <w:highlight w:val="none"/>
          <w:lang w:val="zh-CN"/>
        </w:rPr>
        <w:t>公用经费支出</w:t>
      </w:r>
      <w:r>
        <w:rPr>
          <w:rFonts w:hint="eastAsia" w:eastAsia="仿宋_GB2312" w:cs="Times New Roman"/>
          <w:sz w:val="32"/>
          <w:szCs w:val="32"/>
          <w:lang w:val="zh-CN"/>
        </w:rPr>
        <w:t>减少。</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黑体" w:cs="Times New Roman"/>
          <w:sz w:val="32"/>
          <w:szCs w:val="30"/>
          <w:lang w:val="zh-CN"/>
        </w:rPr>
      </w:pPr>
      <w:r>
        <w:rPr>
          <w:rFonts w:hint="default" w:ascii="Times New Roman" w:hAnsi="Times New Roman" w:eastAsia="黑体" w:cs="Times New Roman"/>
          <w:sz w:val="32"/>
          <w:szCs w:val="30"/>
          <w:lang w:val="zh-CN"/>
        </w:rPr>
        <w:t>（二）政府采购情况</w:t>
      </w:r>
      <w:bookmarkEnd w:id="24"/>
      <w:bookmarkEnd w:id="25"/>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2023年度政府采购支出总额10.32万元，其中：政府采购货物支出10.19万元、政府采购工程支出0.00万元、政府采购服务支出0.13万元。</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zh-CN"/>
        </w:rPr>
        <w:t>授予中小企业合同金额9.34万元，占政府采购支出总额的90.</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zh-CN"/>
        </w:rPr>
        <w:t>%，其中：授予小微企业合同金额9.34万元，占政府采购支出总额的90.</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zh-CN"/>
        </w:rPr>
        <w:t>%</w:t>
      </w:r>
      <w:r>
        <w:rPr>
          <w:rFonts w:hint="default" w:ascii="Times New Roman" w:hAnsi="Times New Roman" w:eastAsia="仿宋_GB2312" w:cs="Times New Roman"/>
          <w:sz w:val="32"/>
          <w:szCs w:val="32"/>
        </w:rPr>
        <w:t>。</w:t>
      </w:r>
      <w:bookmarkStart w:id="48" w:name="_GoBack"/>
      <w:bookmarkEnd w:id="48"/>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黑体" w:cs="Times New Roman"/>
          <w:sz w:val="32"/>
          <w:szCs w:val="30"/>
          <w:lang w:val="zh-CN"/>
        </w:rPr>
      </w:pPr>
      <w:bookmarkStart w:id="26" w:name="_Toc8391"/>
      <w:bookmarkStart w:id="27" w:name="_Toc4591"/>
      <w:r>
        <w:rPr>
          <w:rFonts w:hint="default" w:ascii="Times New Roman" w:hAnsi="Times New Roman" w:eastAsia="黑体" w:cs="Times New Roman"/>
          <w:sz w:val="32"/>
          <w:szCs w:val="30"/>
          <w:lang w:val="zh-CN"/>
        </w:rPr>
        <w:t>（三）国有资产占用情况说明</w:t>
      </w:r>
      <w:bookmarkEnd w:id="26"/>
      <w:bookmarkEnd w:id="27"/>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截至2023</w:t>
      </w:r>
      <w:r>
        <w:rPr>
          <w:rFonts w:hint="default" w:ascii="Times New Roman" w:hAnsi="Times New Roman" w:eastAsia="仿宋_GB2312" w:cs="Times New Roman"/>
          <w:sz w:val="32"/>
          <w:szCs w:val="32"/>
          <w:lang w:val="zh-CN"/>
        </w:rPr>
        <w:t>年</w:t>
      </w:r>
      <w:r>
        <w:rPr>
          <w:rFonts w:hint="default" w:ascii="Times New Roman" w:hAnsi="Times New Roman" w:eastAsia="仿宋_GB2312" w:cs="Times New Roman"/>
          <w:sz w:val="32"/>
          <w:szCs w:val="32"/>
        </w:rPr>
        <w:t>12月31日</w:t>
      </w:r>
      <w:r>
        <w:rPr>
          <w:rFonts w:hint="default" w:ascii="Times New Roman" w:hAnsi="Times New Roman" w:eastAsia="仿宋_GB2312" w:cs="Times New Roman"/>
          <w:sz w:val="32"/>
          <w:szCs w:val="32"/>
          <w:lang w:val="zh-CN"/>
        </w:rPr>
        <w:t>，</w:t>
      </w:r>
      <w:r>
        <w:rPr>
          <w:rFonts w:hint="default" w:ascii="Times New Roman" w:hAnsi="Times New Roman" w:eastAsia="仿宋_GB2312" w:cs="Times New Roman"/>
          <w:sz w:val="32"/>
          <w:szCs w:val="32"/>
        </w:rPr>
        <w:t>固定资产原值</w:t>
      </w:r>
      <w:r>
        <w:rPr>
          <w:rFonts w:hint="default" w:ascii="Times New Roman" w:hAnsi="Times New Roman" w:eastAsia="仿宋_GB2312" w:cs="Times New Roman"/>
          <w:sz w:val="32"/>
          <w:szCs w:val="32"/>
          <w:lang w:val="zh-CN"/>
        </w:rPr>
        <w:t>179.21</w:t>
      </w:r>
      <w:r>
        <w:rPr>
          <w:rFonts w:hint="default" w:ascii="Times New Roman" w:hAnsi="Times New Roman" w:eastAsia="仿宋_GB2312" w:cs="Times New Roman"/>
          <w:sz w:val="32"/>
          <w:szCs w:val="32"/>
        </w:rPr>
        <w:t>万元，房</w:t>
      </w:r>
      <w:r>
        <w:rPr>
          <w:rFonts w:hint="default" w:ascii="Times New Roman" w:hAnsi="Times New Roman" w:eastAsia="仿宋_GB2312" w:cs="Times New Roman"/>
          <w:sz w:val="32"/>
          <w:szCs w:val="32"/>
          <w:lang w:val="zh-CN"/>
        </w:rPr>
        <w:t>屋1846.57平方米，价值32.44万元。车辆2辆，价值19.07万元，其中：副部（省）级及以上领导用车0辆、主要</w:t>
      </w:r>
      <w:r>
        <w:rPr>
          <w:rFonts w:hint="default" w:ascii="Times New Roman" w:hAnsi="Times New Roman" w:eastAsia="仿宋_GB2312" w:cs="Times New Roman"/>
          <w:sz w:val="32"/>
          <w:szCs w:val="32"/>
        </w:rPr>
        <w:t>负责人</w:t>
      </w:r>
      <w:r>
        <w:rPr>
          <w:rFonts w:hint="default" w:ascii="Times New Roman" w:hAnsi="Times New Roman" w:eastAsia="仿宋_GB2312" w:cs="Times New Roman"/>
          <w:sz w:val="32"/>
          <w:szCs w:val="32"/>
          <w:lang w:val="zh-CN"/>
        </w:rPr>
        <w:t>用车0辆、机要通信用车0辆、应急保障用车0辆、执法执勤用车0辆、特种专业技术用车0辆、离退休干部</w:t>
      </w:r>
      <w:r>
        <w:rPr>
          <w:rFonts w:hint="default" w:ascii="Times New Roman" w:hAnsi="Times New Roman" w:eastAsia="仿宋_GB2312" w:cs="Times New Roman"/>
          <w:sz w:val="32"/>
          <w:szCs w:val="32"/>
        </w:rPr>
        <w:t>服务</w:t>
      </w:r>
      <w:r>
        <w:rPr>
          <w:rFonts w:hint="default" w:ascii="Times New Roman" w:hAnsi="Times New Roman" w:eastAsia="仿宋_GB2312" w:cs="Times New Roman"/>
          <w:sz w:val="32"/>
          <w:szCs w:val="32"/>
          <w:lang w:val="zh-CN"/>
        </w:rPr>
        <w:t>用车0辆、其他用车2辆，</w:t>
      </w:r>
      <w:r>
        <w:rPr>
          <w:rFonts w:hint="default" w:ascii="Times New Roman" w:hAnsi="Times New Roman" w:eastAsia="仿宋_GB2312" w:cs="Times New Roman"/>
          <w:sz w:val="32"/>
          <w:szCs w:val="32"/>
          <w:highlight w:val="none"/>
          <w:lang w:val="zh-CN"/>
        </w:rPr>
        <w:t>其他用车主要是：绿化建设用车、公务用车，主要用于乌拉泊基地内部绿化养护。</w:t>
      </w:r>
      <w:r>
        <w:rPr>
          <w:rFonts w:hint="default" w:ascii="Times New Roman" w:hAnsi="Times New Roman" w:eastAsia="仿宋_GB2312" w:cs="Times New Roman"/>
          <w:sz w:val="32"/>
          <w:szCs w:val="32"/>
          <w:lang w:val="zh-CN"/>
        </w:rPr>
        <w:t>单价100万元（含）以上设备（不含车辆）0</w:t>
      </w:r>
      <w:r>
        <w:rPr>
          <w:rFonts w:hint="default" w:ascii="Times New Roman" w:hAnsi="Times New Roman" w:eastAsia="仿宋_GB2312" w:cs="Times New Roman"/>
          <w:sz w:val="32"/>
          <w:szCs w:val="32"/>
        </w:rPr>
        <w:t>台（</w:t>
      </w:r>
      <w:r>
        <w:rPr>
          <w:rFonts w:hint="default" w:ascii="Times New Roman" w:hAnsi="Times New Roman" w:eastAsia="仿宋_GB2312" w:cs="Times New Roman"/>
          <w:sz w:val="32"/>
          <w:szCs w:val="32"/>
          <w:lang w:val="zh-CN"/>
        </w:rPr>
        <w:t>套）。</w:t>
      </w:r>
    </w:p>
    <w:p>
      <w:pPr>
        <w:keepNext w:val="0"/>
        <w:keepLines w:val="0"/>
        <w:pageBreakBefore w:val="0"/>
        <w:kinsoku/>
        <w:wordWrap/>
        <w:overflowPunct/>
        <w:topLinePunct w:val="0"/>
        <w:bidi w:val="0"/>
        <w:adjustRightInd/>
        <w:spacing w:line="560" w:lineRule="exact"/>
        <w:ind w:firstLine="640" w:firstLineChars="200"/>
        <w:jc w:val="left"/>
        <w:textAlignment w:val="auto"/>
        <w:outlineLvl w:val="1"/>
        <w:rPr>
          <w:rFonts w:hint="default" w:ascii="Times New Roman" w:hAnsi="Times New Roman" w:eastAsia="黑体" w:cs="Times New Roman"/>
          <w:bCs/>
          <w:kern w:val="0"/>
          <w:sz w:val="32"/>
          <w:szCs w:val="32"/>
        </w:rPr>
      </w:pPr>
      <w:bookmarkStart w:id="28" w:name="_Toc435"/>
      <w:bookmarkStart w:id="29" w:name="_Toc11283"/>
      <w:r>
        <w:rPr>
          <w:rFonts w:hint="default" w:ascii="Times New Roman" w:hAnsi="Times New Roman" w:eastAsia="黑体" w:cs="Times New Roman"/>
          <w:bCs/>
          <w:kern w:val="0"/>
          <w:sz w:val="32"/>
          <w:szCs w:val="32"/>
        </w:rPr>
        <w:t>十一、预算绩效的情况说明</w:t>
      </w:r>
      <w:bookmarkEnd w:id="28"/>
      <w:bookmarkEnd w:id="29"/>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根据预算绩效管理要求，我单位2023年度预算绩效管理</w:t>
      </w:r>
      <w:r>
        <w:rPr>
          <w:rFonts w:hint="eastAsia" w:eastAsia="仿宋_GB2312" w:cs="Times New Roman"/>
          <w:sz w:val="32"/>
          <w:szCs w:val="32"/>
          <w:lang w:eastAsia="zh-CN"/>
        </w:rPr>
        <w:t>无</w:t>
      </w:r>
      <w:r>
        <w:rPr>
          <w:rFonts w:hint="default" w:ascii="Times New Roman" w:hAnsi="Times New Roman" w:eastAsia="仿宋_GB2312" w:cs="Times New Roman"/>
          <w:sz w:val="32"/>
          <w:szCs w:val="32"/>
        </w:rPr>
        <w:t>整体支出绩效；预算绩效评价项目1个，全年预算数48万元，全年执行数48万元。预算绩效管理取得的成效：一是今年完成植树任务1150颗（其中榆树1000颗、苹果树100颗、山楂树50颗），并按照计划周期对新种植园区进行浇灌，园区树木成活率达95%以上，实现了绿化目标。做好2024年绿化种植的准备工作，挖掘树坑1200余个。</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是安全生产：认真开展消防演练，全年开展消防安全知识培训2次，消防演习4次，维稳演习4次，召开安全生产会议12次，开展节前自查自检7次，对站内火灾隐患开展多次排查，围绕安全生产领导小组办公室反馈和重大节点、节假日前自查自检中发现的31个问题进行研判，并确定责任人，按时保质的完成了整改工作。</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rPr>
        <w:t>是项目开展：编写2023年绿化站全年项目基本情况并形成相关材料汇报站委会、水保总站支部委员会、厅领导。完成2023年绿化站滴灌工程、完成2023年水利科技项目工程。完成绿化站泵房工程的工程验收及结算审核、财务决算审计等相关工作。</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发现的问题及原因：一是相关绩效管理方面专业知识的系统性学习有待加强。各项指标的设置要进一步优化、完善，主要在细化、量化上改进。二是因轮岗、调动等因素使我单位绩效工作人员流动频繁，造成了工作衔接不到位的情况。</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下一步改进措施：一是多进行有关绩效管理工作方面的培训，进一步夯实业务基础，提高我单位绩效</w:t>
      </w:r>
      <w:r>
        <w:rPr>
          <w:rFonts w:hint="eastAsia" w:eastAsia="仿宋_GB2312" w:cs="Times New Roman"/>
          <w:sz w:val="32"/>
          <w:szCs w:val="32"/>
          <w:lang w:eastAsia="zh-CN"/>
        </w:rPr>
        <w:t>管理</w:t>
      </w:r>
      <w:r>
        <w:rPr>
          <w:rFonts w:hint="default" w:ascii="Times New Roman" w:hAnsi="Times New Roman" w:eastAsia="仿宋_GB2312" w:cs="Times New Roman"/>
          <w:sz w:val="32"/>
          <w:szCs w:val="32"/>
        </w:rPr>
        <w:t>水平。二是进一步加强对绩效管理工作的组织领导，提高对预算绩效管理工作重要性的认识，总结经验查找问题，抓紧研究制定 更全面更完善的绩效评价管理办法。结合食品安全考核建立绩效工作考核制度，加大全局对全面实施预算绩效管理和绩效管理工作的学习力度，让“花钱必问效，无效必问责”的理念深入工作每个环节。具体项目自评情况附绩效自评表及自评报告。</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十二、其他需说明的事项</w:t>
      </w:r>
    </w:p>
    <w:p>
      <w:pPr>
        <w:keepNext w:val="0"/>
        <w:keepLines w:val="0"/>
        <w:pageBreakBefore w:val="0"/>
        <w:kinsoku/>
        <w:wordWrap/>
        <w:overflowPunct/>
        <w:topLinePunct w:val="0"/>
        <w:bidi w:val="0"/>
        <w:adjustRightInd/>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本单位无其他需说明事项</w:t>
      </w:r>
    </w:p>
    <w:p>
      <w:pPr>
        <w:keepNext w:val="0"/>
        <w:keepLines w:val="0"/>
        <w:pageBreakBefore w:val="0"/>
        <w:kinsoku/>
        <w:wordWrap/>
        <w:overflowPunct/>
        <w:topLinePunct w:val="0"/>
        <w:bidi w:val="0"/>
        <w:adjustRightInd/>
        <w:spacing w:line="560" w:lineRule="exact"/>
        <w:jc w:val="center"/>
        <w:textAlignment w:val="auto"/>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keepNext w:val="0"/>
        <w:keepLines w:val="0"/>
        <w:pageBreakBefore w:val="0"/>
        <w:kinsoku/>
        <w:wordWrap/>
        <w:overflowPunct/>
        <w:topLinePunct w:val="0"/>
        <w:autoSpaceDE w:val="0"/>
        <w:autoSpaceDN w:val="0"/>
        <w:bidi w:val="0"/>
        <w:adjustRightInd/>
        <w:spacing w:line="560" w:lineRule="exact"/>
        <w:ind w:firstLine="642" w:firstLineChars="200"/>
        <w:jc w:val="left"/>
        <w:textAlignment w:val="auto"/>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keepNext w:val="0"/>
        <w:keepLines w:val="0"/>
        <w:pageBreakBefore w:val="0"/>
        <w:kinsoku/>
        <w:wordWrap/>
        <w:overflowPunct/>
        <w:topLinePunct w:val="0"/>
        <w:autoSpaceDE w:val="0"/>
        <w:autoSpaceDN w:val="0"/>
        <w:bidi w:val="0"/>
        <w:adjustRightInd/>
        <w:spacing w:line="560" w:lineRule="exact"/>
        <w:ind w:firstLine="642" w:firstLineChars="200"/>
        <w:jc w:val="left"/>
        <w:textAlignment w:val="auto"/>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keepNext w:val="0"/>
        <w:keepLines w:val="0"/>
        <w:pageBreakBefore w:val="0"/>
        <w:kinsoku/>
        <w:wordWrap/>
        <w:overflowPunct/>
        <w:topLinePunct w:val="0"/>
        <w:autoSpaceDE w:val="0"/>
        <w:autoSpaceDN w:val="0"/>
        <w:bidi w:val="0"/>
        <w:adjustRightInd/>
        <w:spacing w:line="560" w:lineRule="exact"/>
        <w:ind w:firstLine="642" w:firstLineChars="200"/>
        <w:jc w:val="left"/>
        <w:textAlignment w:val="auto"/>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keepNext w:val="0"/>
        <w:keepLines w:val="0"/>
        <w:pageBreakBefore w:val="0"/>
        <w:kinsoku/>
        <w:wordWrap/>
        <w:overflowPunct/>
        <w:topLinePunct w:val="0"/>
        <w:autoSpaceDE w:val="0"/>
        <w:autoSpaceDN w:val="0"/>
        <w:bidi w:val="0"/>
        <w:adjustRightInd/>
        <w:spacing w:line="560" w:lineRule="exact"/>
        <w:ind w:firstLine="642" w:firstLineChars="200"/>
        <w:jc w:val="left"/>
        <w:textAlignment w:val="auto"/>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keepNext w:val="0"/>
        <w:keepLines w:val="0"/>
        <w:pageBreakBefore w:val="0"/>
        <w:kinsoku/>
        <w:wordWrap/>
        <w:overflowPunct/>
        <w:topLinePunct w:val="0"/>
        <w:autoSpaceDE w:val="0"/>
        <w:autoSpaceDN w:val="0"/>
        <w:bidi w:val="0"/>
        <w:adjustRightInd/>
        <w:spacing w:line="560" w:lineRule="exact"/>
        <w:ind w:firstLine="642" w:firstLineChars="200"/>
        <w:jc w:val="left"/>
        <w:textAlignment w:val="auto"/>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keepNext w:val="0"/>
        <w:keepLines w:val="0"/>
        <w:pageBreakBefore w:val="0"/>
        <w:kinsoku/>
        <w:wordWrap/>
        <w:overflowPunct/>
        <w:topLinePunct w:val="0"/>
        <w:autoSpaceDE w:val="0"/>
        <w:autoSpaceDN w:val="0"/>
        <w:bidi w:val="0"/>
        <w:adjustRightInd/>
        <w:spacing w:line="560" w:lineRule="exact"/>
        <w:ind w:firstLine="642" w:firstLineChars="200"/>
        <w:jc w:val="left"/>
        <w:textAlignment w:val="auto"/>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keepNext w:val="0"/>
        <w:keepLines w:val="0"/>
        <w:pageBreakBefore w:val="0"/>
        <w:kinsoku/>
        <w:wordWrap/>
        <w:overflowPunct/>
        <w:topLinePunct w:val="0"/>
        <w:autoSpaceDE w:val="0"/>
        <w:autoSpaceDN w:val="0"/>
        <w:bidi w:val="0"/>
        <w:adjustRightInd/>
        <w:spacing w:line="560" w:lineRule="exact"/>
        <w:ind w:firstLine="642" w:firstLineChars="200"/>
        <w:jc w:val="left"/>
        <w:textAlignment w:val="auto"/>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val="0"/>
        <w:autoSpaceDN w:val="0"/>
        <w:bidi w:val="0"/>
        <w:adjustRightInd/>
        <w:spacing w:line="560" w:lineRule="exact"/>
        <w:ind w:firstLine="642" w:firstLineChars="200"/>
        <w:jc w:val="left"/>
        <w:textAlignment w:val="auto"/>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val="0"/>
        <w:autoSpaceDN w:val="0"/>
        <w:bidi w:val="0"/>
        <w:adjustRightInd/>
        <w:spacing w:line="560" w:lineRule="exact"/>
        <w:ind w:firstLine="642" w:firstLineChars="200"/>
        <w:jc w:val="left"/>
        <w:textAlignment w:val="auto"/>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keepNext w:val="0"/>
        <w:keepLines w:val="0"/>
        <w:pageBreakBefore w:val="0"/>
        <w:kinsoku/>
        <w:wordWrap/>
        <w:overflowPunct/>
        <w:topLinePunct w:val="0"/>
        <w:autoSpaceDE w:val="0"/>
        <w:autoSpaceDN w:val="0"/>
        <w:bidi w:val="0"/>
        <w:adjustRightInd/>
        <w:spacing w:line="560" w:lineRule="exact"/>
        <w:ind w:firstLine="642" w:firstLineChars="200"/>
        <w:jc w:val="left"/>
        <w:textAlignment w:val="auto"/>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keepNext w:val="0"/>
        <w:keepLines w:val="0"/>
        <w:pageBreakBefore w:val="0"/>
        <w:kinsoku/>
        <w:wordWrap/>
        <w:overflowPunct/>
        <w:topLinePunct w:val="0"/>
        <w:autoSpaceDE w:val="0"/>
        <w:autoSpaceDN w:val="0"/>
        <w:bidi w:val="0"/>
        <w:adjustRightInd/>
        <w:spacing w:line="560" w:lineRule="exact"/>
        <w:ind w:firstLine="642" w:firstLineChars="200"/>
        <w:textAlignment w:val="auto"/>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keepNext w:val="0"/>
        <w:keepLines w:val="0"/>
        <w:pageBreakBefore w:val="0"/>
        <w:kinsoku/>
        <w:wordWrap/>
        <w:overflowPunct/>
        <w:topLinePunct w:val="0"/>
        <w:autoSpaceDE w:val="0"/>
        <w:autoSpaceDN w:val="0"/>
        <w:bidi w:val="0"/>
        <w:adjustRightInd/>
        <w:spacing w:line="560" w:lineRule="exact"/>
        <w:ind w:firstLine="642" w:firstLineChars="200"/>
        <w:textAlignment w:val="auto"/>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keepNext w:val="0"/>
        <w:keepLines w:val="0"/>
        <w:pageBreakBefore w:val="0"/>
        <w:kinsoku/>
        <w:wordWrap/>
        <w:overflowPunct/>
        <w:topLinePunct w:val="0"/>
        <w:autoSpaceDE w:val="0"/>
        <w:autoSpaceDN w:val="0"/>
        <w:bidi w:val="0"/>
        <w:adjustRightInd/>
        <w:spacing w:line="560" w:lineRule="exact"/>
        <w:ind w:firstLine="642" w:firstLineChars="200"/>
        <w:textAlignment w:val="auto"/>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kinsoku/>
        <w:wordWrap/>
        <w:overflowPunct/>
        <w:topLinePunct w:val="0"/>
        <w:bidi w:val="0"/>
        <w:adjustRightInd/>
        <w:spacing w:line="560" w:lineRule="exact"/>
        <w:ind w:firstLine="642" w:firstLineChars="200"/>
        <w:textAlignment w:val="auto"/>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keepNext w:val="0"/>
        <w:keepLines w:val="0"/>
        <w:pageBreakBefore w:val="0"/>
        <w:kinsoku/>
        <w:wordWrap/>
        <w:overflowPunct/>
        <w:topLinePunct w:val="0"/>
        <w:bidi w:val="0"/>
        <w:adjustRightInd/>
        <w:spacing w:line="560" w:lineRule="exact"/>
        <w:ind w:firstLine="640" w:firstLineChars="200"/>
        <w:jc w:val="center"/>
        <w:textAlignment w:val="auto"/>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keepNext w:val="0"/>
        <w:keepLines w:val="0"/>
        <w:pageBreakBefore w:val="0"/>
        <w:kinsoku/>
        <w:wordWrap/>
        <w:overflowPunct/>
        <w:topLinePunct w:val="0"/>
        <w:bidi w:val="0"/>
        <w:adjustRightInd/>
        <w:spacing w:line="560" w:lineRule="exact"/>
        <w:ind w:firstLine="640" w:firstLineChars="200"/>
        <w:textAlignment w:val="auto"/>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keepNext w:val="0"/>
        <w:keepLines w:val="0"/>
        <w:pageBreakBefore w:val="0"/>
        <w:kinsoku/>
        <w:wordWrap/>
        <w:overflowPunct/>
        <w:topLinePunct w:val="0"/>
        <w:bidi w:val="0"/>
        <w:adjustRightInd/>
        <w:spacing w:line="560" w:lineRule="exact"/>
        <w:ind w:firstLine="640" w:firstLineChars="200"/>
        <w:textAlignment w:val="auto"/>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keepNext w:val="0"/>
        <w:keepLines w:val="0"/>
        <w:pageBreakBefore w:val="0"/>
        <w:kinsoku/>
        <w:wordWrap/>
        <w:overflowPunct/>
        <w:topLinePunct w:val="0"/>
        <w:bidi w:val="0"/>
        <w:adjustRightInd/>
        <w:spacing w:line="560" w:lineRule="exact"/>
        <w:ind w:firstLine="640" w:firstLineChars="200"/>
        <w:textAlignment w:val="auto"/>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keepNext w:val="0"/>
        <w:keepLines w:val="0"/>
        <w:pageBreakBefore w:val="0"/>
        <w:kinsoku/>
        <w:wordWrap/>
        <w:overflowPunct/>
        <w:topLinePunct w:val="0"/>
        <w:bidi w:val="0"/>
        <w:adjustRightInd/>
        <w:spacing w:line="560" w:lineRule="exact"/>
        <w:ind w:firstLine="640" w:firstLineChars="200"/>
        <w:textAlignment w:val="auto"/>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keepNext w:val="0"/>
        <w:keepLines w:val="0"/>
        <w:pageBreakBefore w:val="0"/>
        <w:kinsoku/>
        <w:wordWrap/>
        <w:overflowPunct/>
        <w:topLinePunct w:val="0"/>
        <w:bidi w:val="0"/>
        <w:adjustRightInd/>
        <w:spacing w:line="560" w:lineRule="exact"/>
        <w:ind w:firstLine="640" w:firstLineChars="200"/>
        <w:textAlignment w:val="auto"/>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keepNext w:val="0"/>
        <w:keepLines w:val="0"/>
        <w:pageBreakBefore w:val="0"/>
        <w:kinsoku/>
        <w:wordWrap/>
        <w:overflowPunct/>
        <w:topLinePunct w:val="0"/>
        <w:bidi w:val="0"/>
        <w:adjustRightInd/>
        <w:spacing w:line="560" w:lineRule="exact"/>
        <w:ind w:firstLine="640" w:firstLineChars="200"/>
        <w:textAlignment w:val="auto"/>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keepNext w:val="0"/>
        <w:keepLines w:val="0"/>
        <w:pageBreakBefore w:val="0"/>
        <w:kinsoku/>
        <w:wordWrap/>
        <w:overflowPunct/>
        <w:topLinePunct w:val="0"/>
        <w:bidi w:val="0"/>
        <w:adjustRightInd/>
        <w:spacing w:line="560" w:lineRule="exact"/>
        <w:ind w:firstLine="640" w:firstLineChars="200"/>
        <w:textAlignment w:val="auto"/>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keepNext w:val="0"/>
        <w:keepLines w:val="0"/>
        <w:pageBreakBefore w:val="0"/>
        <w:kinsoku/>
        <w:wordWrap/>
        <w:overflowPunct/>
        <w:topLinePunct w:val="0"/>
        <w:bidi w:val="0"/>
        <w:adjustRightInd/>
        <w:spacing w:line="560" w:lineRule="exact"/>
        <w:ind w:firstLine="640" w:firstLineChars="200"/>
        <w:textAlignment w:val="auto"/>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keepNext w:val="0"/>
        <w:keepLines w:val="0"/>
        <w:pageBreakBefore w:val="0"/>
        <w:kinsoku/>
        <w:wordWrap/>
        <w:overflowPunct/>
        <w:topLinePunct w:val="0"/>
        <w:bidi w:val="0"/>
        <w:adjustRightInd/>
        <w:spacing w:line="560" w:lineRule="exact"/>
        <w:ind w:firstLine="640" w:firstLineChars="200"/>
        <w:textAlignment w:val="auto"/>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keepNext w:val="0"/>
        <w:keepLines w:val="0"/>
        <w:pageBreakBefore w:val="0"/>
        <w:kinsoku/>
        <w:wordWrap/>
        <w:overflowPunct/>
        <w:topLinePunct w:val="0"/>
        <w:bidi w:val="0"/>
        <w:adjustRightInd/>
        <w:spacing w:line="560" w:lineRule="exact"/>
        <w:ind w:firstLine="640" w:firstLineChars="200"/>
        <w:textAlignment w:val="auto"/>
        <w:rPr>
          <w:rFonts w:ascii="仿宋_GB2312" w:eastAsia="仿宋_GB2312"/>
          <w:sz w:val="32"/>
          <w:szCs w:val="32"/>
        </w:rPr>
      </w:pPr>
    </w:p>
    <w:p>
      <w:pPr>
        <w:keepNext w:val="0"/>
        <w:keepLines w:val="0"/>
        <w:pageBreakBefore w:val="0"/>
        <w:kinsoku/>
        <w:wordWrap/>
        <w:overflowPunct/>
        <w:topLinePunct w:val="0"/>
        <w:bidi w:val="0"/>
        <w:adjustRightInd/>
        <w:spacing w:line="560" w:lineRule="exact"/>
        <w:ind w:firstLine="640" w:firstLineChars="200"/>
        <w:textAlignment w:val="auto"/>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FgAAAGRycy9QSwECFAAUAAAACACHTuJAzql5uc8AAAAF&#10;AQAADwAAAAAAAAABACAAAAA4AAAAZHJzL2Rvd25yZXYueG1sUEsBAhQAFAAAAAgAh07iQOq2OabW&#10;AQAAsgMAAA4AAAAAAAAAAQAgAAAANAEAAGRycy9lMm9Eb2MueG1sUEsFBgAAAAAGAAYAWQEAAHwF&#10;AAAAAA==&#10;">
              <v:fill on="f" focussize="0,0"/>
              <v:stroke on="f"/>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yZDQyYzdhYjQ2Y2FjYjkxYjE2ZWJiMGYyYWQ4MmMifQ=="/>
    <w:docVar w:name="KSO_WPS_MARK_KEY" w:val="41ee2a61-2d54-4f93-83be-afdb9a40d732"/>
  </w:docVars>
  <w:rsids>
    <w:rsidRoot w:val="00FB4C0A"/>
    <w:rsid w:val="00030070"/>
    <w:rsid w:val="000F0CCE"/>
    <w:rsid w:val="001E1335"/>
    <w:rsid w:val="00213C59"/>
    <w:rsid w:val="002636CD"/>
    <w:rsid w:val="003210CE"/>
    <w:rsid w:val="00346ADB"/>
    <w:rsid w:val="003D5D3B"/>
    <w:rsid w:val="00445437"/>
    <w:rsid w:val="004F54BD"/>
    <w:rsid w:val="005608D8"/>
    <w:rsid w:val="005721BD"/>
    <w:rsid w:val="005B45CF"/>
    <w:rsid w:val="006A4B20"/>
    <w:rsid w:val="0071688F"/>
    <w:rsid w:val="008A75E6"/>
    <w:rsid w:val="00B64A79"/>
    <w:rsid w:val="00B70D59"/>
    <w:rsid w:val="00BD7069"/>
    <w:rsid w:val="00C541AA"/>
    <w:rsid w:val="00D81F90"/>
    <w:rsid w:val="00D828EF"/>
    <w:rsid w:val="00E816FB"/>
    <w:rsid w:val="00F52A8D"/>
    <w:rsid w:val="00FB4C0A"/>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6AB5AFE"/>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7D7D7B"/>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4FB1D3F"/>
    <w:rsid w:val="150A66AF"/>
    <w:rsid w:val="154C1139"/>
    <w:rsid w:val="158C5B77"/>
    <w:rsid w:val="160D1149"/>
    <w:rsid w:val="163563C0"/>
    <w:rsid w:val="164315EF"/>
    <w:rsid w:val="16557DFE"/>
    <w:rsid w:val="167268FB"/>
    <w:rsid w:val="16D50C50"/>
    <w:rsid w:val="16E120E1"/>
    <w:rsid w:val="17385A05"/>
    <w:rsid w:val="173B3901"/>
    <w:rsid w:val="1767428D"/>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2E13A9"/>
    <w:rsid w:val="1D5C1A72"/>
    <w:rsid w:val="1DAF458D"/>
    <w:rsid w:val="1E086ACE"/>
    <w:rsid w:val="1E62130A"/>
    <w:rsid w:val="1E97358B"/>
    <w:rsid w:val="1EAA4A5F"/>
    <w:rsid w:val="1EE869A7"/>
    <w:rsid w:val="1FA15E62"/>
    <w:rsid w:val="1FCD6C57"/>
    <w:rsid w:val="1FED69B6"/>
    <w:rsid w:val="2064678E"/>
    <w:rsid w:val="20A21E92"/>
    <w:rsid w:val="20DC1AB9"/>
    <w:rsid w:val="20DD6197"/>
    <w:rsid w:val="212631E0"/>
    <w:rsid w:val="21A53757"/>
    <w:rsid w:val="221236C6"/>
    <w:rsid w:val="22D7662C"/>
    <w:rsid w:val="23326B7F"/>
    <w:rsid w:val="2380045B"/>
    <w:rsid w:val="23BC04D2"/>
    <w:rsid w:val="23EF1892"/>
    <w:rsid w:val="24330658"/>
    <w:rsid w:val="2483647E"/>
    <w:rsid w:val="24A32D55"/>
    <w:rsid w:val="24C30629"/>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424212"/>
    <w:rsid w:val="29CB58F0"/>
    <w:rsid w:val="2A053397"/>
    <w:rsid w:val="2A145E96"/>
    <w:rsid w:val="2AF5378F"/>
    <w:rsid w:val="2BB94DBF"/>
    <w:rsid w:val="2C6F314E"/>
    <w:rsid w:val="2CC206BE"/>
    <w:rsid w:val="2D1136DF"/>
    <w:rsid w:val="2D20606D"/>
    <w:rsid w:val="2DB87198"/>
    <w:rsid w:val="2DB93C54"/>
    <w:rsid w:val="2E156399"/>
    <w:rsid w:val="2E3D144C"/>
    <w:rsid w:val="2E891204"/>
    <w:rsid w:val="2F3F0A28"/>
    <w:rsid w:val="2FBF7029"/>
    <w:rsid w:val="2FD0187F"/>
    <w:rsid w:val="2FD27414"/>
    <w:rsid w:val="2FFE4BB0"/>
    <w:rsid w:val="300E7B60"/>
    <w:rsid w:val="300F6E18"/>
    <w:rsid w:val="30862F5F"/>
    <w:rsid w:val="314029C9"/>
    <w:rsid w:val="31C63837"/>
    <w:rsid w:val="31C82E39"/>
    <w:rsid w:val="31CF75B6"/>
    <w:rsid w:val="32601BAD"/>
    <w:rsid w:val="329F6389"/>
    <w:rsid w:val="3389023A"/>
    <w:rsid w:val="33CB74FA"/>
    <w:rsid w:val="343642F2"/>
    <w:rsid w:val="343F3010"/>
    <w:rsid w:val="345D0A00"/>
    <w:rsid w:val="34713BFD"/>
    <w:rsid w:val="34B32468"/>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C80830"/>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52958"/>
    <w:rsid w:val="525C687F"/>
    <w:rsid w:val="52F647F7"/>
    <w:rsid w:val="52F92565"/>
    <w:rsid w:val="53D03877"/>
    <w:rsid w:val="53DF01EF"/>
    <w:rsid w:val="542F73CA"/>
    <w:rsid w:val="5430786D"/>
    <w:rsid w:val="5449029B"/>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4678B1"/>
    <w:rsid w:val="5F61632C"/>
    <w:rsid w:val="5FA17648"/>
    <w:rsid w:val="5FE705CB"/>
    <w:rsid w:val="603D5080"/>
    <w:rsid w:val="60D0261B"/>
    <w:rsid w:val="60E90E3C"/>
    <w:rsid w:val="618E3791"/>
    <w:rsid w:val="61947DCA"/>
    <w:rsid w:val="61A46A97"/>
    <w:rsid w:val="61D1382F"/>
    <w:rsid w:val="61F114A2"/>
    <w:rsid w:val="62512BB4"/>
    <w:rsid w:val="625D7D1A"/>
    <w:rsid w:val="62DD7D21"/>
    <w:rsid w:val="637D586B"/>
    <w:rsid w:val="63A5560B"/>
    <w:rsid w:val="63E9091F"/>
    <w:rsid w:val="64322AF9"/>
    <w:rsid w:val="64630F05"/>
    <w:rsid w:val="64D6010D"/>
    <w:rsid w:val="64D82665"/>
    <w:rsid w:val="64E47C96"/>
    <w:rsid w:val="651E5741"/>
    <w:rsid w:val="658A4877"/>
    <w:rsid w:val="65A00902"/>
    <w:rsid w:val="65AC6EDD"/>
    <w:rsid w:val="65D97752"/>
    <w:rsid w:val="65ED2072"/>
    <w:rsid w:val="66085536"/>
    <w:rsid w:val="66105BF7"/>
    <w:rsid w:val="66150023"/>
    <w:rsid w:val="6628010D"/>
    <w:rsid w:val="669B4528"/>
    <w:rsid w:val="66CC12D7"/>
    <w:rsid w:val="67134CEF"/>
    <w:rsid w:val="671F1ABD"/>
    <w:rsid w:val="67521A59"/>
    <w:rsid w:val="67C304AB"/>
    <w:rsid w:val="683F0658"/>
    <w:rsid w:val="689C6793"/>
    <w:rsid w:val="68C57DA5"/>
    <w:rsid w:val="68DB0208"/>
    <w:rsid w:val="68FB170C"/>
    <w:rsid w:val="691B3D98"/>
    <w:rsid w:val="693748F0"/>
    <w:rsid w:val="69846A0E"/>
    <w:rsid w:val="69AD798C"/>
    <w:rsid w:val="69D005C0"/>
    <w:rsid w:val="69D80B96"/>
    <w:rsid w:val="69EE301F"/>
    <w:rsid w:val="6B68175F"/>
    <w:rsid w:val="6BFD799F"/>
    <w:rsid w:val="6C4A2E5A"/>
    <w:rsid w:val="6C8138D0"/>
    <w:rsid w:val="6CEF0725"/>
    <w:rsid w:val="6D02098D"/>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8D1AFA"/>
    <w:rsid w:val="739B6D9E"/>
    <w:rsid w:val="73BC1D76"/>
    <w:rsid w:val="73FA7CC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0E2F52"/>
    <w:rsid w:val="776526CC"/>
    <w:rsid w:val="77A262E1"/>
    <w:rsid w:val="77B13C33"/>
    <w:rsid w:val="77ED6F44"/>
    <w:rsid w:val="77F45548"/>
    <w:rsid w:val="78106856"/>
    <w:rsid w:val="784E7CA6"/>
    <w:rsid w:val="78574801"/>
    <w:rsid w:val="7873527F"/>
    <w:rsid w:val="790A6425"/>
    <w:rsid w:val="790E2D96"/>
    <w:rsid w:val="791B54B2"/>
    <w:rsid w:val="795A0A34"/>
    <w:rsid w:val="797339C3"/>
    <w:rsid w:val="79D57D57"/>
    <w:rsid w:val="79F00650"/>
    <w:rsid w:val="7A6242BF"/>
    <w:rsid w:val="7A794513"/>
    <w:rsid w:val="7AE952D2"/>
    <w:rsid w:val="7B7A1E26"/>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18"/>
    <w:unhideWhenUsed/>
    <w:qFormat/>
    <w:uiPriority w:val="99"/>
    <w:pPr>
      <w:spacing w:before="100" w:beforeAutospacing="1" w:after="120" w:line="480" w:lineRule="auto"/>
      <w:ind w:left="420" w:leftChars="200"/>
    </w:pPr>
    <w:rPr>
      <w:szCs w:val="21"/>
    </w:rPr>
  </w:style>
  <w:style w:type="paragraph" w:styleId="3">
    <w:name w:val="annotation text"/>
    <w:basedOn w:val="1"/>
    <w:qFormat/>
    <w:uiPriority w:val="0"/>
    <w:pPr>
      <w:jc w:val="left"/>
    </w:pPr>
  </w:style>
  <w:style w:type="paragraph" w:styleId="4">
    <w:name w:val="Body Text"/>
    <w:basedOn w:val="1"/>
    <w:link w:val="19"/>
    <w:qFormat/>
    <w:uiPriority w:val="0"/>
    <w:pPr>
      <w:spacing w:after="120"/>
    </w:p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99"/>
    <w:pPr>
      <w:spacing w:before="100" w:beforeAutospacing="1" w:after="100" w:afterAutospacing="1"/>
      <w:jc w:val="left"/>
    </w:pPr>
    <w:rPr>
      <w:kern w:val="0"/>
      <w:sz w:val="24"/>
    </w:rPr>
  </w:style>
  <w:style w:type="paragraph" w:styleId="11">
    <w:name w:val="Body Text First Indent"/>
    <w:basedOn w:val="4"/>
    <w:link w:val="20"/>
    <w:qFormat/>
    <w:uiPriority w:val="0"/>
    <w:pPr>
      <w:ind w:firstLine="420" w:firstLineChars="100"/>
    </w:pPr>
  </w:style>
  <w:style w:type="character" w:styleId="14">
    <w:name w:val="Strong"/>
    <w:basedOn w:val="13"/>
    <w:qFormat/>
    <w:uiPriority w:val="0"/>
    <w:rPr>
      <w:b/>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7">
    <w:name w:val="WPSOffice手动目录 1"/>
    <w:qFormat/>
    <w:uiPriority w:val="0"/>
    <w:rPr>
      <w:rFonts w:ascii="Times New Roman" w:hAnsi="Times New Roman" w:eastAsia="宋体" w:cs="Times New Roman"/>
      <w:lang w:val="en-US" w:eastAsia="zh-CN" w:bidi="ar-SA"/>
    </w:rPr>
  </w:style>
  <w:style w:type="character" w:customStyle="1" w:styleId="18">
    <w:name w:val="正文文本缩进 2 Char"/>
    <w:basedOn w:val="13"/>
    <w:link w:val="2"/>
    <w:qFormat/>
    <w:uiPriority w:val="99"/>
    <w:rPr>
      <w:kern w:val="2"/>
      <w:sz w:val="21"/>
      <w:szCs w:val="21"/>
    </w:rPr>
  </w:style>
  <w:style w:type="character" w:customStyle="1" w:styleId="19">
    <w:name w:val="正文文本 Char"/>
    <w:basedOn w:val="13"/>
    <w:link w:val="4"/>
    <w:qFormat/>
    <w:uiPriority w:val="0"/>
    <w:rPr>
      <w:kern w:val="2"/>
      <w:sz w:val="21"/>
      <w:szCs w:val="24"/>
    </w:rPr>
  </w:style>
  <w:style w:type="character" w:customStyle="1" w:styleId="20">
    <w:name w:val="正文首行缩进 Char"/>
    <w:basedOn w:val="19"/>
    <w:link w:val="11"/>
    <w:qFormat/>
    <w:uiPriority w:val="0"/>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5912</Words>
  <Characters>6667</Characters>
  <Lines>49</Lines>
  <Paragraphs>13</Paragraphs>
  <TotalTime>8</TotalTime>
  <ScaleCrop>false</ScaleCrop>
  <LinksUpToDate>false</LinksUpToDate>
  <CharactersWithSpaces>6680</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GXR</dc:creator>
  <cp:lastModifiedBy>slt</cp:lastModifiedBy>
  <dcterms:modified xsi:type="dcterms:W3CDTF">2024-09-03T12:14:15Z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E3EC5E3BC9734B8099A2E114223BAEAF_13</vt:lpwstr>
  </property>
</Properties>
</file>