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pStyle w:val="2"/>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新疆维吾尔自治区塔里木河流域管理局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napToGrid w:val="0"/>
        <w:spacing w:line="500" w:lineRule="exact"/>
        <w:ind w:firstLine="640" w:firstLineChars="200"/>
        <w:outlineLvl w:val="9"/>
        <w:rPr>
          <w:rFonts w:hint="eastAsia" w:ascii="仿宋_GB2312" w:hAnsi="仿宋" w:eastAsia="仿宋_GB2312"/>
          <w:sz w:val="32"/>
          <w:szCs w:val="32"/>
        </w:rPr>
      </w:pPr>
      <w:bookmarkStart w:id="4" w:name="_Toc31238"/>
      <w:bookmarkStart w:id="5" w:name="_Toc2151"/>
      <w:r>
        <w:rPr>
          <w:rFonts w:hint="eastAsia" w:ascii="仿宋_GB2312" w:hAnsi="仿宋_GB2312" w:eastAsia="仿宋_GB2312" w:cs="仿宋_GB2312"/>
          <w:sz w:val="32"/>
          <w:szCs w:val="32"/>
        </w:rPr>
        <w:t>根据自治区机构编制委员会《关于新疆维吾尔自治区塔里木河流域管理局机构编制方案的批复》(新机编办〔2012〕51号），塔管局的主要职责是：贯彻落实《中华人民共和国水法》、《新疆维吾尔自治区塔里木河流域水资源管理条例》等法律、法规；负责管辖范围内的水行政执法、水政监察和水事纠纷调处工作。组织编制流域综合规划和专业规划并监督施。负责流域水资源统一管理，统筹协调流域用水，实施取用水总量控制。负责流域水资源保护工作。负责管辖范围内的河道管理。组织编制流域防洪方案。研究提出直管工程的水价以及其他有关收费项目的立项、调整建议方案。负责直管水利项目资金的使用、管理和监督。负责开展流域水利科技、统计和信息化建设工作。承担塔里木河流域水利委员会、执行委员会和自治区水行政主管部门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新疆维吾尔自治区塔里木河流域管理局</w:t>
      </w:r>
      <w:r>
        <w:rPr>
          <w:rFonts w:hint="eastAsia" w:ascii="仿宋_GB2312" w:hAnsi="仿宋_GB2312" w:eastAsia="仿宋_GB2312" w:cs="仿宋_GB2312"/>
          <w:sz w:val="32"/>
          <w:szCs w:val="32"/>
          <w:lang w:eastAsia="zh-CN"/>
        </w:rPr>
        <w:t>2023年度，</w:t>
      </w:r>
      <w:r>
        <w:rPr>
          <w:rFonts w:hint="eastAsia" w:ascii="仿宋_GB2312" w:hAnsi="仿宋_GB2312" w:eastAsia="仿宋_GB2312" w:cs="仿宋_GB2312"/>
          <w:sz w:val="32"/>
          <w:szCs w:val="32"/>
        </w:rPr>
        <w:t>实有人数</w:t>
      </w:r>
      <w:r>
        <w:rPr>
          <w:rFonts w:hint="eastAsia" w:ascii="仿宋_GB2312" w:hAnsi="仿宋_GB2312" w:eastAsia="仿宋_GB2312" w:cs="仿宋_GB2312"/>
          <w:sz w:val="32"/>
          <w:szCs w:val="32"/>
          <w:lang w:val="en-US" w:eastAsia="zh-CN"/>
        </w:rPr>
        <w:t>2223</w:t>
      </w:r>
      <w:r>
        <w:rPr>
          <w:rFonts w:hint="eastAsia" w:ascii="仿宋_GB2312" w:hAnsi="仿宋_GB2312" w:eastAsia="仿宋_GB2312" w:cs="仿宋_GB2312"/>
          <w:sz w:val="32"/>
          <w:szCs w:val="32"/>
        </w:rPr>
        <w:t>人，其中：在职人员</w:t>
      </w:r>
      <w:r>
        <w:rPr>
          <w:rFonts w:hint="eastAsia" w:ascii="仿宋_GB2312" w:hAnsi="仿宋_GB2312" w:eastAsia="仿宋_GB2312" w:cs="仿宋_GB2312"/>
          <w:sz w:val="32"/>
          <w:szCs w:val="32"/>
          <w:lang w:val="en-US" w:eastAsia="zh-CN"/>
        </w:rPr>
        <w:t>1335</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离休人员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en-US" w:eastAsia="zh-CN"/>
        </w:rPr>
        <w:t>886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 xml:space="preserve">   </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从部门决算单位构成看，新疆维吾尔自治区塔里木河流域管理局部门决算包括：新疆维吾尔自治区塔里木河流域管理局本级决算及所属单位决算。</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新疆维吾尔自治区塔里木河流域管理局本级下设</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个处室，分别是：办公室、组织人事处、规划计划处、水量调度管理处、水政水资源处、财务审计处、建设与管理处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防汛抗旱办公室</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sz w:val="32"/>
          <w:szCs w:val="32"/>
        </w:rPr>
        <w:t>新疆维吾尔自治区塔里木河流域管理局</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snapToGrid w:val="0"/>
        <w:spacing w:line="500" w:lineRule="exact"/>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1.新疆维吾尔自治区</w:t>
      </w:r>
      <w:r>
        <w:rPr>
          <w:rFonts w:hint="eastAsia" w:ascii="仿宋_GB2312" w:hAnsi="仿宋_GB2312" w:eastAsia="仿宋_GB2312" w:cs="仿宋_GB2312"/>
          <w:sz w:val="32"/>
          <w:szCs w:val="32"/>
        </w:rPr>
        <w:t>塔里木河流域管理局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本级</w:t>
      </w:r>
      <w:r>
        <w:rPr>
          <w:rFonts w:hint="eastAsia" w:ascii="仿宋_GB2312" w:hAnsi="仿宋_GB2312" w:eastAsia="仿宋_GB2312" w:cs="仿宋_GB2312"/>
          <w:sz w:val="32"/>
          <w:szCs w:val="32"/>
          <w:lang w:eastAsia="zh-CN"/>
        </w:rPr>
        <w:t>）</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新疆维吾尔自治区塔里木河流域管理局信息中心</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新疆维吾尔自治区塔里木河流域干流管理局（本级）</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新疆维吾尔自治区塔里木河流域干流管理局上游管理处</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新疆维吾尔自治区塔里木河流域干流管理局中游管理处</w:t>
      </w:r>
    </w:p>
    <w:p>
      <w:pPr>
        <w:snapToGrid w:val="0"/>
        <w:spacing w:line="5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新疆维吾尔自治区塔里木河流域干流管理局下游管理处</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新疆维吾尔自治区塔里木河流域管理局水政监察分队</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新疆维吾尔自治区塔里木河流域管理局驻乌鲁木齐办事处</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新疆维吾尔自治区塔里木河流域喀什管理局</w:t>
      </w:r>
    </w:p>
    <w:p>
      <w:pPr>
        <w:snapToGrid w:val="0"/>
        <w:spacing w:line="5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新疆维吾尔自治区塔里木河流域巴音郭楞管理局</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新疆维吾尔自治区塔里木河流域阿克苏管理局</w:t>
      </w:r>
    </w:p>
    <w:p>
      <w:pPr>
        <w:snapToGrid w:val="0"/>
        <w:spacing w:line="5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新疆维吾尔自治区塔里木河流域和田管理局</w:t>
      </w:r>
    </w:p>
    <w:p>
      <w:pPr>
        <w:snapToGrid w:val="0"/>
        <w:spacing w:line="50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新疆维吾尔自治区塔里木河流域希尼尔水库管理局</w:t>
      </w:r>
    </w:p>
    <w:p>
      <w:pPr>
        <w:snapToGrid w:val="0"/>
        <w:spacing w:line="500" w:lineRule="exact"/>
        <w:ind w:firstLine="640" w:firstLineChars="200"/>
        <w:outlineLvl w:val="9"/>
        <w:rPr>
          <w:rFonts w:hint="eastAsia"/>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新疆下坂地水利枢纽建设管理局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pacing w:val="0"/>
          <w:sz w:val="32"/>
          <w:szCs w:val="32"/>
          <w:highlight w:val="none"/>
          <w:lang w:eastAsia="zh-CN"/>
        </w:rPr>
      </w:pPr>
      <w:bookmarkStart w:id="8" w:name="_Toc12566"/>
      <w:bookmarkStart w:id="9" w:name="_Toc25314"/>
      <w:r>
        <w:rPr>
          <w:rFonts w:hint="eastAsia" w:ascii="黑体" w:hAnsi="黑体" w:eastAsia="黑体" w:cs="宋体"/>
          <w:bCs/>
          <w:color w:val="auto"/>
          <w:kern w:val="0"/>
          <w:sz w:val="32"/>
          <w:szCs w:val="32"/>
          <w:highlight w:val="none"/>
        </w:rPr>
        <w:t>收入支出决算总体情况说明</w:t>
      </w:r>
      <w:bookmarkEnd w:id="8"/>
      <w:bookmarkEnd w:id="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pacing w:val="0"/>
          <w:sz w:val="32"/>
          <w:szCs w:val="32"/>
          <w:highlight w:val="none"/>
          <w:lang w:eastAsia="zh-CN"/>
        </w:rPr>
      </w:pPr>
      <w:r>
        <w:rPr>
          <w:rFonts w:hint="eastAsia" w:ascii="黑体" w:hAnsi="黑体" w:eastAsia="黑体" w:cs="宋体"/>
          <w:bCs/>
          <w:color w:val="auto"/>
          <w:kern w:val="0"/>
          <w:sz w:val="32"/>
          <w:szCs w:val="32"/>
          <w:highlight w:val="none"/>
          <w:lang w:val="en-US" w:eastAsia="zh-CN"/>
        </w:rPr>
        <w:t xml:space="preserve"> </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114,983.38万元，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80,255.50万元，使用非财政拨款结余12,986.46万元，年初结转和结余21,741.42万元。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114,983.38万元，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98,776.18万元，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1,521.39万元，年末结转和结余14,685.81万元。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增加6,997.94万元</w:t>
      </w:r>
      <w:r>
        <w:rPr>
          <w:rFonts w:hint="eastAsia" w:ascii="仿宋_GB2312" w:eastAsia="仿宋_GB2312"/>
          <w:color w:val="auto"/>
          <w:spacing w:val="0"/>
          <w:sz w:val="32"/>
          <w:szCs w:val="32"/>
          <w:highlight w:val="none"/>
          <w:lang w:val="en-US" w:eastAsia="zh-CN"/>
        </w:rPr>
        <w:t>，增长6.48%，主要原因是：一是</w:t>
      </w:r>
      <w:r>
        <w:rPr>
          <w:rFonts w:hint="default" w:ascii="仿宋_GB2312" w:eastAsia="仿宋_GB2312"/>
          <w:color w:val="auto"/>
          <w:spacing w:val="0"/>
          <w:sz w:val="32"/>
          <w:szCs w:val="32"/>
          <w:highlight w:val="none"/>
          <w:lang w:val="en-US" w:eastAsia="zh-CN"/>
        </w:rPr>
        <w:t>根据《财政部、住房城乡建设部、工业和信息化部、公安部、交通运输部、水利部进一步加强市政基础设施政府会计核算的通知》（财会〔2022〕38号）要求，塔管局系统所有水管单位水费账务和财政账务合账</w:t>
      </w:r>
      <w:r>
        <w:rPr>
          <w:rFonts w:hint="eastAsia" w:ascii="仿宋_GB2312" w:eastAsia="仿宋_GB2312"/>
          <w:color w:val="auto"/>
          <w:spacing w:val="0"/>
          <w:sz w:val="32"/>
          <w:szCs w:val="32"/>
          <w:highlight w:val="none"/>
          <w:lang w:val="en-US" w:eastAsia="zh-CN"/>
        </w:rPr>
        <w:t>，造成2023年经营收入、其他收入较上年增长，经营支出较上年增长。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80,255.50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27,076.87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33.74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52,612.91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65.56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565.72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0.70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本年支出98,776.18万元，其中：基本支出24,386.02万元，占24.69%；项目支出23,282.54万元，占23.57%；上缴上级支出0.00万元，占0.00%；经营支出51,107.62万元，占51.74%；对附属单位补助支出0.00万元，占0.00%。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32,018.88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4,942.02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27,076.87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32,018.88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1,554.06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30,464.82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减少40,950.26万元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下降56.12%,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中央预算投资大石峡水利枢纽工程项目较上年减少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16,094.33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32,018.88</w:t>
      </w:r>
      <w:r>
        <w:rPr>
          <w:rFonts w:hint="eastAsia" w:ascii="仿宋_GB2312" w:eastAsia="仿宋_GB2312"/>
          <w:color w:val="auto"/>
          <w:spacing w:val="0"/>
          <w:sz w:val="32"/>
          <w:szCs w:val="32"/>
          <w:highlight w:val="none"/>
          <w:lang w:eastAsia="zh-CN"/>
        </w:rPr>
        <w:t>万元，预决算差异率98.95%，主要原因是：</w:t>
      </w:r>
      <w:r>
        <w:rPr>
          <w:rFonts w:hint="default" w:ascii="仿宋_GB2312" w:eastAsia="仿宋_GB2312"/>
          <w:color w:val="auto"/>
          <w:spacing w:val="0"/>
          <w:sz w:val="32"/>
          <w:szCs w:val="32"/>
          <w:highlight w:val="none"/>
          <w:lang w:val="en-US" w:eastAsia="zh-CN"/>
        </w:rPr>
        <w:t>根据《财政部、住房城乡建设部、工业和信息化部、公安部、交通运输部、水利部进一步加强市政基础设施政府会计核算的通知》（财会〔2022〕38号）要求，塔管局系统所有水管单位水费账务和财政账务合账</w:t>
      </w:r>
      <w:r>
        <w:rPr>
          <w:rFonts w:hint="eastAsia" w:ascii="仿宋_GB2312" w:eastAsia="仿宋_GB2312"/>
          <w:color w:val="auto"/>
          <w:spacing w:val="0"/>
          <w:sz w:val="32"/>
          <w:szCs w:val="32"/>
          <w:highlight w:val="none"/>
          <w:lang w:val="en-US" w:eastAsia="zh-CN"/>
        </w:rPr>
        <w:t>，造成预决算差异</w:t>
      </w:r>
      <w:r>
        <w:rPr>
          <w:rFonts w:hint="eastAsia" w:ascii="仿宋_GB2312" w:eastAsia="仿宋_GB2312"/>
          <w:color w:val="auto"/>
          <w:spacing w:val="0"/>
          <w:sz w:val="32"/>
          <w:szCs w:val="32"/>
          <w:highlight w:val="none"/>
          <w:lang w:eastAsia="zh-CN"/>
        </w:rPr>
        <w:t>98.95%。</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2023年度一般公共预算财政拨款支出30,464.82万元，占本年支出合计的</w:t>
      </w:r>
      <w:r>
        <w:rPr>
          <w:rFonts w:hint="eastAsia" w:ascii="仿宋_GB2312" w:eastAsia="仿宋_GB2312"/>
          <w:color w:val="auto"/>
          <w:spacing w:val="0"/>
          <w:sz w:val="32"/>
          <w:szCs w:val="32"/>
          <w:highlight w:val="none"/>
          <w:lang w:val="zh-CN" w:eastAsia="zh-CN"/>
        </w:rPr>
        <w:t>30.84%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减少37,675.92万元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下降55.29%,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中央预算投资大石峡水利枢纽工程项目较上年减少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16,094.33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30,464.82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89.29%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追加职业年金、年度考核奖、提高基础绩效奖、调增艰边贴，丧葬抚恤金等基本支出2677.49万元。二是2023年追加孔雀河第三分水枢纽除险加固工程、博斯腾湖灌区“十四五”续建配套改造工程、叶尔羌河汗克尔渠首除险加固工程等基建项目11693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olor w:val="auto"/>
          <w:spacing w:val="0"/>
          <w:sz w:val="32"/>
          <w:szCs w:val="32"/>
          <w:highlight w:val="none"/>
          <w:lang w:val="en-US" w:eastAsia="zh-CN"/>
        </w:rPr>
        <w:t>（二）</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1,169.77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621.57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22,563.47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542.72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5,567.29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18.27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1.农林水支出（类）水利（款）防汛（项）:支出决算数为200.00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自治区财政追加2023年特大防汛补助200万元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2.卫生健康支出（类）行政事业单位医疗（款）行政单位医疗（项）:支出决算数为43.30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2.39%，主要原因是：</w:t>
      </w:r>
      <w:r>
        <w:rPr>
          <w:rFonts w:hint="eastAsia" w:eastAsia="仿宋_GB2312" w:cs="Times New Roman"/>
          <w:color w:val="auto"/>
          <w:kern w:val="2"/>
          <w:sz w:val="32"/>
          <w:szCs w:val="32"/>
          <w:highlight w:val="none"/>
          <w:lang w:val="en-US" w:eastAsia="zh-CN" w:bidi="ar-SA"/>
        </w:rPr>
        <w:t>2023年人员社保基数因薪级晋升、职称变动等因素上调，造成人员基本医疗保险支出增长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3.农林水支出（类）水利（款）行政运行（项）:支出决算数为1,038.52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1.97%，主要原因是：</w:t>
      </w:r>
      <w:r>
        <w:rPr>
          <w:rFonts w:hint="eastAsia" w:eastAsia="仿宋_GB2312" w:cs="Times New Roman"/>
          <w:color w:val="auto"/>
          <w:kern w:val="2"/>
          <w:sz w:val="32"/>
          <w:szCs w:val="32"/>
          <w:highlight w:val="none"/>
          <w:lang w:val="en-US" w:eastAsia="zh-CN" w:bidi="ar-SA"/>
        </w:rPr>
        <w:t>塔管局机关2023年人员减少，造成</w:t>
      </w:r>
      <w:r>
        <w:rPr>
          <w:rFonts w:hint="eastAsia" w:ascii="Times New Roman" w:hAnsi="Times New Roman" w:eastAsia="仿宋_GB2312" w:cs="Times New Roman"/>
          <w:color w:val="auto"/>
          <w:kern w:val="2"/>
          <w:sz w:val="32"/>
          <w:szCs w:val="32"/>
          <w:highlight w:val="none"/>
          <w:lang w:val="en-US" w:eastAsia="zh-CN" w:bidi="ar-SA"/>
        </w:rPr>
        <w:t>行政运行费用减少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4.卫生健康支出（类）行政事业单位医疗（款）事业单位医疗（项）:支出决算数为300.77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155.45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34.07%，主要原因是：</w:t>
      </w:r>
      <w:r>
        <w:rPr>
          <w:rFonts w:hint="eastAsia" w:eastAsia="仿宋_GB2312" w:cs="Times New Roman"/>
          <w:color w:val="auto"/>
          <w:kern w:val="2"/>
          <w:sz w:val="32"/>
          <w:szCs w:val="32"/>
          <w:highlight w:val="none"/>
          <w:lang w:val="en-US" w:eastAsia="zh-CN" w:bidi="ar-SA"/>
        </w:rPr>
        <w:t>塔管局系统2023年人员减少，造成</w:t>
      </w:r>
      <w:r>
        <w:rPr>
          <w:rFonts w:hint="eastAsia" w:ascii="Times New Roman" w:hAnsi="Times New Roman" w:eastAsia="仿宋_GB2312" w:cs="Times New Roman"/>
          <w:color w:val="auto"/>
          <w:kern w:val="2"/>
          <w:sz w:val="32"/>
          <w:szCs w:val="32"/>
          <w:highlight w:val="none"/>
          <w:lang w:val="en-US" w:eastAsia="zh-CN" w:bidi="ar-SA"/>
        </w:rPr>
        <w:t>行政事业单位医疗（款）事业单位医疗（项）</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5.卫生健康支出（类）行政事业单位医疗（款）公务员医疗补助（项）:支出决算数为277.51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94.06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25.31%，主要原因是：</w:t>
      </w:r>
      <w:r>
        <w:rPr>
          <w:rFonts w:hint="eastAsia" w:eastAsia="仿宋_GB2312" w:cs="Times New Roman"/>
          <w:color w:val="auto"/>
          <w:kern w:val="2"/>
          <w:sz w:val="32"/>
          <w:szCs w:val="32"/>
          <w:highlight w:val="none"/>
          <w:lang w:val="en-US" w:eastAsia="zh-CN" w:bidi="ar-SA"/>
        </w:rPr>
        <w:t>塔管局系统2023年人员减少，造成</w:t>
      </w:r>
      <w:r>
        <w:rPr>
          <w:rFonts w:hint="eastAsia" w:ascii="Times New Roman" w:hAnsi="Times New Roman" w:eastAsia="仿宋_GB2312" w:cs="Times New Roman"/>
          <w:color w:val="auto"/>
          <w:kern w:val="2"/>
          <w:sz w:val="32"/>
          <w:szCs w:val="32"/>
          <w:highlight w:val="none"/>
          <w:lang w:val="en-US" w:eastAsia="zh-CN" w:bidi="ar-SA"/>
        </w:rPr>
        <w:t>行政事业单位医疗（款）公务员医疗补助（项）</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6.农林水支出（类）水利（款）水利工程建设（项）:支出决算数为5,398.96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42,057.66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88.62%，主要原因是：</w:t>
      </w:r>
      <w:r>
        <w:rPr>
          <w:rFonts w:hint="eastAsia" w:ascii="仿宋_GB2312" w:eastAsia="仿宋_GB2312"/>
          <w:color w:val="auto"/>
          <w:spacing w:val="0"/>
          <w:sz w:val="32"/>
          <w:szCs w:val="32"/>
          <w:highlight w:val="none"/>
          <w:lang w:val="en-US" w:eastAsia="zh-CN"/>
        </w:rPr>
        <w:t>中央预算投资大石峡水利枢纽工</w:t>
      </w:r>
      <w:r>
        <w:rPr>
          <w:rFonts w:hint="eastAsia" w:ascii="Times New Roman" w:hAnsi="Times New Roman" w:eastAsia="仿宋_GB2312" w:cs="Times New Roman"/>
          <w:color w:val="auto"/>
          <w:kern w:val="2"/>
          <w:sz w:val="32"/>
          <w:szCs w:val="32"/>
          <w:highlight w:val="none"/>
          <w:lang w:val="en-US" w:eastAsia="zh-CN" w:bidi="ar-SA"/>
        </w:rPr>
        <w:t>程项目较上年减少40000万元</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7.住房保障支出（类）住房改革支出（款）住房公积金（项）:支出决算数为542.72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168.12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23.65%，主要原因是：</w:t>
      </w:r>
      <w:r>
        <w:rPr>
          <w:rFonts w:hint="eastAsia" w:eastAsia="仿宋_GB2312" w:cs="Times New Roman"/>
          <w:color w:val="auto"/>
          <w:kern w:val="2"/>
          <w:sz w:val="32"/>
          <w:szCs w:val="32"/>
          <w:highlight w:val="none"/>
          <w:lang w:val="en-US" w:eastAsia="zh-CN" w:bidi="ar-SA"/>
        </w:rPr>
        <w:t>2022年公益性人员</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w:t>
      </w:r>
      <w:r>
        <w:rPr>
          <w:rFonts w:hint="eastAsia" w:eastAsia="仿宋_GB2312" w:cs="Times New Roman"/>
          <w:color w:val="auto"/>
          <w:kern w:val="2"/>
          <w:sz w:val="32"/>
          <w:szCs w:val="32"/>
          <w:highlight w:val="none"/>
          <w:lang w:val="en-US" w:eastAsia="zh-CN" w:bidi="ar-SA"/>
        </w:rPr>
        <w:t>列入财政拨款基本支出，2023年未将公益性人员</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w:t>
      </w:r>
      <w:r>
        <w:rPr>
          <w:rFonts w:hint="eastAsia" w:eastAsia="仿宋_GB2312" w:cs="Times New Roman"/>
          <w:color w:val="auto"/>
          <w:kern w:val="2"/>
          <w:sz w:val="32"/>
          <w:szCs w:val="32"/>
          <w:highlight w:val="none"/>
          <w:lang w:val="en-US" w:eastAsia="zh-CN" w:bidi="ar-SA"/>
        </w:rPr>
        <w:t>列入财政拨款基本支出，造成</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较上年下降</w:t>
      </w:r>
      <w:r>
        <w:rPr>
          <w:rFonts w:hint="eastAsia" w:ascii="Times New Roman" w:hAnsi="Times New Roman" w:eastAsia="仿宋_GB2312" w:cs="Times New Roman"/>
          <w:color w:val="auto"/>
          <w:kern w:val="2"/>
          <w:sz w:val="32"/>
          <w:szCs w:val="32"/>
          <w:highlight w:val="none"/>
          <w:lang w:val="en-US" w:eastAsia="zh-CN" w:bidi="ar-SA"/>
        </w:rPr>
        <w:t>23.65%</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8.农林水支出（类）水利（款）水利工程运行与维护（项）:支出决算数为12,818.06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918.27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7.72%，主要原因是：</w:t>
      </w:r>
      <w:r>
        <w:rPr>
          <w:rFonts w:hint="eastAsia" w:eastAsia="仿宋_GB2312" w:cs="Times New Roman"/>
          <w:color w:val="auto"/>
          <w:kern w:val="2"/>
          <w:sz w:val="32"/>
          <w:szCs w:val="32"/>
          <w:highlight w:val="none"/>
          <w:lang w:val="en-US" w:eastAsia="zh-CN" w:bidi="ar-SA"/>
        </w:rPr>
        <w:t>一是</w:t>
      </w:r>
      <w:r>
        <w:rPr>
          <w:rFonts w:hint="default" w:ascii="Times New Roman" w:hAnsi="Times New Roman" w:eastAsia="仿宋_GB2312" w:cs="Times New Roman"/>
          <w:color w:val="auto"/>
          <w:spacing w:val="0"/>
          <w:sz w:val="32"/>
          <w:szCs w:val="32"/>
          <w:highlight w:val="none"/>
          <w:lang w:val="en-US" w:eastAsia="zh-CN"/>
        </w:rPr>
        <w:t>2023年农林水支出（类）水利（款）水资源节约管理与保护预算列入农林水支出-水利工程运行与维护</w:t>
      </w:r>
      <w:r>
        <w:rPr>
          <w:rFonts w:hint="default"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是2023年追加职业年金、年度考核奖、提高基础绩效奖、调增艰边贴等，造成</w:t>
      </w:r>
      <w:r>
        <w:rPr>
          <w:rFonts w:hint="eastAsia" w:ascii="Times New Roman" w:hAnsi="Times New Roman" w:eastAsia="仿宋_GB2312" w:cs="Times New Roman"/>
          <w:color w:val="auto"/>
          <w:kern w:val="2"/>
          <w:sz w:val="32"/>
          <w:szCs w:val="32"/>
          <w:highlight w:val="none"/>
          <w:lang w:val="en-US" w:eastAsia="zh-CN" w:bidi="ar-SA"/>
        </w:rPr>
        <w:t>水利工程运行与维护较上年增长7.72%。</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9.农林水支出（类）水利（款）水利技术推广（项）:支出决算数为50.00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自治区财政追加2023年</w:t>
      </w:r>
      <w:r>
        <w:rPr>
          <w:rFonts w:hint="eastAsia" w:ascii="Times New Roman" w:hAnsi="Times New Roman" w:eastAsia="仿宋_GB2312" w:cs="Times New Roman"/>
          <w:color w:val="auto"/>
          <w:kern w:val="2"/>
          <w:sz w:val="32"/>
          <w:szCs w:val="32"/>
          <w:highlight w:val="none"/>
          <w:lang w:val="en-US" w:eastAsia="zh-CN" w:bidi="ar-SA"/>
        </w:rPr>
        <w:t>水利技术推广</w:t>
      </w:r>
      <w:r>
        <w:rPr>
          <w:rFonts w:hint="eastAsia" w:eastAsia="仿宋_GB2312" w:cs="Times New Roman"/>
          <w:color w:val="auto"/>
          <w:kern w:val="2"/>
          <w:sz w:val="32"/>
          <w:szCs w:val="32"/>
          <w:highlight w:val="none"/>
          <w:lang w:val="en-US" w:eastAsia="zh-CN" w:bidi="ar-SA"/>
        </w:rPr>
        <w:t>50万元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10.社会保障和就业支出（类）行政事业单位养老支出（款）事业单位离退休（项）:支出决算数为152.39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12.93%，主要原因是：</w:t>
      </w:r>
      <w:r>
        <w:rPr>
          <w:rFonts w:hint="default" w:ascii="Times New Roman" w:hAnsi="Times New Roman" w:eastAsia="仿宋_GB2312" w:cs="Times New Roman"/>
          <w:color w:val="auto"/>
          <w:spacing w:val="0"/>
          <w:sz w:val="32"/>
          <w:szCs w:val="32"/>
          <w:highlight w:val="none"/>
          <w:lang w:val="en-US" w:eastAsia="zh-CN"/>
        </w:rPr>
        <w:t>2023年公益性人员社会保障和就业支出（类）行政事业单位养老支出（款）机关事业单位基本养老保险缴费支出未列入财政拨款基本支出</w:t>
      </w:r>
      <w:r>
        <w:rPr>
          <w:rFonts w:hint="default"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11.社会保障和就业支出（类）行政事业单位养老支出（款）行政单位离退休（项）:支出决算数为93.47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30.81%，主要原因是：</w:t>
      </w:r>
      <w:r>
        <w:rPr>
          <w:rFonts w:hint="eastAsia" w:eastAsia="仿宋_GB2312" w:cs="Times New Roman"/>
          <w:color w:val="auto"/>
          <w:kern w:val="2"/>
          <w:sz w:val="32"/>
          <w:szCs w:val="32"/>
          <w:highlight w:val="none"/>
          <w:lang w:val="en-US" w:eastAsia="zh-CN" w:bidi="ar-SA"/>
        </w:rPr>
        <w:t>塔里木河流域管理局机关退休人员较上年减少，造成</w:t>
      </w:r>
      <w:r>
        <w:rPr>
          <w:rFonts w:hint="eastAsia" w:ascii="Times New Roman" w:hAnsi="Times New Roman" w:eastAsia="仿宋_GB2312" w:cs="Times New Roman"/>
          <w:color w:val="auto"/>
          <w:kern w:val="2"/>
          <w:sz w:val="32"/>
          <w:szCs w:val="32"/>
          <w:highlight w:val="none"/>
          <w:lang w:val="en-US" w:eastAsia="zh-CN" w:bidi="ar-SA"/>
        </w:rPr>
        <w:t>行政单位离退休较上年</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30.81%。</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12.农林水支出（类）水利（款）水土保持（项）:支出决算数为75.00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自治区财政追加2023年</w:t>
      </w:r>
      <w:r>
        <w:rPr>
          <w:rFonts w:hint="eastAsia" w:ascii="Times New Roman" w:hAnsi="Times New Roman" w:eastAsia="仿宋_GB2312" w:cs="Times New Roman"/>
          <w:color w:val="auto"/>
          <w:kern w:val="2"/>
          <w:sz w:val="32"/>
          <w:szCs w:val="32"/>
          <w:highlight w:val="none"/>
          <w:lang w:val="en-US" w:eastAsia="zh-CN" w:bidi="ar-SA"/>
        </w:rPr>
        <w:t>水土保持</w:t>
      </w:r>
      <w:r>
        <w:rPr>
          <w:rFonts w:hint="eastAsia" w:eastAsia="仿宋_GB2312" w:cs="Times New Roman"/>
          <w:color w:val="auto"/>
          <w:kern w:val="2"/>
          <w:sz w:val="32"/>
          <w:szCs w:val="32"/>
          <w:highlight w:val="none"/>
          <w:lang w:val="en-US" w:eastAsia="zh-CN" w:bidi="ar-SA"/>
        </w:rPr>
        <w:t>75万元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13.农林水支出（类）水利（款）水资源节约管理与保护（项）:支出决算数为1,525.52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832.00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119.97%，主要原因是：</w:t>
      </w:r>
      <w:r>
        <w:rPr>
          <w:rFonts w:hint="eastAsia" w:eastAsia="仿宋_GB2312" w:cs="Times New Roman"/>
          <w:color w:val="auto"/>
          <w:kern w:val="2"/>
          <w:sz w:val="32"/>
          <w:szCs w:val="32"/>
          <w:highlight w:val="none"/>
          <w:lang w:val="en-US" w:eastAsia="zh-CN" w:bidi="ar-SA"/>
        </w:rPr>
        <w:t>2023年将</w:t>
      </w:r>
      <w:r>
        <w:rPr>
          <w:rFonts w:hint="eastAsia" w:ascii="Times New Roman" w:hAnsi="Times New Roman" w:eastAsia="仿宋_GB2312" w:cs="Times New Roman"/>
          <w:color w:val="auto"/>
          <w:kern w:val="2"/>
          <w:sz w:val="32"/>
          <w:szCs w:val="32"/>
          <w:highlight w:val="none"/>
          <w:lang w:val="en-US" w:eastAsia="zh-CN" w:bidi="ar-SA"/>
        </w:rPr>
        <w:t>农林水支出（类）水利（款）</w:t>
      </w:r>
      <w:r>
        <w:rPr>
          <w:rFonts w:hint="eastAsia" w:eastAsia="仿宋_GB2312" w:cs="Times New Roman"/>
          <w:color w:val="auto"/>
          <w:kern w:val="2"/>
          <w:sz w:val="32"/>
          <w:szCs w:val="32"/>
          <w:highlight w:val="none"/>
          <w:lang w:val="en-US" w:eastAsia="zh-CN" w:bidi="ar-SA"/>
        </w:rPr>
        <w:t>水利工程运行与维护</w:t>
      </w:r>
      <w:r>
        <w:rPr>
          <w:rFonts w:hint="eastAsia" w:ascii="Times New Roman" w:hAnsi="Times New Roman" w:eastAsia="仿宋_GB2312" w:cs="Times New Roman"/>
          <w:color w:val="auto"/>
          <w:kern w:val="2"/>
          <w:sz w:val="32"/>
          <w:szCs w:val="32"/>
          <w:highlight w:val="none"/>
          <w:lang w:val="en-US" w:eastAsia="zh-CN" w:bidi="ar-SA"/>
        </w:rPr>
        <w:t>（项）调整至农林水支出（类）水利（款）水资源节约管理与保护（项），造成水资源节约管理与保护较上年支出增长</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119.97%</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14.农林水支出（类）水利（款）信息管理（项）:支出决算数为423.10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171.62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68.25%，主要原因是：</w:t>
      </w:r>
      <w:r>
        <w:rPr>
          <w:rFonts w:hint="eastAsia" w:eastAsia="仿宋_GB2312" w:cs="Times New Roman"/>
          <w:color w:val="auto"/>
          <w:kern w:val="2"/>
          <w:sz w:val="32"/>
          <w:szCs w:val="32"/>
          <w:highlight w:val="none"/>
          <w:lang w:val="en-US" w:eastAsia="zh-CN" w:bidi="ar-SA"/>
        </w:rPr>
        <w:t>2023年塔管局信息中心</w:t>
      </w:r>
      <w:r>
        <w:rPr>
          <w:rFonts w:hint="eastAsia" w:ascii="Times New Roman" w:hAnsi="Times New Roman" w:eastAsia="仿宋_GB2312" w:cs="Times New Roman"/>
          <w:color w:val="auto"/>
          <w:kern w:val="2"/>
          <w:sz w:val="32"/>
          <w:szCs w:val="32"/>
          <w:highlight w:val="none"/>
          <w:lang w:val="en-US" w:eastAsia="zh-CN" w:bidi="ar-SA"/>
        </w:rPr>
        <w:t>农林水支出（类）水利（款）信息管理（项）预算较上年增长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15.农林水支出（类）水利（款）其他水利支出（项）:支出决算数为886.76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723.52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443.22%，主要原因是：</w:t>
      </w:r>
      <w:r>
        <w:rPr>
          <w:rFonts w:hint="eastAsia" w:eastAsia="仿宋_GB2312" w:cs="Times New Roman"/>
          <w:color w:val="auto"/>
          <w:kern w:val="2"/>
          <w:sz w:val="32"/>
          <w:szCs w:val="32"/>
          <w:highlight w:val="none"/>
          <w:lang w:val="en-US" w:eastAsia="zh-CN" w:bidi="ar-SA"/>
        </w:rPr>
        <w:t>2023年塔里木河流域和田管理局</w:t>
      </w:r>
      <w:r>
        <w:rPr>
          <w:rFonts w:hint="eastAsia" w:ascii="Times New Roman" w:hAnsi="Times New Roman" w:eastAsia="仿宋_GB2312" w:cs="Times New Roman"/>
          <w:color w:val="auto"/>
          <w:kern w:val="2"/>
          <w:sz w:val="32"/>
          <w:szCs w:val="32"/>
          <w:highlight w:val="none"/>
          <w:lang w:val="en-US" w:eastAsia="zh-CN" w:bidi="ar-SA"/>
        </w:rPr>
        <w:t>农林水支出（类）水利（款）其他水利支出（项）预算较上年增长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16.社会保障和就业支出（类）行政事业单位养老支出（款）机关事业单位职业年金缴费支出（项）:支出决算数为73.17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17.77%，主要原因是：</w:t>
      </w:r>
      <w:r>
        <w:rPr>
          <w:rFonts w:hint="eastAsia" w:eastAsia="仿宋_GB2312" w:cs="Times New Roman"/>
          <w:color w:val="auto"/>
          <w:kern w:val="2"/>
          <w:sz w:val="32"/>
          <w:szCs w:val="32"/>
          <w:highlight w:val="none"/>
          <w:lang w:val="en-US" w:eastAsia="zh-CN" w:bidi="ar-SA"/>
        </w:rPr>
        <w:t>塔里木河流域管理局局机关2023年度退休人员减少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17.社会保障和就业支出（类）行政事业单位养老支出（款）机关事业单位基本养老保险缴费支出（项）:支出决算数为850.74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197.77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18.86%，主要原因是：</w:t>
      </w:r>
      <w:r>
        <w:rPr>
          <w:rFonts w:hint="default" w:ascii="Times New Roman" w:hAnsi="Times New Roman" w:eastAsia="仿宋_GB2312" w:cs="Times New Roman"/>
          <w:color w:val="auto"/>
          <w:spacing w:val="0"/>
          <w:sz w:val="32"/>
          <w:szCs w:val="32"/>
          <w:highlight w:val="none"/>
          <w:lang w:val="en-US" w:eastAsia="zh-CN"/>
        </w:rPr>
        <w:t>2023年公益性人员</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w:t>
      </w:r>
      <w:r>
        <w:rPr>
          <w:rFonts w:hint="default" w:ascii="Times New Roman" w:hAnsi="Times New Roman" w:eastAsia="仿宋_GB2312" w:cs="Times New Roman"/>
          <w:color w:val="auto"/>
          <w:spacing w:val="0"/>
          <w:sz w:val="32"/>
          <w:szCs w:val="32"/>
          <w:highlight w:val="none"/>
          <w:lang w:val="en-US" w:eastAsia="zh-CN"/>
        </w:rPr>
        <w:t>支出未列入财政拨款基本支出</w:t>
      </w:r>
      <w:r>
        <w:rPr>
          <w:rFonts w:hint="default" w:ascii="Times New Roman" w:hAnsi="Times New Roman" w:eastAsia="仿宋_GB2312" w:cs="Times New Roman"/>
          <w:color w:val="auto"/>
          <w:spacing w:val="0"/>
          <w:sz w:val="32"/>
          <w:szCs w:val="32"/>
          <w:highlight w:val="none"/>
          <w:lang w:val="zh-CN" w:eastAsia="zh-CN"/>
        </w:rPr>
        <w:t>。</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18.农林水支出（类）水利（款）水利执法监督（项）:支出决算数为147.56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9.98%，主要原因是：</w:t>
      </w:r>
      <w:r>
        <w:rPr>
          <w:rFonts w:hint="eastAsia" w:eastAsia="仿宋_GB2312" w:cs="Times New Roman"/>
          <w:color w:val="auto"/>
          <w:kern w:val="2"/>
          <w:sz w:val="32"/>
          <w:szCs w:val="32"/>
          <w:highlight w:val="none"/>
          <w:lang w:val="en-US" w:eastAsia="zh-CN" w:bidi="ar-SA"/>
        </w:rPr>
        <w:t>2023年塔里木河流域水政监察分队</w:t>
      </w:r>
      <w:r>
        <w:rPr>
          <w:rFonts w:hint="eastAsia" w:ascii="Times New Roman" w:hAnsi="Times New Roman" w:eastAsia="仿宋_GB2312" w:cs="Times New Roman"/>
          <w:color w:val="auto"/>
          <w:kern w:val="2"/>
          <w:sz w:val="32"/>
          <w:szCs w:val="32"/>
          <w:highlight w:val="none"/>
          <w:lang w:val="en-US" w:eastAsia="zh-CN" w:bidi="ar-SA"/>
        </w:rPr>
        <w:t>农林水支出（类）水利（款）水利执法监督（项）预算较上年增长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19.其他支出（类）其他支出（款）其他支出（项）:支出决算数为5,567.29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2,188.29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64.76%，主要原因是：</w:t>
      </w:r>
      <w:r>
        <w:rPr>
          <w:rFonts w:hint="eastAsia" w:eastAsia="仿宋_GB2312" w:cs="Times New Roman"/>
          <w:color w:val="auto"/>
          <w:kern w:val="2"/>
          <w:sz w:val="32"/>
          <w:szCs w:val="32"/>
          <w:highlight w:val="none"/>
          <w:lang w:val="en-US" w:eastAsia="zh-CN" w:bidi="ar-SA"/>
        </w:rPr>
        <w:t>2023年自治区财政安排的基本建设项目资金增加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14,882.82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14,179.45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703.36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办公费、印刷费、水费、电费、邮电费、取暖费、物业管理费、差旅费、公务接待费、委托业务费、工会经费、福利费、公务用车运行维护费、其他交通费用、其他商品和服务支出。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“三公”经费支出48.93万元，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减少26.56万元，</w:t>
      </w:r>
      <w:r>
        <w:rPr>
          <w:rFonts w:hint="eastAsia" w:ascii="仿宋_GB2312" w:eastAsia="仿宋_GB2312"/>
          <w:color w:val="auto"/>
          <w:spacing w:val="0"/>
          <w:sz w:val="32"/>
          <w:szCs w:val="32"/>
          <w:highlight w:val="none"/>
          <w:lang w:val="en-US" w:eastAsia="zh-CN"/>
        </w:rPr>
        <w:t>下降35.19%,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按照三公经费“只减不增”原则，严控</w:t>
      </w:r>
      <w:r>
        <w:rPr>
          <w:rFonts w:hint="eastAsia" w:ascii="仿宋_GB2312" w:eastAsia="仿宋_GB2312"/>
          <w:color w:val="auto"/>
          <w:sz w:val="32"/>
          <w:szCs w:val="32"/>
          <w:highlight w:val="none"/>
          <w:lang w:val="zh-CN" w:eastAsia="zh-CN"/>
        </w:rPr>
        <w:t>“三公”经费支出，公务用车购置及运行维护费</w:t>
      </w:r>
      <w:r>
        <w:rPr>
          <w:rFonts w:hint="eastAsia" w:ascii="仿宋_GB2312" w:eastAsia="仿宋_GB2312"/>
          <w:color w:val="auto"/>
          <w:sz w:val="32"/>
          <w:szCs w:val="32"/>
          <w:highlight w:val="none"/>
          <w:lang w:val="en-US" w:eastAsia="zh-CN"/>
        </w:rPr>
        <w:t>较上年减少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我单位2023年与2022年均无</w:t>
      </w:r>
      <w:r>
        <w:rPr>
          <w:rFonts w:hint="eastAsia" w:ascii="仿宋_GB2312" w:eastAsia="仿宋_GB2312"/>
          <w:color w:val="auto"/>
          <w:sz w:val="32"/>
          <w:szCs w:val="32"/>
          <w:highlight w:val="none"/>
          <w:lang w:val="zh-CN" w:eastAsia="zh-CN"/>
        </w:rPr>
        <w:t>因公出国（境）费支出；公务用车购置及运行维护费支出47.19万元，占96.45%，比上年减少27.78万元，</w:t>
      </w:r>
      <w:r>
        <w:rPr>
          <w:rFonts w:hint="eastAsia" w:ascii="仿宋_GB2312" w:eastAsia="仿宋_GB2312"/>
          <w:color w:val="auto"/>
          <w:spacing w:val="0"/>
          <w:sz w:val="32"/>
          <w:szCs w:val="32"/>
          <w:highlight w:val="none"/>
          <w:lang w:val="en-US" w:eastAsia="zh-CN"/>
        </w:rPr>
        <w:t>下降37.05%,</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按照三公经费“只减不增”原则，严控</w:t>
      </w:r>
      <w:r>
        <w:rPr>
          <w:rFonts w:hint="eastAsia" w:ascii="仿宋_GB2312" w:eastAsia="仿宋_GB2312"/>
          <w:color w:val="auto"/>
          <w:sz w:val="32"/>
          <w:szCs w:val="32"/>
          <w:highlight w:val="none"/>
          <w:lang w:val="zh-CN" w:eastAsia="zh-CN"/>
        </w:rPr>
        <w:t>“三公”经费支出，公务用车购置及运行维护费</w:t>
      </w:r>
      <w:r>
        <w:rPr>
          <w:rFonts w:hint="eastAsia" w:ascii="仿宋_GB2312" w:eastAsia="仿宋_GB2312"/>
          <w:color w:val="auto"/>
          <w:sz w:val="32"/>
          <w:szCs w:val="32"/>
          <w:highlight w:val="none"/>
          <w:lang w:val="en-US" w:eastAsia="zh-CN"/>
        </w:rPr>
        <w:t>较上年减少。</w:t>
      </w:r>
      <w:r>
        <w:rPr>
          <w:rFonts w:hint="eastAsia" w:ascii="仿宋_GB2312" w:eastAsia="仿宋_GB2312"/>
          <w:color w:val="auto"/>
          <w:sz w:val="32"/>
          <w:szCs w:val="32"/>
          <w:highlight w:val="none"/>
          <w:lang w:val="zh-CN" w:eastAsia="zh-CN"/>
        </w:rPr>
        <w:t>公务接待费支出1.74万元，占3.55%，比上年增加1.22万元，</w:t>
      </w:r>
      <w:r>
        <w:rPr>
          <w:rFonts w:hint="eastAsia" w:ascii="仿宋_GB2312" w:eastAsia="仿宋_GB2312"/>
          <w:color w:val="auto"/>
          <w:spacing w:val="0"/>
          <w:sz w:val="32"/>
          <w:szCs w:val="32"/>
          <w:highlight w:val="none"/>
          <w:lang w:val="en-US" w:eastAsia="zh-CN"/>
        </w:rPr>
        <w:t>增长234.62%,</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default" w:ascii="仿宋_GB2312" w:eastAsia="仿宋_GB2312"/>
          <w:color w:val="auto"/>
          <w:spacing w:val="0"/>
          <w:sz w:val="32"/>
          <w:szCs w:val="32"/>
          <w:highlight w:val="none"/>
          <w:lang w:val="en-US" w:eastAsia="zh-CN"/>
        </w:rPr>
        <w:t>塔管局系统所有水管单位水费账务和财政账务合账</w:t>
      </w:r>
      <w:r>
        <w:rPr>
          <w:rFonts w:hint="eastAsia" w:ascii="仿宋_GB2312" w:eastAsia="仿宋_GB2312"/>
          <w:color w:val="auto"/>
          <w:spacing w:val="0"/>
          <w:sz w:val="32"/>
          <w:szCs w:val="32"/>
          <w:highlight w:val="none"/>
          <w:lang w:val="en-US" w:eastAsia="zh-CN"/>
        </w:rPr>
        <w:t>，造成公务接待较上年增长。</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公务用车购置及运行维护费47.19万元，其中：公务用车购置费0.00万元，公务用车运行维护费47.19万元。公务用车运行维护费开支内容包括</w:t>
      </w:r>
      <w:r>
        <w:rPr>
          <w:rFonts w:hint="eastAsia" w:ascii="仿宋_GB2312" w:eastAsia="仿宋_GB2312"/>
          <w:color w:val="auto"/>
          <w:sz w:val="32"/>
          <w:szCs w:val="32"/>
          <w:highlight w:val="none"/>
          <w:lang w:val="en-US" w:eastAsia="zh-CN"/>
        </w:rPr>
        <w:t>公务用车燃料费、公务用车维修费、过桥过路费、保险费等</w:t>
      </w:r>
      <w:r>
        <w:rPr>
          <w:rFonts w:hint="eastAsia" w:ascii="仿宋_GB2312" w:eastAsia="仿宋_GB2312"/>
          <w:color w:val="auto"/>
          <w:sz w:val="32"/>
          <w:szCs w:val="32"/>
          <w:highlight w:val="none"/>
          <w:lang w:val="zh-CN" w:eastAsia="zh-CN"/>
        </w:rPr>
        <w:t>。公务用车购置数0辆，公务用车保有量92辆。国有资产占用情况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172辆，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一是2023年购买的特种专业技术用车，暂时未办理公务用车登记手续</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二是</w:t>
      </w:r>
      <w:r>
        <w:rPr>
          <w:rFonts w:hint="default" w:ascii="仿宋_GB2312" w:eastAsia="仿宋_GB2312"/>
          <w:color w:val="auto"/>
          <w:spacing w:val="0"/>
          <w:sz w:val="32"/>
          <w:szCs w:val="32"/>
          <w:highlight w:val="none"/>
          <w:lang w:val="en-US" w:eastAsia="zh-CN"/>
        </w:rPr>
        <w:t>根据《财政部、住房城乡建设部、工业和信息化部、公安部、交通运输部、水利部进一步加强市政基础设施政府会计核算的通知》（财会〔2022〕38号）要求，塔管局系统所有水管单位水费账务和财政账务合账</w:t>
      </w:r>
      <w:r>
        <w:rPr>
          <w:rFonts w:hint="eastAsia" w:ascii="仿宋_GB2312" w:eastAsia="仿宋_GB2312"/>
          <w:color w:val="auto"/>
          <w:spacing w:val="0"/>
          <w:sz w:val="32"/>
          <w:szCs w:val="32"/>
          <w:highlight w:val="none"/>
          <w:lang w:val="en-US" w:eastAsia="zh-CN"/>
        </w:rPr>
        <w:t>，水管单位资产并入</w:t>
      </w:r>
      <w:r>
        <w:rPr>
          <w:rFonts w:hint="default" w:ascii="Times New Roman" w:hAnsi="Times New Roman" w:eastAsia="仿宋_GB2312" w:cs="Times New Roman"/>
          <w:color w:val="auto"/>
          <w:sz w:val="32"/>
          <w:szCs w:val="32"/>
          <w:highlight w:val="none"/>
          <w:lang w:val="en-US" w:eastAsia="zh-CN"/>
        </w:rPr>
        <w:t>财政资产一体化系统所导致</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公务接待费1.74万元，开支内容包括</w:t>
      </w:r>
      <w:r>
        <w:rPr>
          <w:rFonts w:hint="eastAsia" w:ascii="仿宋_GB2312" w:eastAsia="仿宋_GB2312"/>
          <w:color w:val="auto"/>
          <w:sz w:val="32"/>
          <w:szCs w:val="32"/>
          <w:highlight w:val="none"/>
          <w:lang w:val="en-US" w:eastAsia="zh-CN"/>
        </w:rPr>
        <w:t>餐饮接待等</w:t>
      </w:r>
      <w:r>
        <w:rPr>
          <w:rFonts w:hint="eastAsia" w:ascii="仿宋_GB2312" w:eastAsia="仿宋_GB2312"/>
          <w:color w:val="auto"/>
          <w:sz w:val="32"/>
          <w:szCs w:val="32"/>
          <w:highlight w:val="none"/>
          <w:lang w:val="zh-CN" w:eastAsia="zh-CN"/>
        </w:rPr>
        <w:t>。单位全年安排的国内公务接待18批次，245人次。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预算数49.03万元，决算数48.93万元，预决算差异率-0.20%，主要原因是：</w:t>
      </w:r>
      <w:r>
        <w:rPr>
          <w:rFonts w:hint="eastAsia" w:ascii="仿宋_GB2312" w:eastAsia="仿宋_GB2312"/>
          <w:color w:val="auto"/>
          <w:sz w:val="32"/>
          <w:szCs w:val="32"/>
          <w:highlight w:val="none"/>
          <w:lang w:val="en-US" w:eastAsia="zh-CN"/>
        </w:rPr>
        <w:t>公务接接待费略有结余，造成</w:t>
      </w:r>
      <w:r>
        <w:rPr>
          <w:rFonts w:hint="eastAsia" w:ascii="仿宋_GB2312" w:eastAsia="仿宋_GB2312"/>
          <w:color w:val="auto"/>
          <w:sz w:val="32"/>
          <w:szCs w:val="32"/>
          <w:highlight w:val="none"/>
          <w:lang w:val="zh-CN" w:eastAsia="zh-CN"/>
        </w:rPr>
        <w:t>预决算差异率-0.20%。其中：因公出国（境）费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2023年未发生公务接待费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2023年未发生</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预算数47.19万元，决算数47.19万元，预决算差异率0.00%，主要原因是：</w:t>
      </w:r>
      <w:r>
        <w:rPr>
          <w:rFonts w:hint="eastAsia" w:ascii="仿宋_GB2312" w:eastAsia="仿宋_GB2312"/>
          <w:color w:val="auto"/>
          <w:sz w:val="32"/>
          <w:szCs w:val="32"/>
          <w:highlight w:val="none"/>
          <w:lang w:val="en-US" w:eastAsia="zh-CN"/>
        </w:rPr>
        <w:t>我单位2023年</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支出无调整</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预算数1.84万元，决算数1.74万元，预决算差异率-5.45%，主要原因是：</w:t>
      </w:r>
      <w:r>
        <w:rPr>
          <w:rFonts w:hint="eastAsia" w:ascii="仿宋_GB2312" w:eastAsia="仿宋_GB2312"/>
          <w:color w:val="auto"/>
          <w:sz w:val="32"/>
          <w:szCs w:val="32"/>
          <w:highlight w:val="none"/>
          <w:lang w:val="en-US" w:eastAsia="zh-CN"/>
        </w:rPr>
        <w:t>2023年公务接待费略有结余，0.1万元未支出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r>
        <w:rPr>
          <w:rFonts w:hint="eastAsia" w:ascii="仿宋_GB2312"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新疆维吾尔自治区塔里木河流域管理局（行政单位和参照公务员法管理事业单位）机关运行经费支出211.46万元，</w:t>
      </w:r>
      <w:r>
        <w:rPr>
          <w:rFonts w:hint="eastAsia" w:ascii="Times New Roman" w:hAnsi="Times New Roman" w:eastAsia="仿宋_GB2312" w:cs="Times New Roman"/>
          <w:color w:val="auto"/>
          <w:sz w:val="32"/>
          <w:szCs w:val="32"/>
          <w:highlight w:val="none"/>
          <w:lang w:val="zh-CN" w:eastAsia="zh-CN"/>
        </w:rPr>
        <w:t>比上年减少5.30万元，下降2.44%，主要原因是：</w:t>
      </w:r>
      <w:r>
        <w:rPr>
          <w:rFonts w:hint="eastAsia" w:ascii="Times New Roman" w:hAnsi="Times New Roman" w:eastAsia="仿宋_GB2312" w:cs="Times New Roman"/>
          <w:color w:val="auto"/>
          <w:sz w:val="32"/>
          <w:szCs w:val="32"/>
          <w:highlight w:val="none"/>
          <w:lang w:val="en-US" w:eastAsia="zh-CN"/>
        </w:rPr>
        <w:t>因部门预算申报更加精细准确，如办公费、取暖费等公用经费在申报预算时，按照单位人数、相对应的标准等自动取数，所以2023年机关运行经费支出较2022年相比</w:t>
      </w:r>
      <w:r>
        <w:rPr>
          <w:rFonts w:hint="eastAsia" w:eastAsia="仿宋_GB2312" w:cs="Times New Roman"/>
          <w:color w:val="auto"/>
          <w:sz w:val="32"/>
          <w:szCs w:val="32"/>
          <w:highlight w:val="none"/>
          <w:lang w:val="en-US"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新疆维吾尔自治区塔里木河流域管理局（事业单位）</w:t>
      </w:r>
      <w:r>
        <w:rPr>
          <w:rFonts w:hint="eastAsia" w:eastAsia="仿宋_GB2312" w:cs="Times New Roman"/>
          <w:color w:val="auto"/>
          <w:sz w:val="32"/>
          <w:szCs w:val="32"/>
          <w:highlight w:val="none"/>
          <w:lang w:val="en-US" w:eastAsia="zh-CN"/>
        </w:rPr>
        <w:t>公用经费491.90万元,</w:t>
      </w:r>
      <w:r>
        <w:rPr>
          <w:rFonts w:hint="eastAsia" w:ascii="Times New Roman" w:hAnsi="Times New Roman" w:eastAsia="仿宋_GB2312" w:cs="Times New Roman"/>
          <w:color w:val="auto"/>
          <w:sz w:val="32"/>
          <w:szCs w:val="32"/>
          <w:highlight w:val="none"/>
          <w:lang w:val="zh-CN" w:eastAsia="zh-CN"/>
        </w:rPr>
        <w:t>比上年</w:t>
      </w:r>
      <w:r>
        <w:rPr>
          <w:rFonts w:hint="eastAsia" w:eastAsia="仿宋_GB2312" w:cs="Times New Roman"/>
          <w:color w:val="auto"/>
          <w:sz w:val="32"/>
          <w:szCs w:val="32"/>
          <w:highlight w:val="none"/>
          <w:lang w:val="en-US" w:eastAsia="zh-CN"/>
        </w:rPr>
        <w:t>增加17.15</w:t>
      </w:r>
      <w:r>
        <w:rPr>
          <w:rFonts w:hint="eastAsia" w:ascii="Times New Roman" w:hAnsi="Times New Roman" w:eastAsia="仿宋_GB2312" w:cs="Times New Roman"/>
          <w:color w:val="auto"/>
          <w:sz w:val="32"/>
          <w:szCs w:val="32"/>
          <w:highlight w:val="none"/>
          <w:lang w:val="zh-CN" w:eastAsia="zh-CN"/>
        </w:rPr>
        <w:t>万元，</w:t>
      </w:r>
      <w:r>
        <w:rPr>
          <w:rFonts w:hint="eastAsia" w:eastAsia="仿宋_GB2312" w:cs="Times New Roman"/>
          <w:color w:val="auto"/>
          <w:sz w:val="32"/>
          <w:szCs w:val="32"/>
          <w:highlight w:val="none"/>
          <w:lang w:val="en-US" w:eastAsia="zh-CN"/>
        </w:rPr>
        <w:t>增长3</w:t>
      </w:r>
      <w:r>
        <w:rPr>
          <w:rFonts w:hint="eastAsia" w:ascii="Times New Roman" w:hAnsi="Times New Roman" w:eastAsia="仿宋_GB2312" w:cs="Times New Roman"/>
          <w:color w:val="auto"/>
          <w:sz w:val="32"/>
          <w:szCs w:val="32"/>
          <w:highlight w:val="none"/>
          <w:lang w:val="zh-CN" w:eastAsia="zh-CN"/>
        </w:rPr>
        <w:t>.</w:t>
      </w:r>
      <w:r>
        <w:rPr>
          <w:rFonts w:hint="eastAsia" w:eastAsia="仿宋_GB2312" w:cs="Times New Roman"/>
          <w:color w:val="auto"/>
          <w:sz w:val="32"/>
          <w:szCs w:val="32"/>
          <w:highlight w:val="none"/>
          <w:lang w:val="en-US" w:eastAsia="zh-CN"/>
        </w:rPr>
        <w:t>61</w:t>
      </w:r>
      <w:bookmarkStart w:id="48" w:name="_GoBack"/>
      <w:bookmarkEnd w:id="48"/>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委托业务费较上年增长。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131,361.02万元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其中：政府采购货物支出3,302.43万元、政府采购工程支出117,499.32万元、政府采购服务支出10,559.28万元。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授予中小企业合同金额129,376.11万元，占政府采购支出总额的98.49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，其中：授予小微企业合同金额126,659.94万元，占政府采购支出总额的96.42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143,232.51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屋850230.99平方米，价值34,306.00万元。车辆172辆，价值4,739.42万元，其中：副部（省）级及以上领导用车0辆、主要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用车0辆、机要通信用车0辆、应急保障用车0辆、执法执勤用车0辆、特种专业技术用车34辆、离退休干部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用车0辆、其他用车138辆，其他用车主要是：</w:t>
      </w:r>
      <w:r>
        <w:rPr>
          <w:rFonts w:hint="eastAsia" w:eastAsia="仿宋_GB2312" w:cs="Times New Roman"/>
          <w:color w:val="auto"/>
          <w:sz w:val="32"/>
          <w:szCs w:val="32"/>
          <w:highlight w:val="none"/>
          <w:lang w:val="en-US" w:eastAsia="zh-CN"/>
        </w:rPr>
        <w:t>一般公务用车</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单价100万元（含）以上设备（不含车辆）49</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ageBreakBefore w:val="0"/>
        <w:numPr>
          <w:ilvl w:val="0"/>
          <w:numId w:val="0"/>
        </w:numPr>
        <w:kinsoku/>
        <w:wordWrap/>
        <w:overflowPunct/>
        <w:topLinePunct w:val="0"/>
        <w:autoSpaceDE/>
        <w:autoSpaceDN/>
        <w:bidi w:val="0"/>
        <w:adjustRightInd/>
        <w:spacing w:line="560" w:lineRule="exact"/>
        <w:ind w:left="0" w:leftChars="0" w:right="0" w:rightChars="0"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w:t>
      </w:r>
      <w:r>
        <w:rPr>
          <w:rFonts w:hint="eastAsia" w:ascii="仿宋_GB2312" w:eastAsia="仿宋_GB2312"/>
          <w:color w:val="auto"/>
          <w:sz w:val="32"/>
          <w:szCs w:val="32"/>
          <w:highlight w:val="none"/>
          <w:lang w:val="en-US" w:eastAsia="zh-CN"/>
        </w:rPr>
        <w:t>我单位2023年开展</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全年预算数5825.24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全年执行数5819.19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一是</w:t>
      </w:r>
      <w:r>
        <w:rPr>
          <w:rFonts w:hint="eastAsia" w:ascii="仿宋_GB2312" w:hAnsi="仿宋_GB2312" w:eastAsia="仿宋_GB2312" w:cs="仿宋_GB2312"/>
          <w:color w:val="auto"/>
          <w:kern w:val="0"/>
          <w:sz w:val="32"/>
          <w:szCs w:val="32"/>
          <w:highlight w:val="none"/>
          <w:lang w:val="en-US" w:eastAsia="zh-CN"/>
        </w:rPr>
        <w:t>坚决扛起政治责任，全力保障国家粮食安全。年初明确“全口径分配+分类供水”配置要求。</w:t>
      </w:r>
      <w:r>
        <w:rPr>
          <w:rFonts w:hint="default" w:ascii="仿宋_GB2312" w:hAnsi="仿宋_GB2312" w:eastAsia="仿宋_GB2312" w:cs="仿宋_GB2312"/>
          <w:color w:val="auto"/>
          <w:kern w:val="0"/>
          <w:sz w:val="32"/>
          <w:szCs w:val="32"/>
          <w:highlight w:val="none"/>
          <w:lang w:val="en-US" w:eastAsia="zh-CN"/>
        </w:rPr>
        <w:t>将</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五源流</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预测来水276.8亿立方米进行全口径分配，明确用水总量控制指标</w:t>
      </w:r>
      <w:r>
        <w:rPr>
          <w:rFonts w:hint="eastAsia" w:ascii="仿宋_GB2312" w:hAnsi="仿宋_GB2312" w:eastAsia="仿宋_GB2312" w:cs="仿宋_GB2312"/>
          <w:color w:val="auto"/>
          <w:kern w:val="0"/>
          <w:sz w:val="32"/>
          <w:szCs w:val="32"/>
          <w:highlight w:val="none"/>
          <w:lang w:val="en-US" w:eastAsia="zh-CN"/>
        </w:rPr>
        <w:t>156.3亿立方米</w:t>
      </w:r>
      <w:r>
        <w:rPr>
          <w:rFonts w:hint="default" w:ascii="仿宋_GB2312" w:hAnsi="仿宋_GB2312" w:eastAsia="仿宋_GB2312" w:cs="仿宋_GB2312"/>
          <w:color w:val="auto"/>
          <w:kern w:val="0"/>
          <w:sz w:val="32"/>
          <w:szCs w:val="32"/>
          <w:highlight w:val="none"/>
          <w:lang w:val="en-US" w:eastAsia="zh-CN"/>
        </w:rPr>
        <w:t>、弹性配置水量</w:t>
      </w:r>
      <w:r>
        <w:rPr>
          <w:rFonts w:hint="eastAsia" w:ascii="仿宋_GB2312" w:hAnsi="仿宋_GB2312" w:eastAsia="仿宋_GB2312" w:cs="仿宋_GB2312"/>
          <w:color w:val="auto"/>
          <w:kern w:val="0"/>
          <w:sz w:val="32"/>
          <w:szCs w:val="32"/>
          <w:highlight w:val="none"/>
          <w:lang w:val="en-US" w:eastAsia="zh-CN"/>
        </w:rPr>
        <w:t>15.5亿立方米</w:t>
      </w:r>
      <w:r>
        <w:rPr>
          <w:rFonts w:hint="default" w:ascii="仿宋_GB2312" w:hAnsi="仿宋_GB2312" w:eastAsia="仿宋_GB2312" w:cs="仿宋_GB2312"/>
          <w:color w:val="auto"/>
          <w:kern w:val="0"/>
          <w:sz w:val="32"/>
          <w:szCs w:val="32"/>
          <w:highlight w:val="none"/>
          <w:lang w:val="en-US" w:eastAsia="zh-CN"/>
        </w:rPr>
        <w:t>、生态耗用水量</w:t>
      </w:r>
      <w:r>
        <w:rPr>
          <w:rFonts w:hint="eastAsia" w:ascii="仿宋_GB2312" w:hAnsi="仿宋_GB2312" w:eastAsia="仿宋_GB2312" w:cs="仿宋_GB2312"/>
          <w:color w:val="auto"/>
          <w:kern w:val="0"/>
          <w:sz w:val="32"/>
          <w:szCs w:val="32"/>
          <w:highlight w:val="none"/>
          <w:lang w:val="en-US" w:eastAsia="zh-CN"/>
        </w:rPr>
        <w:t>102亿立方米</w:t>
      </w:r>
      <w:r>
        <w:rPr>
          <w:rFonts w:hint="default" w:ascii="仿宋_GB2312" w:hAnsi="仿宋_GB2312" w:eastAsia="仿宋_GB2312" w:cs="仿宋_GB2312"/>
          <w:color w:val="auto"/>
          <w:kern w:val="0"/>
          <w:sz w:val="32"/>
          <w:szCs w:val="32"/>
          <w:highlight w:val="none"/>
          <w:lang w:val="en-US" w:eastAsia="zh-CN"/>
        </w:rPr>
        <w:t>、下泄水量</w:t>
      </w:r>
      <w:r>
        <w:rPr>
          <w:rFonts w:hint="eastAsia" w:ascii="仿宋_GB2312" w:hAnsi="仿宋_GB2312" w:eastAsia="仿宋_GB2312" w:cs="仿宋_GB2312"/>
          <w:color w:val="auto"/>
          <w:kern w:val="0"/>
          <w:sz w:val="32"/>
          <w:szCs w:val="32"/>
          <w:highlight w:val="none"/>
          <w:lang w:val="en-US" w:eastAsia="zh-CN"/>
        </w:rPr>
        <w:t>3亿立方米，切实把“地表水充分利用、外调水应调尽调、水库水优化配置、地下水合理开采”的要求落到实处，</w:t>
      </w:r>
      <w:r>
        <w:rPr>
          <w:rFonts w:hint="default" w:ascii="仿宋_GB2312" w:hAnsi="仿宋_GB2312" w:eastAsia="仿宋_GB2312" w:cs="仿宋_GB2312"/>
          <w:color w:val="auto"/>
          <w:kern w:val="0"/>
          <w:sz w:val="32"/>
          <w:szCs w:val="32"/>
          <w:highlight w:val="none"/>
          <w:lang w:val="en-US" w:eastAsia="zh-CN"/>
        </w:rPr>
        <w:t>坚持动态管理、弹性配置、调剂使用，系统强化</w:t>
      </w:r>
      <w:r>
        <w:rPr>
          <w:rFonts w:hint="eastAsia" w:ascii="仿宋_GB2312" w:hAnsi="仿宋_GB2312" w:eastAsia="仿宋_GB2312" w:cs="仿宋_GB2312"/>
          <w:color w:val="auto"/>
          <w:kern w:val="0"/>
          <w:sz w:val="32"/>
          <w:szCs w:val="32"/>
          <w:highlight w:val="none"/>
          <w:lang w:val="en-US" w:eastAsia="zh-CN"/>
        </w:rPr>
        <w:t>了</w:t>
      </w:r>
      <w:r>
        <w:rPr>
          <w:rFonts w:hint="default" w:ascii="仿宋_GB2312" w:hAnsi="仿宋_GB2312" w:eastAsia="仿宋_GB2312" w:cs="仿宋_GB2312"/>
          <w:color w:val="auto"/>
          <w:kern w:val="0"/>
          <w:sz w:val="32"/>
          <w:szCs w:val="32"/>
          <w:highlight w:val="none"/>
          <w:lang w:val="en-US" w:eastAsia="zh-CN"/>
        </w:rPr>
        <w:t>水资源集约节约利用</w:t>
      </w:r>
      <w:r>
        <w:rPr>
          <w:rFonts w:hint="eastAsia" w:ascii="仿宋_GB2312" w:hAnsi="仿宋_GB2312" w:eastAsia="仿宋_GB2312" w:cs="仿宋_GB2312"/>
          <w:color w:val="auto"/>
          <w:kern w:val="0"/>
          <w:sz w:val="32"/>
          <w:szCs w:val="32"/>
          <w:highlight w:val="none"/>
          <w:lang w:val="en-US" w:eastAsia="zh-CN"/>
        </w:rPr>
        <w:t>水平</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严格实施“总量保障+弹性配置”水资源调度模式，</w:t>
      </w:r>
      <w:r>
        <w:rPr>
          <w:rFonts w:hint="default" w:ascii="仿宋_GB2312" w:hAnsi="仿宋_GB2312" w:eastAsia="仿宋_GB2312" w:cs="仿宋_GB2312"/>
          <w:color w:val="auto"/>
          <w:kern w:val="0"/>
          <w:sz w:val="32"/>
          <w:szCs w:val="32"/>
          <w:highlight w:val="none"/>
          <w:lang w:val="en-US" w:eastAsia="zh-CN"/>
        </w:rPr>
        <w:t>将流域水资源系统调配和统筹利用与服务保障南疆经济社会发展大局有机结合，水资源调度管理</w:t>
      </w:r>
      <w:r>
        <w:rPr>
          <w:rFonts w:hint="eastAsia" w:ascii="仿宋_GB2312" w:hAnsi="仿宋_GB2312" w:eastAsia="仿宋_GB2312" w:cs="仿宋_GB2312"/>
          <w:color w:val="auto"/>
          <w:kern w:val="0"/>
          <w:sz w:val="32"/>
          <w:szCs w:val="32"/>
          <w:highlight w:val="none"/>
          <w:lang w:val="en-US" w:eastAsia="zh-CN"/>
        </w:rPr>
        <w:t>和农业</w:t>
      </w:r>
      <w:r>
        <w:rPr>
          <w:rFonts w:hint="default" w:ascii="仿宋_GB2312" w:hAnsi="仿宋_GB2312" w:eastAsia="仿宋_GB2312" w:cs="仿宋_GB2312"/>
          <w:color w:val="auto"/>
          <w:kern w:val="0"/>
          <w:sz w:val="32"/>
          <w:szCs w:val="32"/>
          <w:highlight w:val="none"/>
          <w:lang w:val="en-US" w:eastAsia="zh-CN"/>
        </w:rPr>
        <w:t>供水保障实现多目标统筹兼顾、多措施精准优化、多点位协同发力</w:t>
      </w:r>
      <w:r>
        <w:rPr>
          <w:rFonts w:hint="eastAsia" w:ascii="仿宋_GB2312" w:hAnsi="仿宋_GB2312" w:eastAsia="仿宋_GB2312" w:cs="仿宋_GB2312"/>
          <w:color w:val="auto"/>
          <w:kern w:val="0"/>
          <w:sz w:val="32"/>
          <w:szCs w:val="32"/>
          <w:highlight w:val="none"/>
          <w:lang w:val="en-US" w:eastAsia="zh-CN"/>
        </w:rPr>
        <w:t>，取得了来水不及去年、供水超过去年的优异成绩。截至目前，“五源流”实际</w:t>
      </w:r>
      <w:r>
        <w:rPr>
          <w:rFonts w:hint="default" w:ascii="仿宋_GB2312" w:hAnsi="仿宋_GB2312" w:eastAsia="仿宋_GB2312" w:cs="仿宋_GB2312"/>
          <w:color w:val="auto"/>
          <w:kern w:val="0"/>
          <w:sz w:val="32"/>
          <w:szCs w:val="32"/>
          <w:highlight w:val="none"/>
          <w:lang w:val="en-US" w:eastAsia="zh-CN"/>
        </w:rPr>
        <w:t>来水2</w:t>
      </w:r>
      <w:r>
        <w:rPr>
          <w:rFonts w:hint="eastAsia" w:ascii="仿宋_GB2312" w:hAnsi="仿宋_GB2312" w:eastAsia="仿宋_GB2312" w:cs="仿宋_GB2312"/>
          <w:color w:val="auto"/>
          <w:kern w:val="0"/>
          <w:sz w:val="32"/>
          <w:szCs w:val="32"/>
          <w:highlight w:val="none"/>
          <w:lang w:val="en-US" w:eastAsia="zh-CN"/>
        </w:rPr>
        <w:t>82.89</w:t>
      </w:r>
      <w:r>
        <w:rPr>
          <w:rFonts w:hint="default" w:ascii="仿宋_GB2312" w:hAnsi="仿宋_GB2312" w:eastAsia="仿宋_GB2312" w:cs="仿宋_GB2312"/>
          <w:color w:val="auto"/>
          <w:kern w:val="0"/>
          <w:sz w:val="32"/>
          <w:szCs w:val="32"/>
          <w:highlight w:val="none"/>
          <w:lang w:val="en-US" w:eastAsia="zh-CN"/>
        </w:rPr>
        <w:t>亿立方米</w:t>
      </w:r>
      <w:r>
        <w:rPr>
          <w:rFonts w:hint="eastAsia" w:ascii="仿宋_GB2312" w:hAnsi="仿宋_GB2312" w:eastAsia="仿宋_GB2312" w:cs="仿宋_GB2312"/>
          <w:color w:val="auto"/>
          <w:kern w:val="0"/>
          <w:sz w:val="32"/>
          <w:szCs w:val="32"/>
          <w:highlight w:val="none"/>
          <w:lang w:val="en-US" w:eastAsia="zh-CN"/>
        </w:rPr>
        <w:t>，比去年同期少54.07亿立方米；累计供水188.75亿立方米，比去年同期多供5.44亿立方米；累计完成灌溉1.93亿亩次，比去年同期多灌0.18亿亩次，流域实现夏粮面积、总产、单产实现“三增长”，其中，小麦单产较去年增加8.61公斤，瓜菜、油料、林果等普遍增收，为保障国家粮食安全充分贡献“塔河力量”</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自治区党委主要领导</w:t>
      </w:r>
      <w:r>
        <w:rPr>
          <w:rFonts w:hint="default" w:ascii="仿宋_GB2312" w:hAnsi="仿宋_GB2312" w:eastAsia="仿宋_GB2312" w:cs="仿宋_GB2312"/>
          <w:color w:val="auto"/>
          <w:kern w:val="0"/>
          <w:sz w:val="32"/>
          <w:szCs w:val="32"/>
          <w:highlight w:val="none"/>
          <w:lang w:val="en-US" w:eastAsia="zh-CN"/>
        </w:rPr>
        <w:t>在</w:t>
      </w:r>
      <w:r>
        <w:rPr>
          <w:rFonts w:hint="eastAsia" w:ascii="仿宋_GB2312" w:hAnsi="仿宋_GB2312" w:eastAsia="仿宋_GB2312" w:cs="仿宋_GB2312"/>
          <w:color w:val="auto"/>
          <w:kern w:val="0"/>
          <w:sz w:val="32"/>
          <w:szCs w:val="32"/>
          <w:highlight w:val="none"/>
          <w:lang w:val="en-US" w:eastAsia="zh-CN"/>
        </w:rPr>
        <w:t>塔管局</w:t>
      </w:r>
      <w:r>
        <w:rPr>
          <w:rFonts w:hint="default" w:ascii="仿宋_GB2312" w:hAnsi="仿宋_GB2312" w:eastAsia="仿宋_GB2312" w:cs="仿宋_GB2312"/>
          <w:color w:val="auto"/>
          <w:kern w:val="0"/>
          <w:sz w:val="32"/>
          <w:szCs w:val="32"/>
          <w:highlight w:val="none"/>
          <w:lang w:val="en-US" w:eastAsia="zh-CN"/>
        </w:rPr>
        <w:t>2个工作专报上批示</w:t>
      </w:r>
      <w:r>
        <w:rPr>
          <w:rFonts w:hint="eastAsia" w:ascii="仿宋_GB2312" w:hAnsi="仿宋_GB2312" w:eastAsia="仿宋_GB2312" w:cs="仿宋_GB2312"/>
          <w:color w:val="auto"/>
          <w:kern w:val="0"/>
          <w:sz w:val="32"/>
          <w:szCs w:val="32"/>
          <w:highlight w:val="none"/>
          <w:lang w:val="en-US" w:eastAsia="zh-CN"/>
        </w:rPr>
        <w:t>“很好！”</w:t>
      </w:r>
      <w:r>
        <w:rPr>
          <w:rFonts w:hint="default" w:ascii="仿宋_GB2312" w:hAnsi="仿宋_GB2312" w:eastAsia="仿宋_GB2312" w:cs="仿宋_GB2312"/>
          <w:color w:val="auto"/>
          <w:kern w:val="0"/>
          <w:sz w:val="32"/>
          <w:szCs w:val="32"/>
          <w:highlight w:val="none"/>
          <w:lang w:val="en-US" w:eastAsia="zh-CN"/>
        </w:rPr>
        <w:t>。</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二是</w:t>
      </w:r>
      <w:r>
        <w:rPr>
          <w:rFonts w:hint="eastAsia" w:ascii="仿宋_GB2312" w:hAnsi="仿宋_GB2312" w:eastAsia="仿宋_GB2312" w:cs="仿宋_GB2312"/>
          <w:color w:val="auto"/>
          <w:kern w:val="0"/>
          <w:sz w:val="32"/>
          <w:szCs w:val="32"/>
          <w:highlight w:val="none"/>
          <w:lang w:val="en-US" w:eastAsia="zh-CN"/>
        </w:rPr>
        <w:t>创新科学调水思路，全面提升水资源配置水平。按照“区间控制、动态调整、滚动修正”</w:t>
      </w:r>
      <w:r>
        <w:rPr>
          <w:rFonts w:hint="default" w:ascii="仿宋_GB2312" w:hAnsi="仿宋_GB2312" w:eastAsia="仿宋_GB2312" w:cs="仿宋_GB2312"/>
          <w:color w:val="auto"/>
          <w:kern w:val="0"/>
          <w:sz w:val="32"/>
          <w:szCs w:val="32"/>
          <w:highlight w:val="none"/>
          <w:lang w:val="en-US" w:eastAsia="zh-CN"/>
        </w:rPr>
        <w:t>的调度原则</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编制印发《塔里木河流域2023年</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三源流</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下泄水量调度方案》</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各源流协同耦合、联合调度，非汛期要求源流下泄水量，必须保障塔河干流国民经济及生态用水需求。截</w:t>
      </w:r>
      <w:r>
        <w:rPr>
          <w:rFonts w:hint="eastAsia" w:ascii="仿宋_GB2312" w:hAnsi="仿宋_GB2312" w:eastAsia="仿宋_GB2312" w:cs="仿宋_GB2312"/>
          <w:color w:val="auto"/>
          <w:kern w:val="0"/>
          <w:sz w:val="32"/>
          <w:szCs w:val="32"/>
          <w:highlight w:val="none"/>
          <w:lang w:val="en-US" w:eastAsia="zh-CN"/>
        </w:rPr>
        <w:t>至目前</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三源流</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累计下泄56.</w:t>
      </w:r>
      <w:r>
        <w:rPr>
          <w:rFonts w:hint="eastAsia" w:ascii="仿宋_GB2312" w:hAnsi="仿宋_GB2312" w:eastAsia="仿宋_GB2312" w:cs="仿宋_GB2312"/>
          <w:color w:val="auto"/>
          <w:kern w:val="0"/>
          <w:sz w:val="32"/>
          <w:szCs w:val="32"/>
          <w:highlight w:val="none"/>
          <w:lang w:val="en-US" w:eastAsia="zh-CN"/>
        </w:rPr>
        <w:t>41</w:t>
      </w:r>
      <w:r>
        <w:rPr>
          <w:rFonts w:hint="default" w:ascii="仿宋_GB2312" w:hAnsi="仿宋_GB2312" w:eastAsia="仿宋_GB2312" w:cs="仿宋_GB2312"/>
          <w:color w:val="auto"/>
          <w:kern w:val="0"/>
          <w:sz w:val="32"/>
          <w:szCs w:val="32"/>
          <w:highlight w:val="none"/>
          <w:lang w:val="en-US" w:eastAsia="zh-CN"/>
        </w:rPr>
        <w:t>亿立方米，完成年度计划的121</w:t>
      </w:r>
      <w:r>
        <w:rPr>
          <w:rFonts w:hint="eastAsia" w:ascii="仿宋_GB2312" w:hAnsi="仿宋_GB2312" w:eastAsia="仿宋_GB2312" w:cs="仿宋_GB2312"/>
          <w:color w:val="auto"/>
          <w:kern w:val="0"/>
          <w:sz w:val="32"/>
          <w:szCs w:val="32"/>
          <w:highlight w:val="none"/>
          <w:lang w:val="en-US" w:eastAsia="zh-CN"/>
        </w:rPr>
        <w:t>.3</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按照</w:t>
      </w:r>
      <w:r>
        <w:rPr>
          <w:rFonts w:hint="eastAsia" w:ascii="仿宋_GB2312" w:hAnsi="仿宋_GB2312" w:eastAsia="仿宋_GB2312" w:cs="仿宋_GB2312"/>
          <w:color w:val="auto"/>
          <w:kern w:val="0"/>
          <w:sz w:val="32"/>
          <w:szCs w:val="32"/>
          <w:highlight w:val="none"/>
          <w:lang w:val="en-US" w:eastAsia="zh-CN"/>
        </w:rPr>
        <w:t>“以水定地、因地制宜”</w:t>
      </w:r>
      <w:r>
        <w:rPr>
          <w:rFonts w:hint="default" w:ascii="仿宋_GB2312" w:hAnsi="仿宋_GB2312" w:eastAsia="仿宋_GB2312" w:cs="仿宋_GB2312"/>
          <w:color w:val="auto"/>
          <w:kern w:val="0"/>
          <w:sz w:val="32"/>
          <w:szCs w:val="32"/>
          <w:highlight w:val="none"/>
          <w:lang w:val="en-US" w:eastAsia="zh-CN"/>
        </w:rPr>
        <w:t>的原则，相应确定新增耕地粮食种植面积98.12万亩。</w:t>
      </w:r>
      <w:r>
        <w:rPr>
          <w:rFonts w:hint="eastAsia" w:ascii="仿宋_GB2312" w:hAnsi="仿宋_GB2312" w:eastAsia="仿宋_GB2312" w:cs="仿宋_GB2312"/>
          <w:color w:val="auto"/>
          <w:kern w:val="0"/>
          <w:sz w:val="32"/>
          <w:szCs w:val="32"/>
          <w:highlight w:val="none"/>
          <w:lang w:val="en-US" w:eastAsia="zh-CN"/>
        </w:rPr>
        <w:t>截至目前，累计供给弹性配置水35.46亿立方米，超额完成弹性配置水量任务。严格落实“电调服从水调、水调兼顾电调”的工作要求，制定</w:t>
      </w:r>
      <w:r>
        <w:rPr>
          <w:rFonts w:hint="default" w:ascii="仿宋_GB2312" w:hAnsi="仿宋_GB2312" w:eastAsia="仿宋_GB2312" w:cs="仿宋_GB2312"/>
          <w:color w:val="auto"/>
          <w:kern w:val="0"/>
          <w:sz w:val="32"/>
          <w:szCs w:val="32"/>
          <w:highlight w:val="none"/>
          <w:lang w:val="en-US" w:eastAsia="zh-CN"/>
        </w:rPr>
        <w:t>2023年叶尔羌河流域迎峰度冬期间水调</w:t>
      </w:r>
      <w:r>
        <w:rPr>
          <w:rFonts w:hint="eastAsia" w:ascii="仿宋_GB2312" w:hAnsi="仿宋_GB2312" w:eastAsia="仿宋_GB2312" w:cs="仿宋_GB2312"/>
          <w:color w:val="auto"/>
          <w:kern w:val="0"/>
          <w:sz w:val="32"/>
          <w:szCs w:val="32"/>
          <w:highlight w:val="none"/>
          <w:lang w:val="en-US" w:eastAsia="zh-CN"/>
        </w:rPr>
        <w:t>和</w:t>
      </w:r>
      <w:r>
        <w:rPr>
          <w:rFonts w:hint="default" w:ascii="仿宋_GB2312" w:hAnsi="仿宋_GB2312" w:eastAsia="仿宋_GB2312" w:cs="仿宋_GB2312"/>
          <w:color w:val="auto"/>
          <w:kern w:val="0"/>
          <w:sz w:val="32"/>
          <w:szCs w:val="32"/>
          <w:highlight w:val="none"/>
          <w:lang w:val="en-US" w:eastAsia="zh-CN"/>
        </w:rPr>
        <w:t>电调优化方案</w:t>
      </w:r>
      <w:r>
        <w:rPr>
          <w:rFonts w:hint="eastAsia" w:ascii="仿宋_GB2312" w:hAnsi="仿宋_GB2312" w:eastAsia="仿宋_GB2312" w:cs="仿宋_GB2312"/>
          <w:color w:val="auto"/>
          <w:kern w:val="0"/>
          <w:sz w:val="32"/>
          <w:szCs w:val="32"/>
          <w:highlight w:val="none"/>
          <w:lang w:val="en-US" w:eastAsia="zh-CN"/>
        </w:rPr>
        <w:t>，探索出叶尔羌河“早高峰发—晚高峰发—非高峰补”</w:t>
      </w:r>
      <w:r>
        <w:rPr>
          <w:rFonts w:hint="default" w:ascii="仿宋_GB2312" w:hAnsi="仿宋_GB2312" w:eastAsia="仿宋_GB2312" w:cs="仿宋_GB2312"/>
          <w:color w:val="auto"/>
          <w:kern w:val="0"/>
          <w:sz w:val="32"/>
          <w:szCs w:val="32"/>
          <w:highlight w:val="none"/>
          <w:lang w:val="en-US" w:eastAsia="zh-CN"/>
        </w:rPr>
        <w:t>24小时三个阶段循环调度机制</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统筹考虑</w:t>
      </w:r>
      <w:r>
        <w:rPr>
          <w:rFonts w:hint="eastAsia" w:ascii="仿宋_GB2312" w:hAnsi="仿宋_GB2312" w:eastAsia="仿宋_GB2312" w:cs="仿宋_GB2312"/>
          <w:color w:val="auto"/>
          <w:kern w:val="0"/>
          <w:sz w:val="32"/>
          <w:szCs w:val="32"/>
          <w:highlight w:val="none"/>
          <w:lang w:val="en-US" w:eastAsia="zh-CN"/>
        </w:rPr>
        <w:t>冬季灌溉、</w:t>
      </w:r>
      <w:r>
        <w:rPr>
          <w:rFonts w:hint="default" w:ascii="仿宋_GB2312" w:hAnsi="仿宋_GB2312" w:eastAsia="仿宋_GB2312" w:cs="仿宋_GB2312"/>
          <w:color w:val="auto"/>
          <w:kern w:val="0"/>
          <w:sz w:val="32"/>
          <w:szCs w:val="32"/>
          <w:highlight w:val="none"/>
          <w:lang w:val="en-US" w:eastAsia="zh-CN"/>
        </w:rPr>
        <w:t>电网迎峰度冬、电站顶峰发电、用水安全</w:t>
      </w:r>
      <w:r>
        <w:rPr>
          <w:rFonts w:hint="eastAsia" w:ascii="仿宋_GB2312" w:hAnsi="仿宋_GB2312" w:eastAsia="仿宋_GB2312" w:cs="仿宋_GB2312"/>
          <w:color w:val="auto"/>
          <w:kern w:val="0"/>
          <w:sz w:val="32"/>
          <w:szCs w:val="32"/>
          <w:highlight w:val="none"/>
          <w:lang w:val="en-US" w:eastAsia="zh-CN"/>
        </w:rPr>
        <w:t>，明确发电用水总量和下泄稳定流量的</w:t>
      </w:r>
      <w:r>
        <w:rPr>
          <w:rFonts w:hint="default" w:ascii="仿宋_GB2312" w:hAnsi="仿宋_GB2312" w:eastAsia="仿宋_GB2312" w:cs="仿宋_GB2312"/>
          <w:color w:val="auto"/>
          <w:kern w:val="0"/>
          <w:sz w:val="32"/>
          <w:szCs w:val="32"/>
          <w:highlight w:val="none"/>
          <w:lang w:val="en-US" w:eastAsia="zh-CN"/>
        </w:rPr>
        <w:t>双</w:t>
      </w:r>
      <w:r>
        <w:rPr>
          <w:rFonts w:hint="eastAsia" w:ascii="仿宋_GB2312" w:hAnsi="仿宋_GB2312" w:eastAsia="仿宋_GB2312" w:cs="仿宋_GB2312"/>
          <w:color w:val="auto"/>
          <w:kern w:val="0"/>
          <w:sz w:val="32"/>
          <w:szCs w:val="32"/>
          <w:highlight w:val="none"/>
          <w:lang w:val="en-US" w:eastAsia="zh-CN"/>
        </w:rPr>
        <w:t>控制</w:t>
      </w:r>
      <w:r>
        <w:rPr>
          <w:rFonts w:hint="default" w:ascii="仿宋_GB2312" w:hAnsi="仿宋_GB2312" w:eastAsia="仿宋_GB2312" w:cs="仿宋_GB2312"/>
          <w:color w:val="auto"/>
          <w:kern w:val="0"/>
          <w:sz w:val="32"/>
          <w:szCs w:val="32"/>
          <w:highlight w:val="none"/>
          <w:lang w:val="en-US" w:eastAsia="zh-CN"/>
        </w:rPr>
        <w:t>指标</w:t>
      </w:r>
      <w:r>
        <w:rPr>
          <w:rFonts w:hint="eastAsia" w:ascii="仿宋_GB2312" w:hAnsi="仿宋_GB2312" w:eastAsia="仿宋_GB2312" w:cs="仿宋_GB2312"/>
          <w:color w:val="auto"/>
          <w:kern w:val="0"/>
          <w:sz w:val="32"/>
          <w:szCs w:val="32"/>
          <w:highlight w:val="none"/>
          <w:lang w:val="en-US" w:eastAsia="zh-CN"/>
        </w:rPr>
        <w:t>、梯级电站</w:t>
      </w:r>
      <w:r>
        <w:rPr>
          <w:rFonts w:hint="default" w:ascii="仿宋_GB2312" w:hAnsi="仿宋_GB2312" w:eastAsia="仿宋_GB2312" w:cs="仿宋_GB2312"/>
          <w:color w:val="auto"/>
          <w:kern w:val="0"/>
          <w:sz w:val="32"/>
          <w:szCs w:val="32"/>
          <w:highlight w:val="none"/>
          <w:lang w:val="en-US" w:eastAsia="zh-CN"/>
        </w:rPr>
        <w:t>发电负荷优先级</w:t>
      </w:r>
      <w:r>
        <w:rPr>
          <w:rFonts w:hint="eastAsia" w:ascii="仿宋_GB2312" w:hAnsi="仿宋_GB2312" w:eastAsia="仿宋_GB2312" w:cs="仿宋_GB2312"/>
          <w:color w:val="auto"/>
          <w:kern w:val="0"/>
          <w:sz w:val="32"/>
          <w:szCs w:val="32"/>
          <w:highlight w:val="none"/>
          <w:lang w:val="en-US" w:eastAsia="zh-CN"/>
        </w:rPr>
        <w:t>和水库群间</w:t>
      </w:r>
      <w:r>
        <w:rPr>
          <w:rFonts w:hint="default" w:ascii="仿宋_GB2312" w:hAnsi="仿宋_GB2312" w:eastAsia="仿宋_GB2312" w:cs="仿宋_GB2312"/>
          <w:color w:val="auto"/>
          <w:kern w:val="0"/>
          <w:sz w:val="32"/>
          <w:szCs w:val="32"/>
          <w:highlight w:val="none"/>
          <w:lang w:val="en-US" w:eastAsia="zh-CN"/>
        </w:rPr>
        <w:t>蓄放次序</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确保实现</w:t>
      </w:r>
      <w:r>
        <w:rPr>
          <w:rFonts w:hint="eastAsia" w:ascii="仿宋_GB2312" w:hAnsi="仿宋_GB2312" w:eastAsia="仿宋_GB2312" w:cs="仿宋_GB2312"/>
          <w:color w:val="auto"/>
          <w:kern w:val="0"/>
          <w:sz w:val="32"/>
          <w:szCs w:val="32"/>
          <w:highlight w:val="none"/>
          <w:lang w:val="en-US" w:eastAsia="zh-CN"/>
        </w:rPr>
        <w:t>冬季</w:t>
      </w:r>
      <w:r>
        <w:rPr>
          <w:rFonts w:hint="default" w:ascii="仿宋_GB2312" w:hAnsi="仿宋_GB2312" w:eastAsia="仿宋_GB2312" w:cs="仿宋_GB2312"/>
          <w:color w:val="auto"/>
          <w:kern w:val="0"/>
          <w:sz w:val="32"/>
          <w:szCs w:val="32"/>
          <w:highlight w:val="none"/>
          <w:lang w:val="en-US" w:eastAsia="zh-CN"/>
        </w:rPr>
        <w:t>供水与发电效益共赢。</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三是</w:t>
      </w:r>
      <w:r>
        <w:rPr>
          <w:rFonts w:hint="eastAsia" w:ascii="仿宋_GB2312" w:hAnsi="仿宋_GB2312" w:eastAsia="仿宋_GB2312" w:cs="仿宋_GB2312"/>
          <w:color w:val="auto"/>
          <w:kern w:val="0"/>
          <w:sz w:val="32"/>
          <w:szCs w:val="32"/>
          <w:highlight w:val="none"/>
          <w:lang w:val="en-US" w:eastAsia="zh-CN"/>
        </w:rPr>
        <w:t>精准实施引洪补水，统筹保障好流域生态用水。按照“精准配置、靶向输水、综合评估”原则，积极探索塔里木河下游“双河道、多时段、长历时、小流量”输水模式，将生态输水理念转为“面向生态脆弱区”，在生态输水过程中，及时</w:t>
      </w:r>
      <w:r>
        <w:rPr>
          <w:rFonts w:hint="default" w:ascii="仿宋_GB2312" w:hAnsi="仿宋_GB2312" w:eastAsia="仿宋_GB2312" w:cs="仿宋_GB2312"/>
          <w:color w:val="auto"/>
          <w:kern w:val="0"/>
          <w:sz w:val="32"/>
          <w:szCs w:val="32"/>
          <w:highlight w:val="none"/>
          <w:lang w:eastAsia="zh-CN"/>
        </w:rPr>
        <w:t>开通多条</w:t>
      </w:r>
      <w:r>
        <w:rPr>
          <w:rFonts w:hint="eastAsia" w:ascii="仿宋_GB2312" w:hAnsi="仿宋_GB2312" w:eastAsia="仿宋_GB2312" w:cs="仿宋_GB2312"/>
          <w:color w:val="auto"/>
          <w:kern w:val="0"/>
          <w:sz w:val="32"/>
          <w:szCs w:val="32"/>
          <w:highlight w:val="none"/>
          <w:lang w:val="en-US" w:eastAsia="zh-CN"/>
        </w:rPr>
        <w:t>岔</w:t>
      </w:r>
      <w:r>
        <w:rPr>
          <w:rFonts w:hint="default" w:ascii="仿宋_GB2312" w:hAnsi="仿宋_GB2312" w:eastAsia="仿宋_GB2312" w:cs="仿宋_GB2312"/>
          <w:color w:val="auto"/>
          <w:kern w:val="0"/>
          <w:sz w:val="32"/>
          <w:szCs w:val="32"/>
          <w:highlight w:val="none"/>
          <w:lang w:eastAsia="zh-CN"/>
        </w:rPr>
        <w:t>流，扩大横向受水面积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最大限度滋润两岸天然植被。截至目前，向塔河干流下游输水3.11亿立方米。采取“自然修复、面状输水、回补地下”思路，利用干流下游5座生态节制闸</w:t>
      </w:r>
      <w:r>
        <w:rPr>
          <w:rFonts w:ascii="仿宋_GB2312" w:hAnsi="宋体" w:eastAsia="仿宋_GB2312" w:cs="仿宋_GB2312"/>
          <w:i w:val="0"/>
          <w:caps w:val="0"/>
          <w:color w:val="000000"/>
          <w:spacing w:val="0"/>
          <w:sz w:val="32"/>
          <w:szCs w:val="32"/>
          <w:shd w:val="clear" w:fill="FFFFFF"/>
        </w:rPr>
        <w:t>壅</w:t>
      </w:r>
      <w:r>
        <w:rPr>
          <w:rFonts w:hint="eastAsia" w:ascii="仿宋_GB2312" w:hAnsi="仿宋_GB2312" w:eastAsia="仿宋_GB2312" w:cs="仿宋_GB2312"/>
          <w:color w:val="auto"/>
          <w:kern w:val="0"/>
          <w:sz w:val="32"/>
          <w:szCs w:val="32"/>
          <w:highlight w:val="none"/>
          <w:lang w:val="en-US" w:eastAsia="zh-CN"/>
        </w:rPr>
        <w:t>水形成受水漫溢面，使更多水量渗透入地下，构筑地下生态水“银行”。全年累计引洪补水10.78亿立方米，完成计划的192%，切实做到了精准配置、靶向供水。</w:t>
      </w:r>
      <w:r>
        <w:rPr>
          <w:rFonts w:hint="eastAsia" w:ascii="仿宋_GB2312" w:hAnsi="仿宋_GB2312" w:eastAsia="仿宋_GB2312" w:cs="仿宋_GB2312"/>
          <w:color w:val="auto"/>
          <w:kern w:val="0"/>
          <w:sz w:val="32"/>
          <w:szCs w:val="32"/>
          <w:highlight w:val="none"/>
        </w:rPr>
        <w:t>据监测分析，</w:t>
      </w:r>
      <w:r>
        <w:rPr>
          <w:rFonts w:hint="default" w:ascii="仿宋_GB2312" w:hAnsi="仿宋_GB2312" w:eastAsia="仿宋_GB2312" w:cs="仿宋_GB2312"/>
          <w:color w:val="auto"/>
          <w:kern w:val="0"/>
          <w:sz w:val="32"/>
          <w:szCs w:val="32"/>
          <w:highlight w:val="none"/>
          <w:lang w:val="en-US" w:eastAsia="zh-CN"/>
        </w:rPr>
        <w:t>胡杨林淹灌面积</w:t>
      </w:r>
      <w:r>
        <w:rPr>
          <w:rFonts w:hint="eastAsia" w:ascii="仿宋_GB2312" w:hAnsi="仿宋_GB2312" w:eastAsia="仿宋_GB2312" w:cs="仿宋_GB2312"/>
          <w:color w:val="auto"/>
          <w:kern w:val="0"/>
          <w:sz w:val="32"/>
          <w:szCs w:val="32"/>
          <w:highlight w:val="none"/>
          <w:lang w:val="en-US" w:eastAsia="zh-CN"/>
        </w:rPr>
        <w:t>达到</w:t>
      </w:r>
      <w:r>
        <w:rPr>
          <w:rFonts w:hint="default" w:ascii="仿宋_GB2312" w:hAnsi="仿宋_GB2312" w:eastAsia="仿宋_GB2312" w:cs="仿宋_GB2312"/>
          <w:color w:val="auto"/>
          <w:kern w:val="0"/>
          <w:sz w:val="32"/>
          <w:szCs w:val="32"/>
          <w:highlight w:val="none"/>
          <w:lang w:val="en-US" w:eastAsia="zh-CN"/>
        </w:rPr>
        <w:t>272万亩，植被覆盖度增加4.3%，</w:t>
      </w:r>
      <w:r>
        <w:rPr>
          <w:rFonts w:hint="eastAsia" w:ascii="仿宋_GB2312" w:hAnsi="仿宋_GB2312" w:eastAsia="仿宋_GB2312" w:cs="仿宋_GB2312"/>
          <w:color w:val="auto"/>
          <w:kern w:val="0"/>
          <w:sz w:val="32"/>
          <w:szCs w:val="32"/>
          <w:highlight w:val="none"/>
          <w:lang w:val="en-US" w:eastAsia="zh-CN"/>
        </w:rPr>
        <w:t>流域生态环境治理呈现系统性修复、深层次巩固、渐进式向好发展。</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default"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rPr>
        <w:t>四是</w:t>
      </w:r>
      <w:r>
        <w:rPr>
          <w:rFonts w:hint="eastAsia" w:ascii="仿宋_GB2312" w:hAnsi="仿宋_GB2312" w:eastAsia="仿宋_GB2312" w:cs="仿宋_GB2312"/>
          <w:color w:val="auto"/>
          <w:kern w:val="0"/>
          <w:sz w:val="32"/>
          <w:szCs w:val="32"/>
          <w:highlight w:val="none"/>
          <w:lang w:val="en-US" w:eastAsia="zh-CN"/>
        </w:rPr>
        <w:t>坚持防洪兴利并举，统筹利用好洪水资源。采取多引、多提、多拦、多蓄等措施，</w:t>
      </w:r>
      <w:r>
        <w:rPr>
          <w:rFonts w:hint="default" w:ascii="仿宋_GB2312" w:hAnsi="仿宋_GB2312" w:eastAsia="仿宋_GB2312" w:cs="仿宋_GB2312"/>
          <w:color w:val="auto"/>
          <w:kern w:val="0"/>
          <w:sz w:val="32"/>
          <w:szCs w:val="32"/>
          <w:highlight w:val="none"/>
          <w:lang w:val="en-US" w:eastAsia="zh-CN"/>
        </w:rPr>
        <w:t>充分挖掘水利工程调蓄能力和水库蓄水潜力，截</w:t>
      </w:r>
      <w:r>
        <w:rPr>
          <w:rFonts w:hint="eastAsia" w:ascii="仿宋_GB2312" w:hAnsi="仿宋_GB2312" w:eastAsia="仿宋_GB2312" w:cs="仿宋_GB2312"/>
          <w:color w:val="auto"/>
          <w:kern w:val="0"/>
          <w:sz w:val="32"/>
          <w:szCs w:val="32"/>
          <w:highlight w:val="none"/>
          <w:lang w:val="en-US" w:eastAsia="zh-CN"/>
        </w:rPr>
        <w:t>至目前</w:t>
      </w:r>
      <w:r>
        <w:rPr>
          <w:rFonts w:hint="default" w:ascii="仿宋_GB2312" w:hAnsi="仿宋_GB2312" w:eastAsia="仿宋_GB2312" w:cs="仿宋_GB2312"/>
          <w:color w:val="auto"/>
          <w:kern w:val="0"/>
          <w:sz w:val="32"/>
          <w:szCs w:val="32"/>
          <w:highlight w:val="none"/>
          <w:lang w:val="en-US" w:eastAsia="zh-CN"/>
        </w:rPr>
        <w:t>，流域3</w:t>
      </w:r>
      <w:r>
        <w:rPr>
          <w:rFonts w:hint="eastAsia" w:ascii="仿宋_GB2312" w:hAnsi="仿宋_GB2312" w:eastAsia="仿宋_GB2312" w:cs="仿宋_GB2312"/>
          <w:color w:val="auto"/>
          <w:kern w:val="0"/>
          <w:sz w:val="32"/>
          <w:szCs w:val="32"/>
          <w:highlight w:val="none"/>
          <w:lang w:val="en-US" w:eastAsia="zh-CN"/>
        </w:rPr>
        <w:t>8</w:t>
      </w:r>
      <w:r>
        <w:rPr>
          <w:rFonts w:hint="default" w:ascii="仿宋_GB2312" w:hAnsi="仿宋_GB2312" w:eastAsia="仿宋_GB2312" w:cs="仿宋_GB2312"/>
          <w:color w:val="auto"/>
          <w:kern w:val="0"/>
          <w:sz w:val="32"/>
          <w:szCs w:val="32"/>
          <w:highlight w:val="none"/>
          <w:lang w:val="en-US" w:eastAsia="zh-CN"/>
        </w:rPr>
        <w:t>座大中型水库蓄水4</w:t>
      </w:r>
      <w:r>
        <w:rPr>
          <w:rFonts w:hint="eastAsia" w:ascii="仿宋_GB2312" w:hAnsi="仿宋_GB2312" w:eastAsia="仿宋_GB2312" w:cs="仿宋_GB2312"/>
          <w:color w:val="auto"/>
          <w:kern w:val="0"/>
          <w:sz w:val="32"/>
          <w:szCs w:val="32"/>
          <w:highlight w:val="none"/>
          <w:lang w:val="en-US" w:eastAsia="zh-CN"/>
        </w:rPr>
        <w:t>5.01</w:t>
      </w:r>
      <w:r>
        <w:rPr>
          <w:rFonts w:hint="default" w:ascii="仿宋_GB2312" w:hAnsi="仿宋_GB2312" w:eastAsia="仿宋_GB2312" w:cs="仿宋_GB2312"/>
          <w:color w:val="auto"/>
          <w:kern w:val="0"/>
          <w:sz w:val="32"/>
          <w:szCs w:val="32"/>
          <w:highlight w:val="none"/>
          <w:lang w:val="en-US" w:eastAsia="zh-CN"/>
        </w:rPr>
        <w:t>亿立方米</w:t>
      </w:r>
      <w:r>
        <w:rPr>
          <w:rFonts w:hint="eastAsia" w:ascii="仿宋_GB2312" w:hAnsi="仿宋_GB2312" w:eastAsia="仿宋_GB2312" w:cs="仿宋_GB2312"/>
          <w:color w:val="auto"/>
          <w:kern w:val="0"/>
          <w:sz w:val="32"/>
          <w:szCs w:val="32"/>
          <w:highlight w:val="none"/>
          <w:lang w:val="en-US" w:eastAsia="zh-CN"/>
        </w:rPr>
        <w:t>，占总库容的73</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有效确保今冬明春灌溉</w:t>
      </w:r>
      <w:r>
        <w:rPr>
          <w:rFonts w:hint="default" w:ascii="仿宋_GB2312" w:hAnsi="仿宋_GB2312" w:eastAsia="仿宋_GB2312" w:cs="仿宋_GB2312"/>
          <w:color w:val="auto"/>
          <w:kern w:val="0"/>
          <w:sz w:val="32"/>
          <w:szCs w:val="32"/>
          <w:highlight w:val="none"/>
        </w:rPr>
        <w:t>用水</w:t>
      </w:r>
      <w:r>
        <w:rPr>
          <w:rFonts w:hint="default" w:ascii="仿宋_GB2312" w:hAnsi="仿宋_GB2312" w:eastAsia="仿宋_GB2312" w:cs="仿宋_GB2312"/>
          <w:color w:val="auto"/>
          <w:kern w:val="0"/>
          <w:sz w:val="32"/>
          <w:szCs w:val="32"/>
          <w:highlight w:val="none"/>
          <w:lang w:val="en-US" w:eastAsia="zh-CN"/>
        </w:rPr>
        <w:t>储备充足。精准实施</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拦、分、蓄、滞</w:t>
      </w:r>
      <w:r>
        <w:rPr>
          <w:rFonts w:hint="eastAsia" w:ascii="仿宋_GB2312" w:hAnsi="仿宋_GB2312" w:eastAsia="仿宋_GB2312" w:cs="仿宋_GB2312"/>
          <w:color w:val="auto"/>
          <w:kern w:val="0"/>
          <w:sz w:val="32"/>
          <w:szCs w:val="32"/>
          <w:highlight w:val="none"/>
          <w:lang w:val="en-US" w:eastAsia="zh-CN"/>
        </w:rPr>
        <w:t>”等措施</w:t>
      </w:r>
      <w:r>
        <w:rPr>
          <w:rFonts w:hint="default" w:ascii="仿宋_GB2312" w:hAnsi="仿宋_GB2312" w:eastAsia="仿宋_GB2312" w:cs="仿宋_GB2312"/>
          <w:color w:val="auto"/>
          <w:kern w:val="0"/>
          <w:sz w:val="32"/>
          <w:szCs w:val="32"/>
          <w:highlight w:val="none"/>
          <w:lang w:val="en-US" w:eastAsia="zh-CN"/>
        </w:rPr>
        <w:t>，强化河湖流量预判和险情研判，</w:t>
      </w:r>
      <w:r>
        <w:rPr>
          <w:rFonts w:hint="eastAsia" w:ascii="仿宋_GB2312" w:hAnsi="仿宋_GB2312" w:eastAsia="仿宋_GB2312" w:cs="仿宋_GB2312"/>
          <w:color w:val="auto"/>
          <w:kern w:val="0"/>
          <w:sz w:val="32"/>
          <w:szCs w:val="32"/>
          <w:highlight w:val="none"/>
          <w:lang w:val="en-US" w:eastAsia="zh-CN"/>
        </w:rPr>
        <w:t>以</w:t>
      </w:r>
      <w:r>
        <w:rPr>
          <w:rFonts w:hint="default" w:ascii="仿宋_GB2312" w:hAnsi="仿宋_GB2312" w:eastAsia="仿宋_GB2312" w:cs="仿宋_GB2312"/>
          <w:color w:val="auto"/>
          <w:kern w:val="0"/>
          <w:sz w:val="32"/>
          <w:szCs w:val="32"/>
          <w:highlight w:val="none"/>
          <w:lang w:val="en-US" w:eastAsia="zh-CN"/>
        </w:rPr>
        <w:t>系统性调度应对流域性洪水，及时启动洪水灾害应急响应，综合分析洪水行进路径和洪峰洪量过程，</w:t>
      </w:r>
      <w:r>
        <w:rPr>
          <w:rFonts w:hint="eastAsia" w:ascii="仿宋_GB2312" w:hAnsi="仿宋_GB2312" w:eastAsia="仿宋_GB2312" w:cs="仿宋_GB2312"/>
          <w:color w:val="auto"/>
          <w:kern w:val="0"/>
          <w:sz w:val="32"/>
          <w:szCs w:val="32"/>
          <w:highlight w:val="none"/>
          <w:lang w:val="en-US" w:eastAsia="zh-CN"/>
        </w:rPr>
        <w:t>汛期未发生险情。</w:t>
      </w:r>
      <w:r>
        <w:rPr>
          <w:rFonts w:hint="default" w:ascii="仿宋_GB2312" w:hAnsi="仿宋_GB2312" w:eastAsia="仿宋_GB2312" w:cs="仿宋_GB2312"/>
          <w:color w:val="auto"/>
          <w:kern w:val="0"/>
          <w:sz w:val="32"/>
          <w:szCs w:val="32"/>
          <w:highlight w:val="none"/>
          <w:lang w:val="en-US" w:eastAsia="zh-CN"/>
        </w:rPr>
        <w:t>围绕</w:t>
      </w:r>
      <w:r>
        <w:rPr>
          <w:rFonts w:hint="eastAsia" w:ascii="仿宋_GB2312" w:hAnsi="仿宋_GB2312" w:eastAsia="仿宋_GB2312" w:cs="仿宋_GB2312"/>
          <w:color w:val="auto"/>
          <w:kern w:val="0"/>
          <w:sz w:val="32"/>
          <w:szCs w:val="32"/>
          <w:highlight w:val="none"/>
          <w:lang w:val="en-US" w:eastAsia="zh-CN"/>
        </w:rPr>
        <w:t>“防住洪水，用好洪水”</w:t>
      </w:r>
      <w:r>
        <w:rPr>
          <w:rFonts w:hint="default" w:ascii="仿宋_GB2312" w:hAnsi="仿宋_GB2312" w:eastAsia="仿宋_GB2312" w:cs="仿宋_GB2312"/>
          <w:color w:val="auto"/>
          <w:kern w:val="0"/>
          <w:sz w:val="32"/>
          <w:szCs w:val="32"/>
          <w:highlight w:val="none"/>
          <w:lang w:val="en-US" w:eastAsia="zh-CN"/>
        </w:rPr>
        <w:t>的工作目标</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最大程度利用洪水</w:t>
      </w:r>
      <w:r>
        <w:rPr>
          <w:rFonts w:hint="eastAsia" w:ascii="仿宋_GB2312" w:hAnsi="仿宋_GB2312" w:eastAsia="仿宋_GB2312" w:cs="仿宋_GB2312"/>
          <w:color w:val="auto"/>
          <w:kern w:val="0"/>
          <w:sz w:val="32"/>
          <w:szCs w:val="32"/>
          <w:highlight w:val="none"/>
          <w:lang w:val="en-US" w:eastAsia="zh-CN"/>
        </w:rPr>
        <w:t>资源，今年</w:t>
      </w:r>
      <w:r>
        <w:rPr>
          <w:rFonts w:hint="default" w:ascii="仿宋_GB2312" w:hAnsi="仿宋_GB2312" w:eastAsia="仿宋_GB2312" w:cs="仿宋_GB2312"/>
          <w:color w:val="auto"/>
          <w:kern w:val="0"/>
          <w:sz w:val="32"/>
          <w:szCs w:val="32"/>
          <w:highlight w:val="none"/>
          <w:lang w:val="en-US" w:eastAsia="zh-CN"/>
        </w:rPr>
        <w:t>汛期</w:t>
      </w:r>
      <w:r>
        <w:rPr>
          <w:rFonts w:hint="eastAsia" w:ascii="仿宋_GB2312" w:hAnsi="仿宋_GB2312" w:eastAsia="仿宋_GB2312" w:cs="仿宋_GB2312"/>
          <w:color w:val="auto"/>
          <w:kern w:val="0"/>
          <w:sz w:val="32"/>
          <w:szCs w:val="32"/>
          <w:highlight w:val="none"/>
          <w:lang w:val="en-US" w:eastAsia="zh-CN"/>
        </w:rPr>
        <w:t>共</w:t>
      </w:r>
      <w:r>
        <w:rPr>
          <w:rFonts w:hint="default" w:ascii="仿宋_GB2312" w:hAnsi="仿宋_GB2312" w:eastAsia="仿宋_GB2312" w:cs="仿宋_GB2312"/>
          <w:color w:val="auto"/>
          <w:kern w:val="0"/>
          <w:sz w:val="32"/>
          <w:szCs w:val="32"/>
          <w:highlight w:val="none"/>
          <w:lang w:val="en-US" w:eastAsia="zh-CN"/>
        </w:rPr>
        <w:t>利用</w:t>
      </w:r>
      <w:r>
        <w:rPr>
          <w:rFonts w:hint="eastAsia" w:ascii="仿宋_GB2312" w:hAnsi="仿宋_GB2312" w:eastAsia="仿宋_GB2312" w:cs="仿宋_GB2312"/>
          <w:color w:val="auto"/>
          <w:kern w:val="0"/>
          <w:sz w:val="32"/>
          <w:szCs w:val="32"/>
          <w:highlight w:val="none"/>
          <w:lang w:val="en-US" w:eastAsia="zh-CN"/>
        </w:rPr>
        <w:t>洪水</w:t>
      </w:r>
      <w:r>
        <w:rPr>
          <w:rFonts w:hint="default" w:ascii="仿宋_GB2312" w:hAnsi="仿宋_GB2312" w:eastAsia="仿宋_GB2312" w:cs="仿宋_GB2312"/>
          <w:color w:val="auto"/>
          <w:kern w:val="0"/>
          <w:sz w:val="32"/>
          <w:szCs w:val="32"/>
          <w:highlight w:val="none"/>
          <w:lang w:val="en-US" w:eastAsia="zh-CN"/>
        </w:rPr>
        <w:t>5.9亿立方米，利用率71％</w:t>
      </w:r>
      <w:r>
        <w:rPr>
          <w:rFonts w:hint="eastAsia" w:ascii="仿宋_GB2312" w:hAnsi="仿宋_GB2312" w:eastAsia="仿宋_GB2312" w:cs="仿宋_GB2312"/>
          <w:color w:val="auto"/>
          <w:kern w:val="0"/>
          <w:sz w:val="32"/>
          <w:szCs w:val="32"/>
          <w:highlight w:val="none"/>
          <w:lang w:val="en-US" w:eastAsia="zh-CN"/>
        </w:rPr>
        <w:t>。其中，利用</w:t>
      </w:r>
      <w:r>
        <w:rPr>
          <w:rFonts w:hint="default" w:ascii="仿宋_GB2312" w:hAnsi="仿宋_GB2312" w:eastAsia="仿宋_GB2312" w:cs="仿宋_GB2312"/>
          <w:color w:val="auto"/>
          <w:kern w:val="0"/>
          <w:sz w:val="32"/>
          <w:szCs w:val="32"/>
          <w:highlight w:val="none"/>
        </w:rPr>
        <w:t>麦兹巴赫冰川溃决洪水4785万立方米，利用率达</w:t>
      </w:r>
      <w:r>
        <w:rPr>
          <w:rFonts w:hint="eastAsia" w:ascii="仿宋_GB2312" w:hAnsi="仿宋_GB2312" w:eastAsia="仿宋_GB2312" w:cs="仿宋_GB2312"/>
          <w:color w:val="auto"/>
          <w:kern w:val="0"/>
          <w:sz w:val="32"/>
          <w:szCs w:val="32"/>
          <w:highlight w:val="none"/>
          <w:lang w:val="en-US" w:eastAsia="zh-CN"/>
        </w:rPr>
        <w:t>86</w:t>
      </w:r>
      <w:r>
        <w:rPr>
          <w:rFonts w:hint="default"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《麦兹巴赫冰川堰塞湖溃决洪水防御和利用情况报告》得到自治区党委主要领导的充分肯定。</w:t>
      </w:r>
    </w:p>
    <w:p>
      <w:pPr>
        <w:pageBreakBefore w:val="0"/>
        <w:numPr>
          <w:ilvl w:val="0"/>
          <w:numId w:val="0"/>
        </w:numPr>
        <w:kinsoku/>
        <w:wordWrap/>
        <w:overflowPunct/>
        <w:topLinePunct w:val="0"/>
        <w:autoSpaceDE/>
        <w:autoSpaceDN/>
        <w:bidi w:val="0"/>
        <w:adjustRightInd/>
        <w:spacing w:line="560" w:lineRule="exact"/>
        <w:ind w:right="0" w:righ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五是</w:t>
      </w:r>
      <w:r>
        <w:rPr>
          <w:rFonts w:hint="eastAsia" w:ascii="仿宋_GB2312" w:hAnsi="仿宋_GB2312" w:eastAsia="仿宋_GB2312" w:cs="仿宋_GB2312"/>
          <w:color w:val="auto"/>
          <w:kern w:val="0"/>
          <w:sz w:val="32"/>
          <w:szCs w:val="32"/>
          <w:highlight w:val="none"/>
          <w:lang w:val="en-US" w:eastAsia="zh-CN"/>
        </w:rPr>
        <w:t>注重规划引领，不断提升流域顶层设计能力。以《新疆水网建设规划》</w:t>
      </w:r>
      <w:r>
        <w:rPr>
          <w:rFonts w:hint="default" w:ascii="仿宋_GB2312" w:hAnsi="仿宋_GB2312" w:eastAsia="仿宋_GB2312" w:cs="仿宋_GB2312"/>
          <w:color w:val="auto"/>
          <w:kern w:val="0"/>
          <w:sz w:val="32"/>
          <w:szCs w:val="32"/>
          <w:highlight w:val="none"/>
          <w:lang w:val="en-US" w:eastAsia="zh-CN"/>
        </w:rPr>
        <w:t>《塔里木河流域综合规划》</w:t>
      </w:r>
      <w:r>
        <w:rPr>
          <w:rFonts w:hint="eastAsia" w:ascii="仿宋_GB2312" w:hAnsi="仿宋_GB2312" w:eastAsia="仿宋_GB2312" w:cs="仿宋_GB2312"/>
          <w:color w:val="auto"/>
          <w:kern w:val="0"/>
          <w:sz w:val="32"/>
          <w:szCs w:val="32"/>
          <w:highlight w:val="none"/>
          <w:lang w:val="en-US" w:eastAsia="zh-CN"/>
        </w:rPr>
        <w:t>为依托，通过战略性、长远结合的系统谋划高标准的水利建设，为流域综合治理提供规划依据。下大力气加快推进编制、审查、报审、报批工作，</w:t>
      </w:r>
      <w:r>
        <w:rPr>
          <w:rFonts w:hint="default" w:ascii="仿宋_GB2312" w:hAnsi="仿宋_GB2312" w:eastAsia="仿宋_GB2312" w:cs="仿宋_GB2312"/>
          <w:color w:val="auto"/>
          <w:kern w:val="0"/>
          <w:sz w:val="32"/>
          <w:szCs w:val="32"/>
          <w:highlight w:val="none"/>
          <w:lang w:val="en-US" w:eastAsia="zh-CN"/>
        </w:rPr>
        <w:t>《塔里木河流域综合规划》</w:t>
      </w:r>
      <w:r>
        <w:rPr>
          <w:rFonts w:hint="eastAsia" w:ascii="仿宋_GB2312" w:hAnsi="仿宋_GB2312" w:eastAsia="仿宋_GB2312" w:cs="仿宋_GB2312"/>
          <w:color w:val="auto"/>
          <w:kern w:val="0"/>
          <w:sz w:val="32"/>
          <w:szCs w:val="32"/>
          <w:highlight w:val="none"/>
          <w:lang w:val="en-US" w:eastAsia="zh-CN"/>
        </w:rPr>
        <w:t>已经水规总院复审，</w:t>
      </w:r>
      <w:r>
        <w:rPr>
          <w:rFonts w:hint="default" w:ascii="仿宋_GB2312" w:hAnsi="仿宋_GB2312" w:eastAsia="仿宋_GB2312" w:cs="仿宋_GB2312"/>
          <w:color w:val="auto"/>
          <w:kern w:val="0"/>
          <w:sz w:val="32"/>
          <w:szCs w:val="32"/>
          <w:highlight w:val="none"/>
          <w:lang w:val="en-US" w:eastAsia="zh-CN"/>
        </w:rPr>
        <w:t>规划环评</w:t>
      </w:r>
      <w:r>
        <w:rPr>
          <w:rFonts w:hint="eastAsia" w:ascii="仿宋_GB2312" w:hAnsi="仿宋_GB2312" w:eastAsia="仿宋_GB2312" w:cs="仿宋_GB2312"/>
          <w:color w:val="auto"/>
          <w:kern w:val="0"/>
          <w:sz w:val="32"/>
          <w:szCs w:val="32"/>
          <w:highlight w:val="none"/>
          <w:lang w:val="en-US" w:eastAsia="zh-CN"/>
        </w:rPr>
        <w:t>已上报生态环境部审查；《车尔臣河流域综合规划》已通过自治区专题会议研究；和田河水生态保护治理工程（干流段）和</w:t>
      </w:r>
      <w:r>
        <w:rPr>
          <w:rFonts w:hint="default" w:ascii="仿宋_GB2312" w:hAnsi="仿宋_GB2312" w:eastAsia="仿宋_GB2312" w:cs="仿宋_GB2312"/>
          <w:color w:val="auto"/>
          <w:kern w:val="0"/>
          <w:sz w:val="32"/>
          <w:szCs w:val="32"/>
          <w:highlight w:val="none"/>
          <w:lang w:val="en-US" w:eastAsia="zh-CN"/>
        </w:rPr>
        <w:t>12项病险水闸除险加固工程</w:t>
      </w:r>
      <w:r>
        <w:rPr>
          <w:rFonts w:hint="eastAsia" w:ascii="仿宋_GB2312" w:hAnsi="仿宋_GB2312" w:eastAsia="仿宋_GB2312" w:cs="仿宋_GB2312"/>
          <w:color w:val="auto"/>
          <w:kern w:val="0"/>
          <w:sz w:val="32"/>
          <w:szCs w:val="32"/>
          <w:highlight w:val="none"/>
          <w:lang w:val="en-US" w:eastAsia="zh-CN"/>
        </w:rPr>
        <w:t>前期工作加速推进；编制完成</w:t>
      </w:r>
      <w:r>
        <w:rPr>
          <w:rFonts w:hint="default" w:ascii="仿宋_GB2312" w:hAnsi="仿宋_GB2312" w:eastAsia="仿宋_GB2312" w:cs="仿宋_GB2312"/>
          <w:color w:val="auto"/>
          <w:kern w:val="0"/>
          <w:sz w:val="32"/>
          <w:szCs w:val="32"/>
          <w:highlight w:val="none"/>
          <w:lang w:val="en-US" w:eastAsia="zh-CN"/>
        </w:rPr>
        <w:t>《流域水网规划先导示范工程初步方案》</w:t>
      </w:r>
      <w:r>
        <w:rPr>
          <w:rFonts w:hint="eastAsia" w:ascii="仿宋_GB2312" w:hAnsi="仿宋_GB2312" w:eastAsia="仿宋_GB2312" w:cs="仿宋_GB2312"/>
          <w:color w:val="auto"/>
          <w:kern w:val="0"/>
          <w:sz w:val="32"/>
          <w:szCs w:val="32"/>
          <w:highlight w:val="none"/>
          <w:lang w:val="en-US" w:eastAsia="zh-CN"/>
        </w:rPr>
        <w:t>，并积极与《</w:t>
      </w:r>
      <w:r>
        <w:rPr>
          <w:rFonts w:hint="default" w:ascii="仿宋_GB2312" w:hAnsi="仿宋_GB2312" w:eastAsia="仿宋_GB2312" w:cs="仿宋_GB2312"/>
          <w:color w:val="auto"/>
          <w:kern w:val="0"/>
          <w:sz w:val="32"/>
          <w:szCs w:val="32"/>
          <w:highlight w:val="none"/>
          <w:lang w:val="en-US" w:eastAsia="zh-CN"/>
        </w:rPr>
        <w:t>新疆水网建设规划》进行对接</w:t>
      </w:r>
      <w:r>
        <w:rPr>
          <w:rFonts w:hint="eastAsia" w:ascii="仿宋_GB2312" w:hAnsi="仿宋_GB2312" w:eastAsia="仿宋_GB2312" w:cs="仿宋_GB2312"/>
          <w:color w:val="auto"/>
          <w:kern w:val="0"/>
          <w:sz w:val="32"/>
          <w:szCs w:val="32"/>
          <w:highlight w:val="none"/>
          <w:lang w:val="en-US" w:eastAsia="zh-CN"/>
        </w:rPr>
        <w:t>、并入；</w:t>
      </w:r>
      <w:r>
        <w:rPr>
          <w:rFonts w:hint="default" w:ascii="仿宋_GB2312" w:hAnsi="仿宋_GB2312" w:eastAsia="仿宋_GB2312" w:cs="仿宋_GB2312"/>
          <w:color w:val="auto"/>
          <w:kern w:val="0"/>
          <w:sz w:val="32"/>
          <w:szCs w:val="32"/>
          <w:highlight w:val="none"/>
          <w:lang w:val="en-US" w:eastAsia="zh-CN"/>
        </w:rPr>
        <w:t>叶尔羌河东岸总分水闸除险加固工程等2项</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十四五</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规划项目完成审批并开工建设</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叶尔羌河依干其引水枢纽除险加固工程等6个项目已获水利厅审查意见</w:t>
      </w:r>
      <w:r>
        <w:rPr>
          <w:rFonts w:hint="eastAsia" w:ascii="仿宋_GB2312" w:hAnsi="仿宋_GB2312" w:eastAsia="仿宋_GB2312" w:cs="仿宋_GB2312"/>
          <w:color w:val="auto"/>
          <w:kern w:val="0"/>
          <w:sz w:val="32"/>
          <w:szCs w:val="32"/>
          <w:highlight w:val="none"/>
          <w:lang w:val="en-US" w:eastAsia="zh-CN"/>
        </w:rPr>
        <w:t>。</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六是</w:t>
      </w:r>
      <w:r>
        <w:rPr>
          <w:rFonts w:hint="eastAsia" w:ascii="仿宋_GB2312" w:hAnsi="仿宋_GB2312" w:eastAsia="仿宋_GB2312" w:cs="仿宋_GB2312"/>
          <w:color w:val="auto"/>
          <w:kern w:val="0"/>
          <w:sz w:val="32"/>
          <w:szCs w:val="32"/>
          <w:highlight w:val="none"/>
          <w:lang w:val="en-US" w:eastAsia="zh-CN"/>
        </w:rPr>
        <w:t>突出项目优先，加快推进流域水利基础设施建设。2023年</w:t>
      </w:r>
      <w:r>
        <w:rPr>
          <w:rFonts w:hint="default" w:ascii="仿宋_GB2312" w:hAnsi="仿宋_GB2312" w:eastAsia="仿宋_GB2312" w:cs="仿宋_GB2312"/>
          <w:color w:val="auto"/>
          <w:kern w:val="0"/>
          <w:sz w:val="32"/>
          <w:szCs w:val="32"/>
          <w:highlight w:val="none"/>
          <w:lang w:eastAsia="zh-CN"/>
        </w:rPr>
        <w:t>建设投资任务共</w:t>
      </w:r>
      <w:r>
        <w:rPr>
          <w:rFonts w:hint="eastAsia" w:ascii="仿宋_GB2312" w:hAnsi="仿宋_GB2312" w:eastAsia="仿宋_GB2312" w:cs="仿宋_GB2312"/>
          <w:color w:val="auto"/>
          <w:kern w:val="0"/>
          <w:sz w:val="32"/>
          <w:szCs w:val="32"/>
          <w:highlight w:val="none"/>
          <w:lang w:val="en-US" w:eastAsia="zh-CN"/>
        </w:rPr>
        <w:t>14.6</w:t>
      </w:r>
      <w:r>
        <w:rPr>
          <w:rFonts w:hint="default" w:ascii="仿宋_GB2312" w:hAnsi="仿宋_GB2312" w:eastAsia="仿宋_GB2312" w:cs="仿宋_GB2312"/>
          <w:color w:val="auto"/>
          <w:kern w:val="0"/>
          <w:sz w:val="32"/>
          <w:szCs w:val="32"/>
          <w:highlight w:val="none"/>
          <w:lang w:val="en-US" w:eastAsia="zh-CN"/>
        </w:rPr>
        <w:t>亿元</w:t>
      </w:r>
      <w:r>
        <w:rPr>
          <w:rFonts w:hint="eastAsia" w:ascii="仿宋_GB2312" w:hAnsi="仿宋_GB2312" w:eastAsia="仿宋_GB2312" w:cs="仿宋_GB2312"/>
          <w:color w:val="auto"/>
          <w:kern w:val="0"/>
          <w:sz w:val="32"/>
          <w:szCs w:val="32"/>
          <w:highlight w:val="none"/>
          <w:lang w:val="en-US" w:eastAsia="zh-CN"/>
        </w:rPr>
        <w:t>，已全部完成建设任务。其中，稳步推进流域中央投资的建设任务，大石峡水利枢纽工程2023年计划完成投资12亿元，已完成投资计划的100%</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喀拉喀什河渠首上游河道防洪工程</w:t>
      </w:r>
      <w:r>
        <w:rPr>
          <w:rFonts w:hint="default" w:ascii="仿宋_GB2312" w:hAnsi="仿宋_GB2312" w:eastAsia="仿宋_GB2312" w:cs="仿宋_GB2312"/>
          <w:color w:val="auto"/>
          <w:kern w:val="0"/>
          <w:sz w:val="32"/>
          <w:szCs w:val="32"/>
          <w:highlight w:val="none"/>
          <w:lang w:val="en-US" w:eastAsia="zh-CN"/>
        </w:rPr>
        <w:t>完成</w:t>
      </w:r>
      <w:r>
        <w:rPr>
          <w:rFonts w:hint="eastAsia" w:ascii="仿宋_GB2312" w:hAnsi="仿宋_GB2312" w:eastAsia="仿宋_GB2312" w:cs="仿宋_GB2312"/>
          <w:color w:val="auto"/>
          <w:kern w:val="0"/>
          <w:sz w:val="32"/>
          <w:szCs w:val="32"/>
          <w:highlight w:val="none"/>
          <w:lang w:val="en-US" w:eastAsia="zh-CN"/>
        </w:rPr>
        <w:t>0.1亿元投资任务。</w:t>
      </w:r>
      <w:r>
        <w:rPr>
          <w:rFonts w:hint="eastAsia" w:ascii="仿宋_GB2312" w:hAnsi="仿宋_GB2312" w:eastAsia="仿宋_GB2312" w:cs="仿宋_GB2312"/>
          <w:color w:val="auto"/>
          <w:kern w:val="0"/>
          <w:sz w:val="32"/>
          <w:szCs w:val="32"/>
          <w:highlight w:val="none"/>
        </w:rPr>
        <w:t>年度自有资金投资建设项目</w:t>
      </w:r>
      <w:r>
        <w:rPr>
          <w:rFonts w:hint="eastAsia" w:ascii="仿宋_GB2312" w:hAnsi="仿宋_GB2312" w:eastAsia="仿宋_GB2312" w:cs="仿宋_GB2312"/>
          <w:color w:val="auto"/>
          <w:kern w:val="0"/>
          <w:sz w:val="32"/>
          <w:szCs w:val="32"/>
          <w:highlight w:val="none"/>
          <w:lang w:val="en-US" w:eastAsia="zh-CN"/>
        </w:rPr>
        <w:t>总</w:t>
      </w:r>
      <w:r>
        <w:rPr>
          <w:rFonts w:hint="eastAsia" w:ascii="仿宋_GB2312" w:hAnsi="仿宋_GB2312" w:eastAsia="仿宋_GB2312" w:cs="仿宋_GB2312"/>
          <w:color w:val="auto"/>
          <w:kern w:val="0"/>
          <w:sz w:val="32"/>
          <w:szCs w:val="32"/>
          <w:highlight w:val="none"/>
        </w:rPr>
        <w:t>投资</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亿元</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val="en-US" w:eastAsia="zh-CN"/>
        </w:rPr>
        <w:t>总投资完成率</w:t>
      </w:r>
      <w:r>
        <w:rPr>
          <w:rFonts w:hint="eastAsia" w:ascii="仿宋_GB2312" w:hAnsi="仿宋_GB2312" w:eastAsia="仿宋_GB2312" w:cs="仿宋_GB2312"/>
          <w:color w:val="auto"/>
          <w:kern w:val="0"/>
          <w:sz w:val="32"/>
          <w:szCs w:val="32"/>
          <w:highlight w:val="none"/>
          <w:lang w:val="en-US" w:eastAsia="zh-CN"/>
        </w:rPr>
        <w:t>100</w:t>
      </w:r>
      <w:r>
        <w:rPr>
          <w:rFonts w:hint="default"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val="en-US" w:eastAsia="zh-CN"/>
        </w:rPr>
        <w:t>加强监督管理</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开展了6轮直管在建工程质量巡查，发现问题225项，并已完成整改，整改率100%</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委托有关机构以“四不两直”的方式开展“飞检”6次，抽样检测各项目原材料及中间产品136件，检测结果均达到设计指标，工程建设质量较往年有大幅提高。</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七是</w:t>
      </w:r>
      <w:r>
        <w:rPr>
          <w:rFonts w:hint="eastAsia" w:ascii="仿宋_GB2312" w:hAnsi="仿宋_GB2312" w:eastAsia="仿宋_GB2312" w:cs="仿宋_GB2312"/>
          <w:color w:val="auto"/>
          <w:kern w:val="0"/>
          <w:sz w:val="32"/>
          <w:szCs w:val="32"/>
          <w:highlight w:val="none"/>
          <w:lang w:val="en-US" w:eastAsia="zh-CN"/>
        </w:rPr>
        <w:t>统筹系统治理，持续巩固河湖治理保护成效。充分发挥河湖长制制度优势，加强与各地州、兵团师的联系，扎实推进水资源保护、水域岸线管控、水污染防治、水环境治理、水生态修复等工作，切实维护河湖健康生命。高标准开展第二轮中央生态环境保护督察整改工作，高质量完成整改任务7项，其余整改事项稳步推进。组织开展</w:t>
      </w:r>
      <w:r>
        <w:rPr>
          <w:rFonts w:hint="default" w:ascii="仿宋_GB2312" w:hAnsi="仿宋_GB2312" w:eastAsia="仿宋_GB2312" w:cs="仿宋_GB2312"/>
          <w:color w:val="auto"/>
          <w:kern w:val="0"/>
          <w:sz w:val="32"/>
          <w:szCs w:val="32"/>
          <w:highlight w:val="none"/>
          <w:lang w:val="en-US" w:eastAsia="zh-CN"/>
        </w:rPr>
        <w:t>流域水域岸线整治专项行动</w:t>
      </w:r>
      <w:r>
        <w:rPr>
          <w:rFonts w:hint="eastAsia" w:ascii="仿宋_GB2312" w:hAnsi="仿宋_GB2312" w:eastAsia="仿宋_GB2312" w:cs="仿宋_GB2312"/>
          <w:color w:val="auto"/>
          <w:kern w:val="0"/>
          <w:sz w:val="32"/>
          <w:szCs w:val="32"/>
          <w:highlight w:val="none"/>
          <w:lang w:val="en-US" w:eastAsia="zh-CN"/>
        </w:rPr>
        <w:t>和河湖安全保护专项执法行动，完成323处疑似问题图斑复核，做好22处“四乱”和跑水口整治，发现问题线索4条，立案查处3起。进一步巩固提升三年整治行动和取用水管理专项整治成效，持续强化水资源刚性约束，不断加强流域取水许可监督管理和服务，形成规范有序的地下水管理秩序。</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default"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rPr>
        <w:t>八是</w:t>
      </w:r>
      <w:r>
        <w:rPr>
          <w:rFonts w:hint="eastAsia" w:ascii="仿宋_GB2312" w:hAnsi="仿宋_GB2312" w:eastAsia="仿宋_GB2312" w:cs="仿宋_GB2312"/>
          <w:color w:val="auto"/>
          <w:kern w:val="0"/>
          <w:sz w:val="32"/>
          <w:szCs w:val="32"/>
          <w:highlight w:val="none"/>
          <w:lang w:eastAsia="zh-CN"/>
        </w:rPr>
        <w:t>发挥</w:t>
      </w:r>
      <w:r>
        <w:rPr>
          <w:rFonts w:hint="eastAsia" w:ascii="仿宋_GB2312" w:hAnsi="仿宋_GB2312" w:eastAsia="仿宋_GB2312" w:cs="仿宋_GB2312"/>
          <w:color w:val="auto"/>
          <w:kern w:val="0"/>
          <w:sz w:val="32"/>
          <w:szCs w:val="32"/>
          <w:highlight w:val="none"/>
          <w:lang w:val="en-US" w:eastAsia="zh-CN"/>
        </w:rPr>
        <w:t>科技支撑，</w:t>
      </w:r>
      <w:r>
        <w:rPr>
          <w:rFonts w:hint="eastAsia" w:ascii="仿宋_GB2312" w:hAnsi="仿宋_GB2312" w:eastAsia="仿宋_GB2312" w:cs="仿宋_GB2312"/>
          <w:color w:val="auto"/>
          <w:kern w:val="0"/>
          <w:sz w:val="32"/>
          <w:szCs w:val="32"/>
          <w:highlight w:val="none"/>
          <w:lang w:eastAsia="zh-CN"/>
        </w:rPr>
        <w:t>加强科技成果推广应用</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与邓铭江院士工作站合作开展《塔里木河流域水利战略发展大尺度生态调度与实践研究》，围绕生态水高效利用和流域水资源集约节约利用，开展大尺度生态调度与生活生产生态用水空间格局优化研究。与中科院、中国水科院等科研院校合作开展了</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多库联调多目标统筹的叶尔羌河水资源调度动态仿真模拟</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等22项科研项目，为流域系统治理提供了</w:t>
      </w:r>
      <w:r>
        <w:rPr>
          <w:rFonts w:hint="eastAsia" w:ascii="仿宋_GB2312" w:hAnsi="仿宋_GB2312" w:eastAsia="仿宋_GB2312" w:cs="仿宋_GB2312"/>
          <w:color w:val="auto"/>
          <w:kern w:val="0"/>
          <w:sz w:val="32"/>
          <w:szCs w:val="32"/>
          <w:highlight w:val="none"/>
          <w:lang w:val="en-US" w:eastAsia="zh-CN"/>
        </w:rPr>
        <w:t>技术理论</w:t>
      </w:r>
      <w:r>
        <w:rPr>
          <w:rFonts w:hint="default" w:ascii="仿宋_GB2312" w:hAnsi="仿宋_GB2312" w:eastAsia="仿宋_GB2312" w:cs="仿宋_GB2312"/>
          <w:color w:val="auto"/>
          <w:kern w:val="0"/>
          <w:sz w:val="32"/>
          <w:szCs w:val="32"/>
          <w:highlight w:val="none"/>
          <w:lang w:val="en-US" w:eastAsia="zh-CN"/>
        </w:rPr>
        <w:t>支撑。与中国水利学会、新疆水利学会联合召开了以</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水润绿洲 科学治水</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为主题的学术研讨会，从气候变化、水资源高效利用、生态保护、河湖治理等方面梳理总结了塔河流域科研成果。与深圳大学合作开展《台特玛湖机载双激光水陆一体化测绘示范应用》，首次在新疆应用机载双激光测绘技术，填补了台特玛湖水下地形的空白。与清华大学对接联系，启动</w:t>
      </w:r>
      <w:r>
        <w:rPr>
          <w:rFonts w:hint="default" w:ascii="仿宋_GB2312" w:hAnsi="仿宋_GB2312" w:eastAsia="仿宋_GB2312" w:cs="仿宋_GB2312"/>
          <w:color w:val="auto"/>
          <w:kern w:val="0"/>
          <w:sz w:val="32"/>
          <w:szCs w:val="32"/>
          <w:highlight w:val="none"/>
        </w:rPr>
        <w:t>开展人工影响天气</w:t>
      </w:r>
      <w:r>
        <w:rPr>
          <w:rFonts w:hint="default" w:ascii="仿宋_GB2312" w:hAnsi="仿宋_GB2312" w:eastAsia="仿宋_GB2312" w:cs="仿宋_GB2312"/>
          <w:color w:val="auto"/>
          <w:kern w:val="0"/>
          <w:sz w:val="32"/>
          <w:szCs w:val="32"/>
          <w:highlight w:val="none"/>
          <w:lang w:eastAsia="zh-CN"/>
        </w:rPr>
        <w:t>（声波降水）</w:t>
      </w:r>
      <w:r>
        <w:rPr>
          <w:rFonts w:hint="default" w:ascii="仿宋_GB2312" w:hAnsi="仿宋_GB2312" w:eastAsia="仿宋_GB2312" w:cs="仿宋_GB2312"/>
          <w:color w:val="auto"/>
          <w:kern w:val="0"/>
          <w:sz w:val="32"/>
          <w:szCs w:val="32"/>
          <w:highlight w:val="none"/>
        </w:rPr>
        <w:t>的技术研究论证工作</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积极探索人工增水方式和途径</w:t>
      </w:r>
      <w:r>
        <w:rPr>
          <w:rFonts w:hint="default" w:ascii="仿宋_GB2312" w:hAnsi="仿宋_GB2312" w:eastAsia="仿宋_GB2312" w:cs="仿宋_GB2312"/>
          <w:color w:val="auto"/>
          <w:kern w:val="0"/>
          <w:sz w:val="32"/>
          <w:szCs w:val="32"/>
          <w:highlight w:val="none"/>
        </w:rPr>
        <w:t>。</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九是</w:t>
      </w:r>
      <w:r>
        <w:rPr>
          <w:rFonts w:hint="eastAsia" w:ascii="仿宋_GB2312" w:hAnsi="仿宋_GB2312" w:eastAsia="仿宋_GB2312" w:cs="仿宋_GB2312"/>
          <w:color w:val="auto"/>
          <w:kern w:val="0"/>
          <w:sz w:val="32"/>
          <w:szCs w:val="32"/>
          <w:highlight w:val="none"/>
          <w:lang w:eastAsia="zh-CN"/>
        </w:rPr>
        <w:t>强化</w:t>
      </w:r>
      <w:r>
        <w:rPr>
          <w:rFonts w:hint="eastAsia" w:ascii="仿宋_GB2312" w:hAnsi="仿宋_GB2312" w:eastAsia="仿宋_GB2312" w:cs="仿宋_GB2312"/>
          <w:color w:val="auto"/>
          <w:kern w:val="0"/>
          <w:sz w:val="32"/>
          <w:szCs w:val="32"/>
          <w:highlight w:val="none"/>
          <w:lang w:val="en-US" w:eastAsia="zh-CN"/>
        </w:rPr>
        <w:t>数字赋能，不断提升流域信息化建设水平。</w:t>
      </w:r>
      <w:r>
        <w:rPr>
          <w:rFonts w:hint="default" w:ascii="仿宋_GB2312" w:hAnsi="仿宋_GB2312" w:eastAsia="仿宋_GB2312" w:cs="仿宋_GB2312"/>
          <w:color w:val="auto"/>
          <w:kern w:val="0"/>
          <w:sz w:val="32"/>
          <w:szCs w:val="32"/>
          <w:highlight w:val="none"/>
          <w:lang w:val="en-US" w:eastAsia="zh-CN"/>
        </w:rPr>
        <w:t>按照</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需求牵引、应用至上、数字赋能、提升能力</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的</w:t>
      </w:r>
      <w:r>
        <w:rPr>
          <w:rFonts w:hint="eastAsia" w:ascii="仿宋_GB2312" w:hAnsi="仿宋_GB2312" w:eastAsia="仿宋_GB2312" w:cs="仿宋_GB2312"/>
          <w:color w:val="auto"/>
          <w:kern w:val="0"/>
          <w:sz w:val="32"/>
          <w:szCs w:val="32"/>
          <w:highlight w:val="none"/>
          <w:lang w:val="en-US" w:eastAsia="zh-CN"/>
        </w:rPr>
        <w:t>要求，持续做好</w:t>
      </w:r>
      <w:r>
        <w:rPr>
          <w:rFonts w:hint="default" w:ascii="仿宋_GB2312" w:hAnsi="仿宋_GB2312" w:eastAsia="仿宋_GB2312" w:cs="仿宋_GB2312"/>
          <w:color w:val="auto"/>
          <w:kern w:val="0"/>
          <w:sz w:val="32"/>
          <w:szCs w:val="32"/>
          <w:highlight w:val="none"/>
          <w:lang w:val="en-US" w:eastAsia="zh-CN"/>
        </w:rPr>
        <w:t>开都</w:t>
      </w:r>
      <w:r>
        <w:rPr>
          <w:rFonts w:hint="eastAsia" w:ascii="仿宋_GB2312" w:hAnsi="仿宋_GB2312" w:eastAsia="仿宋_GB2312" w:cs="仿宋_GB2312"/>
          <w:color w:val="auto"/>
          <w:kern w:val="0"/>
          <w:sz w:val="32"/>
          <w:szCs w:val="32"/>
          <w:highlight w:val="none"/>
          <w:lang w:val="en-US" w:eastAsia="zh-CN"/>
        </w:rPr>
        <w:t>孔雀河</w:t>
      </w:r>
      <w:r>
        <w:rPr>
          <w:rFonts w:hint="default" w:ascii="仿宋_GB2312" w:hAnsi="仿宋_GB2312" w:eastAsia="仿宋_GB2312" w:cs="仿宋_GB2312"/>
          <w:color w:val="auto"/>
          <w:kern w:val="0"/>
          <w:sz w:val="32"/>
          <w:szCs w:val="32"/>
          <w:highlight w:val="none"/>
          <w:lang w:val="en-US" w:eastAsia="zh-CN"/>
        </w:rPr>
        <w:t>数字孪生流域示范项目</w:t>
      </w:r>
      <w:r>
        <w:rPr>
          <w:rFonts w:hint="eastAsia" w:ascii="仿宋_GB2312" w:hAnsi="仿宋_GB2312" w:eastAsia="仿宋_GB2312" w:cs="仿宋_GB2312"/>
          <w:color w:val="auto"/>
          <w:kern w:val="0"/>
          <w:sz w:val="32"/>
          <w:szCs w:val="32"/>
          <w:highlight w:val="none"/>
          <w:lang w:val="en-US" w:eastAsia="zh-CN"/>
        </w:rPr>
        <w:t>建设</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加快智慧塔河建设，</w:t>
      </w:r>
      <w:r>
        <w:rPr>
          <w:rFonts w:hint="default" w:ascii="仿宋_GB2312" w:hAnsi="仿宋_GB2312" w:eastAsia="仿宋_GB2312" w:cs="仿宋_GB2312"/>
          <w:color w:val="auto"/>
          <w:kern w:val="0"/>
          <w:sz w:val="32"/>
          <w:szCs w:val="32"/>
          <w:highlight w:val="none"/>
          <w:lang w:val="en-US" w:eastAsia="zh-CN"/>
        </w:rPr>
        <w:t>编制完成《智慧塔河工程顶层方案（初稿）》</w:t>
      </w:r>
      <w:r>
        <w:rPr>
          <w:rFonts w:hint="eastAsia" w:ascii="仿宋_GB2312" w:hAnsi="仿宋_GB2312" w:eastAsia="仿宋_GB2312" w:cs="仿宋_GB2312"/>
          <w:color w:val="auto"/>
          <w:kern w:val="0"/>
          <w:sz w:val="32"/>
          <w:szCs w:val="32"/>
          <w:highlight w:val="none"/>
          <w:lang w:val="en-US" w:eastAsia="zh-CN"/>
        </w:rPr>
        <w:t>《</w:t>
      </w:r>
      <w:r>
        <w:rPr>
          <w:rFonts w:hint="default" w:ascii="仿宋_GB2312" w:hAnsi="仿宋_GB2312" w:eastAsia="仿宋_GB2312" w:cs="仿宋_GB2312"/>
          <w:color w:val="auto"/>
          <w:kern w:val="0"/>
          <w:sz w:val="32"/>
          <w:szCs w:val="32"/>
          <w:highlight w:val="none"/>
          <w:lang w:val="en-US" w:eastAsia="zh-CN"/>
        </w:rPr>
        <w:t>流域水资源管理遥感监测实施方案</w:t>
      </w:r>
      <w:r>
        <w:rPr>
          <w:rFonts w:hint="eastAsia" w:ascii="仿宋_GB2312" w:hAnsi="仿宋_GB2312" w:eastAsia="仿宋_GB2312" w:cs="仿宋_GB2312"/>
          <w:color w:val="auto"/>
          <w:kern w:val="0"/>
          <w:sz w:val="32"/>
          <w:szCs w:val="32"/>
          <w:highlight w:val="none"/>
          <w:lang w:val="en-US" w:eastAsia="zh-CN"/>
        </w:rPr>
        <w:t>》，为智慧水利提供建设基础</w:t>
      </w:r>
      <w:r>
        <w:rPr>
          <w:rFonts w:hint="default"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组织开展塔管局信</w:t>
      </w:r>
      <w:r>
        <w:rPr>
          <w:rFonts w:hint="default" w:ascii="仿宋_GB2312" w:hAnsi="仿宋_GB2312" w:eastAsia="仿宋_GB2312" w:cs="仿宋_GB2312"/>
          <w:color w:val="auto"/>
          <w:kern w:val="0"/>
          <w:sz w:val="32"/>
          <w:szCs w:val="32"/>
          <w:highlight w:val="none"/>
          <w:lang w:val="en-US" w:eastAsia="zh-CN"/>
        </w:rPr>
        <w:t>息化安全改造项目</w:t>
      </w:r>
      <w:r>
        <w:rPr>
          <w:rFonts w:hint="eastAsia" w:ascii="仿宋_GB2312" w:hAnsi="仿宋_GB2312" w:eastAsia="仿宋_GB2312" w:cs="仿宋_GB2312"/>
          <w:color w:val="auto"/>
          <w:kern w:val="0"/>
          <w:sz w:val="32"/>
          <w:szCs w:val="32"/>
          <w:highlight w:val="none"/>
          <w:lang w:val="en-US" w:eastAsia="zh-CN"/>
        </w:rPr>
        <w:t>，并对塔河“一张图”、水资源管理与调度业务、防汛预警业务、塔河水情APP等塔管局综合业务平台进行升级。稳步推进塔里木河流域数据容灾备份中心建设，实现重要数据的容灾备份保护，有效保障业务连续性。</w:t>
      </w:r>
    </w:p>
    <w:p>
      <w:pPr>
        <w:pageBreakBefore w:val="0"/>
        <w:numPr>
          <w:ilvl w:val="0"/>
          <w:numId w:val="0"/>
        </w:numPr>
        <w:kinsoku/>
        <w:wordWrap/>
        <w:overflowPunct/>
        <w:topLinePunct w:val="0"/>
        <w:autoSpaceDE/>
        <w:autoSpaceDN/>
        <w:bidi w:val="0"/>
        <w:adjustRightInd/>
        <w:spacing w:line="560" w:lineRule="exact"/>
        <w:ind w:left="0" w:leftChars="0" w:right="0" w:rightChars="0" w:firstLine="643" w:firstLineChars="200"/>
        <w:jc w:val="both"/>
        <w:textAlignment w:val="auto"/>
        <w:rPr>
          <w:rFonts w:hint="default"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十是</w:t>
      </w:r>
      <w:r>
        <w:rPr>
          <w:rFonts w:hint="eastAsia" w:ascii="仿宋_GB2312" w:hAnsi="仿宋_GB2312" w:eastAsia="仿宋_GB2312" w:cs="仿宋_GB2312"/>
          <w:color w:val="auto"/>
          <w:kern w:val="0"/>
          <w:sz w:val="32"/>
          <w:szCs w:val="32"/>
          <w:highlight w:val="none"/>
          <w:lang w:val="en-US" w:eastAsia="zh-CN"/>
        </w:rPr>
        <w:t>深化流域改革，健全完善流域管理制度体系。积极推进流域机构改革，确定流域管理机构由当前“四源一干”到“九源一干”的改革目标，逐步建立全流域统一的水资源管理调度体系。持续</w:t>
      </w:r>
      <w:r>
        <w:rPr>
          <w:rFonts w:hint="default" w:ascii="仿宋_GB2312" w:hAnsi="仿宋_GB2312" w:eastAsia="仿宋_GB2312" w:cs="仿宋_GB2312"/>
          <w:color w:val="auto"/>
          <w:kern w:val="0"/>
          <w:sz w:val="32"/>
          <w:szCs w:val="32"/>
          <w:highlight w:val="none"/>
          <w:lang w:val="en-US" w:eastAsia="zh-CN"/>
        </w:rPr>
        <w:t>推进《塔里木河流域水资源管理条例》第三次修订工作</w:t>
      </w:r>
      <w:r>
        <w:rPr>
          <w:rFonts w:hint="default" w:ascii="仿宋_GB2312" w:hAnsi="仿宋_GB2312" w:eastAsia="仿宋_GB2312" w:cs="仿宋_GB2312"/>
          <w:color w:val="auto"/>
          <w:kern w:val="0"/>
          <w:sz w:val="32"/>
          <w:szCs w:val="32"/>
          <w:highlight w:val="none"/>
          <w:lang w:eastAsia="zh-CN"/>
        </w:rPr>
        <w:t>。按照塔管局水行政许可“四个一”改革工作方案要求</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eastAsia="zh-CN"/>
        </w:rPr>
        <w:t>着力强化窗口建设</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eastAsia="zh-CN"/>
        </w:rPr>
        <w:t>多措优化审批服务</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eastAsia="zh-CN"/>
        </w:rPr>
        <w:t>提高行政审批效率和服务质量</w:t>
      </w:r>
      <w:r>
        <w:rPr>
          <w:rFonts w:hint="eastAsia" w:ascii="仿宋_GB2312" w:hAnsi="仿宋_GB2312" w:eastAsia="仿宋_GB2312" w:cs="仿宋_GB2312"/>
          <w:color w:val="auto"/>
          <w:kern w:val="0"/>
          <w:sz w:val="32"/>
          <w:szCs w:val="32"/>
          <w:highlight w:val="none"/>
          <w:lang w:eastAsia="zh-CN"/>
        </w:rPr>
        <w:t>，</w:t>
      </w:r>
      <w:r>
        <w:rPr>
          <w:rFonts w:hint="default" w:ascii="仿宋_GB2312" w:hAnsi="仿宋_GB2312" w:eastAsia="仿宋_GB2312" w:cs="仿宋_GB2312"/>
          <w:color w:val="auto"/>
          <w:kern w:val="0"/>
          <w:sz w:val="32"/>
          <w:szCs w:val="32"/>
          <w:highlight w:val="none"/>
          <w:lang w:eastAsia="zh-CN"/>
        </w:rPr>
        <w:t>依法依规办理水行政许可事项</w:t>
      </w:r>
      <w:r>
        <w:rPr>
          <w:rFonts w:hint="eastAsia" w:ascii="仿宋_GB2312" w:hAnsi="仿宋_GB2312" w:eastAsia="仿宋_GB2312" w:cs="仿宋_GB2312"/>
          <w:color w:val="auto"/>
          <w:kern w:val="0"/>
          <w:sz w:val="32"/>
          <w:szCs w:val="32"/>
          <w:highlight w:val="none"/>
          <w:lang w:val="en-US" w:eastAsia="zh-CN"/>
        </w:rPr>
        <w:t>56项</w:t>
      </w:r>
      <w:r>
        <w:rPr>
          <w:rFonts w:hint="default" w:ascii="仿宋_GB2312" w:hAnsi="仿宋_GB2312" w:eastAsia="仿宋_GB2312" w:cs="仿宋_GB2312"/>
          <w:color w:val="auto"/>
          <w:kern w:val="0"/>
          <w:sz w:val="32"/>
          <w:szCs w:val="32"/>
          <w:highlight w:val="none"/>
          <w:lang w:eastAsia="zh-CN"/>
        </w:rPr>
        <w:t>。</w:t>
      </w:r>
    </w:p>
    <w:p>
      <w:pPr>
        <w:ind w:firstLine="640" w:firstLineChars="200"/>
        <w:rPr>
          <w:rFonts w:hint="eastAsia" w:ascii="仿宋_GB2312" w:eastAsia="仿宋_GB2312"/>
          <w:sz w:val="32"/>
          <w:szCs w:val="32"/>
        </w:rPr>
      </w:pP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lang w:val="en-US" w:eastAsia="zh-CN"/>
        </w:rPr>
        <w:t>一是</w:t>
      </w:r>
      <w:r>
        <w:rPr>
          <w:rFonts w:ascii="仿宋_GB2312" w:eastAsia="仿宋_GB2312"/>
          <w:sz w:val="32"/>
          <w:szCs w:val="32"/>
        </w:rPr>
        <w:t>部分单位领导对预算绩效工作重视程度不够，预算绩效管理主体责任落实不到位。部分单位主要领导认为绩效评价工作是财务部门工作，导致部分单位编报绩效监控表和绩效报告质量不高，违背了“谁使用，谁监控”的原则，根子上还是单位主要领导思想上不够重视绩效工作。没有将预算绩效当</w:t>
      </w:r>
      <w:r>
        <w:rPr>
          <w:rFonts w:hint="eastAsia" w:ascii="仿宋_GB2312" w:eastAsia="仿宋_GB2312"/>
          <w:sz w:val="32"/>
          <w:szCs w:val="32"/>
          <w:lang w:val="en-US" w:eastAsia="zh-CN"/>
        </w:rPr>
        <w:t>作</w:t>
      </w:r>
      <w:r>
        <w:rPr>
          <w:rFonts w:ascii="仿宋_GB2312" w:eastAsia="仿宋_GB2312"/>
          <w:sz w:val="32"/>
          <w:szCs w:val="32"/>
        </w:rPr>
        <w:t>一项重要的工作来落实。</w:t>
      </w:r>
      <w:r>
        <w:rPr>
          <w:rFonts w:hint="eastAsia" w:ascii="仿宋_GB2312" w:eastAsia="仿宋_GB2312"/>
          <w:sz w:val="32"/>
          <w:szCs w:val="32"/>
          <w:lang w:val="en-US" w:eastAsia="zh-CN"/>
        </w:rPr>
        <w:t>二是</w:t>
      </w:r>
      <w:r>
        <w:rPr>
          <w:rFonts w:ascii="仿宋_GB2312" w:eastAsia="仿宋_GB2312"/>
          <w:sz w:val="32"/>
          <w:szCs w:val="32"/>
        </w:rPr>
        <w:t>部分单位虽已建立预算绩效工作机制，成立了领导小组，但预算绩效机制没有发挥应有的作用。规计、建管、水政业务处室（科室）和财务部门配合不够，未明确各业务处室（科室）的职责，导致具体工作时往往互相推脱，推诿扯皮，造成绩效编报工作质量不高。</w:t>
      </w:r>
      <w:r>
        <w:rPr>
          <w:rFonts w:hint="eastAsia" w:ascii="仿宋_GB2312" w:eastAsia="仿宋_GB2312"/>
          <w:sz w:val="32"/>
          <w:szCs w:val="32"/>
          <w:lang w:val="en-US" w:eastAsia="zh-CN"/>
        </w:rPr>
        <w:t>三是</w:t>
      </w:r>
      <w:r>
        <w:rPr>
          <w:rFonts w:ascii="仿宋_GB2312" w:eastAsia="仿宋_GB2312"/>
          <w:sz w:val="32"/>
          <w:szCs w:val="32"/>
        </w:rPr>
        <w:t>部分单位项目绩效监控表和整体支出绩效报告编报不规范、质量不高的情况：1.部分单位设置的项目绩效目标不规范、未按照绩效目标要求的格式申报。2.部分单位上报的项目绩效报告和在整体支出绩效报告与实际开展工作有一定偏差。3.单位上报的绩效目标和报告过于简单，与财政要求有一定差距，主要原因预算绩效这两年变动大，要求多，培训和学习的深度广度不够。4.各单位绩效监控领导小组和办公室对上报的绩效报表和报告审核把关不严，究其原因还是没有将工作落实到位</w:t>
      </w:r>
      <w:r>
        <w:rPr>
          <w:rFonts w:hint="eastAsia" w:ascii="仿宋_GB2312" w:eastAsia="仿宋_GB2312"/>
          <w:sz w:val="32"/>
          <w:szCs w:val="32"/>
        </w:rPr>
        <w:t>。</w:t>
      </w:r>
    </w:p>
    <w:p>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sz w:val="32"/>
          <w:szCs w:val="32"/>
        </w:rPr>
        <w:t>下一步改进措施：</w:t>
      </w:r>
      <w:r>
        <w:rPr>
          <w:rFonts w:hint="eastAsia" w:ascii="仿宋_GB2312" w:eastAsia="仿宋_GB2312"/>
          <w:sz w:val="32"/>
          <w:szCs w:val="32"/>
          <w:lang w:val="en-US" w:eastAsia="zh-CN"/>
        </w:rPr>
        <w:t>一是</w:t>
      </w:r>
      <w:r>
        <w:rPr>
          <w:rFonts w:ascii="仿宋_GB2312" w:eastAsia="仿宋_GB2312"/>
          <w:sz w:val="32"/>
          <w:szCs w:val="32"/>
        </w:rPr>
        <w:t>提高政治站位,高度重视预算绩效工作。全面实施预算绩效管理是政府治理方式的深刻变革，是一项长期的系统性工程，涉及面广、难度大。各单位各部门要切实把思想认识行动统一到党中央、国务院决策部署上来，进一步增强责任感和紧迫感。全面实施预算绩效管理作为当前和今后一段时期财政预算工作的重点，真抓实干、常抓不懈，确保全面实施预算绩效管理各项改革任务落到实处，不断提高财政资源配置效率和使用效益。</w:t>
      </w:r>
      <w:r>
        <w:rPr>
          <w:rFonts w:hint="eastAsia" w:ascii="仿宋_GB2312" w:eastAsia="仿宋_GB2312"/>
          <w:sz w:val="32"/>
          <w:szCs w:val="32"/>
          <w:lang w:val="en-US" w:eastAsia="zh-CN"/>
        </w:rPr>
        <w:t>二是</w:t>
      </w:r>
      <w:r>
        <w:rPr>
          <w:rFonts w:ascii="仿宋_GB2312" w:eastAsia="仿宋_GB2312"/>
          <w:sz w:val="32"/>
          <w:szCs w:val="32"/>
        </w:rPr>
        <w:t>建立健全预算绩效体制和工作机制。要求局属各单位必须建立健全预算绩效管理工作领导小组，明确领导小组和办公室职责，制定适合本单位的预算绩效工作制度。单位主要领导负责本单位预算绩效管理工作。组织安排绩效工作办公室成员联合开展预算绩效管理工作。</w:t>
      </w:r>
      <w:r>
        <w:rPr>
          <w:rFonts w:hint="eastAsia" w:ascii="仿宋_GB2312" w:eastAsia="仿宋_GB2312"/>
          <w:sz w:val="32"/>
          <w:szCs w:val="32"/>
          <w:lang w:val="en-US" w:eastAsia="zh-CN"/>
        </w:rPr>
        <w:t>三是</w:t>
      </w:r>
      <w:r>
        <w:rPr>
          <w:rFonts w:ascii="仿宋_GB2312" w:eastAsia="仿宋_GB2312"/>
          <w:sz w:val="32"/>
          <w:szCs w:val="32"/>
        </w:rPr>
        <w:t>做好培训，业务交流学习。加大预算绩效管理基础理论和实务操作统一培训力度，对各预算单位领导、业务科室负责人及相关业务人员等开展多层次辅导和培训。邀请财政厅、水利厅或第三方机构绩效业务工程师来塔管局开展绩效工作培训，交流，促进塔管局绩效工作能力的整体提升。</w:t>
      </w:r>
      <w:r>
        <w:rPr>
          <w:rFonts w:hint="eastAsia" w:ascii="仿宋_GB2312" w:eastAsia="仿宋_GB2312"/>
          <w:sz w:val="32"/>
          <w:szCs w:val="32"/>
          <w:lang w:val="en-US" w:eastAsia="zh-CN"/>
        </w:rPr>
        <w:t>四是</w:t>
      </w:r>
      <w:r>
        <w:rPr>
          <w:rFonts w:ascii="仿宋_GB2312" w:eastAsia="仿宋_GB2312"/>
          <w:sz w:val="32"/>
          <w:szCs w:val="32"/>
        </w:rPr>
        <w:t>加强绩效管理工作考核。将预算绩效评价结果纳入年终绩效考核体系。塔管局负责对预算绩效管理工作情况进行考核。要建立考核结果通报制度，对工作成效明显的单位和部门给予表彰，对工作推进不力的进行约谈并责令限期整改</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DE5775"/>
    <w:multiLevelType w:val="singleLevel"/>
    <w:tmpl w:val="66DE5775"/>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EB5A13"/>
    <w:rsid w:val="02BD3108"/>
    <w:rsid w:val="02F73D26"/>
    <w:rsid w:val="034D4FEF"/>
    <w:rsid w:val="035D1785"/>
    <w:rsid w:val="039F47CE"/>
    <w:rsid w:val="03E05CE8"/>
    <w:rsid w:val="03F973EE"/>
    <w:rsid w:val="043E5B56"/>
    <w:rsid w:val="04774FA8"/>
    <w:rsid w:val="04C04386"/>
    <w:rsid w:val="04D96608"/>
    <w:rsid w:val="04FA68C4"/>
    <w:rsid w:val="053F5AE6"/>
    <w:rsid w:val="057C0B0F"/>
    <w:rsid w:val="05EF4B48"/>
    <w:rsid w:val="05F76ECA"/>
    <w:rsid w:val="06792773"/>
    <w:rsid w:val="06A411DD"/>
    <w:rsid w:val="07093795"/>
    <w:rsid w:val="07804730"/>
    <w:rsid w:val="079052BE"/>
    <w:rsid w:val="08145C21"/>
    <w:rsid w:val="08422688"/>
    <w:rsid w:val="085854ED"/>
    <w:rsid w:val="0879188F"/>
    <w:rsid w:val="08A0354D"/>
    <w:rsid w:val="08CD4C49"/>
    <w:rsid w:val="09114954"/>
    <w:rsid w:val="094E7C9F"/>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3472FE"/>
    <w:rsid w:val="0E640559"/>
    <w:rsid w:val="0F1113DA"/>
    <w:rsid w:val="0F78534A"/>
    <w:rsid w:val="0F89358A"/>
    <w:rsid w:val="0F8C6D51"/>
    <w:rsid w:val="105B0B5E"/>
    <w:rsid w:val="112E58D0"/>
    <w:rsid w:val="11326EA3"/>
    <w:rsid w:val="11731CAC"/>
    <w:rsid w:val="119500A0"/>
    <w:rsid w:val="11C0733B"/>
    <w:rsid w:val="11D50D17"/>
    <w:rsid w:val="120E0809"/>
    <w:rsid w:val="127F665A"/>
    <w:rsid w:val="12F7068C"/>
    <w:rsid w:val="14207DC0"/>
    <w:rsid w:val="14B932DA"/>
    <w:rsid w:val="14BB3922"/>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394408"/>
    <w:rsid w:val="184510FD"/>
    <w:rsid w:val="190648B0"/>
    <w:rsid w:val="19071D6C"/>
    <w:rsid w:val="19D26CD4"/>
    <w:rsid w:val="19E60D19"/>
    <w:rsid w:val="1A3E3450"/>
    <w:rsid w:val="1AD807E5"/>
    <w:rsid w:val="1B39345B"/>
    <w:rsid w:val="1BFB2A1F"/>
    <w:rsid w:val="1C015D4A"/>
    <w:rsid w:val="1C290ED5"/>
    <w:rsid w:val="1C317E4F"/>
    <w:rsid w:val="1C472464"/>
    <w:rsid w:val="1D22799A"/>
    <w:rsid w:val="1D4E1FE0"/>
    <w:rsid w:val="1D5C1A72"/>
    <w:rsid w:val="1DAF458D"/>
    <w:rsid w:val="1E086ACE"/>
    <w:rsid w:val="1E62130A"/>
    <w:rsid w:val="1E97358B"/>
    <w:rsid w:val="1EAA4A5F"/>
    <w:rsid w:val="1EE869A7"/>
    <w:rsid w:val="1FA15E62"/>
    <w:rsid w:val="1FDC2F2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A84410"/>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0439D"/>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0C596B"/>
    <w:rsid w:val="3118796D"/>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8E5067A"/>
    <w:rsid w:val="3914510A"/>
    <w:rsid w:val="3926770B"/>
    <w:rsid w:val="398D3668"/>
    <w:rsid w:val="39DA0497"/>
    <w:rsid w:val="3A6929C1"/>
    <w:rsid w:val="3A893816"/>
    <w:rsid w:val="3A893B6D"/>
    <w:rsid w:val="3AD1763A"/>
    <w:rsid w:val="3B5B79FE"/>
    <w:rsid w:val="3B6716E3"/>
    <w:rsid w:val="3B6C6B2D"/>
    <w:rsid w:val="3C242659"/>
    <w:rsid w:val="3C96719C"/>
    <w:rsid w:val="3CA72BE8"/>
    <w:rsid w:val="3CB71CE3"/>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BF001B"/>
    <w:rsid w:val="41431AD5"/>
    <w:rsid w:val="414B3C0F"/>
    <w:rsid w:val="417C1CE7"/>
    <w:rsid w:val="41900018"/>
    <w:rsid w:val="41944406"/>
    <w:rsid w:val="41CE128F"/>
    <w:rsid w:val="41DA6F12"/>
    <w:rsid w:val="42171FB1"/>
    <w:rsid w:val="434E6957"/>
    <w:rsid w:val="43A67D16"/>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951F7"/>
    <w:rsid w:val="494A7A04"/>
    <w:rsid w:val="4A0A26D2"/>
    <w:rsid w:val="4A2019A5"/>
    <w:rsid w:val="4A241A0B"/>
    <w:rsid w:val="4A6408F6"/>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741E06"/>
    <w:rsid w:val="55DA564E"/>
    <w:rsid w:val="5604127D"/>
    <w:rsid w:val="56166703"/>
    <w:rsid w:val="56510474"/>
    <w:rsid w:val="56861525"/>
    <w:rsid w:val="56A93273"/>
    <w:rsid w:val="56BD550C"/>
    <w:rsid w:val="56E07045"/>
    <w:rsid w:val="56FF28AF"/>
    <w:rsid w:val="57540E7D"/>
    <w:rsid w:val="57646DAC"/>
    <w:rsid w:val="577B4878"/>
    <w:rsid w:val="57926973"/>
    <w:rsid w:val="58175352"/>
    <w:rsid w:val="581F2200"/>
    <w:rsid w:val="583059FA"/>
    <w:rsid w:val="584A0929"/>
    <w:rsid w:val="58AE2AA6"/>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B66BC9"/>
    <w:rsid w:val="64C8688A"/>
    <w:rsid w:val="64D6010D"/>
    <w:rsid w:val="64D82665"/>
    <w:rsid w:val="64E47C96"/>
    <w:rsid w:val="651E5741"/>
    <w:rsid w:val="65744FC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7A5EF7"/>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416996"/>
    <w:rsid w:val="6E9C74ED"/>
    <w:rsid w:val="6EF72976"/>
    <w:rsid w:val="6F795A80"/>
    <w:rsid w:val="6F7C1D2E"/>
    <w:rsid w:val="6F8E0407"/>
    <w:rsid w:val="6FAA712E"/>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B3EC4"/>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526E4D"/>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after="120"/>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Table of Authorities"/>
    <w:basedOn w:val="1"/>
    <w:next w:val="1"/>
    <w:qFormat/>
    <w:uiPriority w:val="0"/>
    <w:pPr>
      <w:ind w:left="200" w:leftChars="200"/>
    </w:pPr>
  </w:style>
  <w:style w:type="character" w:customStyle="1" w:styleId="18">
    <w:name w:val="NormalCharacter"/>
    <w:semiHidden/>
    <w:qFormat/>
    <w:uiPriority w:val="99"/>
    <w:rPr>
      <w:rFonts w:eastAsia="仿宋_GB2312"/>
      <w:kern w:val="2"/>
      <w:sz w:val="32"/>
      <w:lang w:val="en-US" w:eastAsia="zh-CN" w:bidi="ar-SA"/>
    </w:rPr>
  </w:style>
  <w:style w:type="paragraph" w:customStyle="1" w:styleId="19">
    <w:name w:val="BodyText1I2"/>
    <w:basedOn w:val="20"/>
    <w:qFormat/>
    <w:uiPriority w:val="0"/>
    <w:pPr>
      <w:spacing w:after="120"/>
      <w:ind w:left="420" w:leftChars="200" w:firstLine="420" w:firstLineChars="200"/>
      <w:jc w:val="both"/>
      <w:textAlignment w:val="baseline"/>
    </w:pPr>
  </w:style>
  <w:style w:type="paragraph" w:customStyle="1" w:styleId="20">
    <w:name w:val="BodyTextIndent"/>
    <w:basedOn w:val="1"/>
    <w:qFormat/>
    <w:uiPriority w:val="0"/>
    <w:pPr>
      <w:spacing w:after="120"/>
      <w:ind w:left="420" w:leftChars="200"/>
      <w:jc w:val="both"/>
      <w:textAlignment w:val="baseline"/>
    </w:pPr>
    <w:rPr>
      <w:rFonts w:ascii="Times New Roman" w:hAnsi="Times New Roman" w:cs="Times New Roman"/>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11758</Words>
  <Characters>13170</Characters>
  <Lines>0</Lines>
  <Paragraphs>0</Paragraphs>
  <TotalTime>28</TotalTime>
  <ScaleCrop>false</ScaleCrop>
  <LinksUpToDate>false</LinksUpToDate>
  <CharactersWithSpaces>13187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2024-08-22T12:02:00Z</cp:lastPrinted>
  <dcterms:modified xsi:type="dcterms:W3CDTF">2024-09-11T15:48:19Z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