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1" w:after="0" w:afterAutospacing="1" w:line="560" w:lineRule="atLeast"/>
        <w:ind w:left="0" w:right="0" w:firstLine="0"/>
        <w:jc w:val="center"/>
        <w:rPr>
          <w:rFonts w:ascii="微软雅黑" w:hAnsi="微软雅黑" w:eastAsia="微软雅黑" w:cs="微软雅黑"/>
          <w:i w:val="0"/>
          <w:caps w:val="0"/>
          <w:color w:val="000000"/>
          <w:spacing w:val="0"/>
          <w:sz w:val="27"/>
          <w:szCs w:val="27"/>
        </w:rPr>
      </w:pPr>
      <w:r>
        <w:rPr>
          <w:rFonts w:ascii="方正小标宋_GBK" w:hAnsi="方正小标宋_GBK" w:eastAsia="方正小标宋_GBK" w:cs="方正小标宋_GBK"/>
          <w:i w:val="0"/>
          <w:caps w:val="0"/>
          <w:color w:val="000000"/>
          <w:spacing w:val="0"/>
          <w:sz w:val="44"/>
          <w:szCs w:val="44"/>
        </w:rPr>
        <w:t>新疆维吾尔自治区塔里木河流域管理局信息中心</w:t>
      </w:r>
    </w:p>
    <w:p>
      <w:pPr>
        <w:pStyle w:val="2"/>
        <w:keepNext w:val="0"/>
        <w:keepLines w:val="0"/>
        <w:widowControl/>
        <w:suppressLineNumbers w:val="0"/>
        <w:spacing w:before="0" w:beforeAutospacing="1" w:after="0" w:afterAutospacing="1" w:line="560" w:lineRule="atLeast"/>
        <w:ind w:left="0" w:right="0" w:firstLine="0"/>
        <w:jc w:val="center"/>
        <w:rPr>
          <w:rFonts w:hint="eastAsia" w:ascii="微软雅黑" w:hAnsi="微软雅黑" w:eastAsia="微软雅黑" w:cs="微软雅黑"/>
          <w:i w:val="0"/>
          <w:caps w:val="0"/>
          <w:color w:val="000000"/>
          <w:spacing w:val="0"/>
          <w:sz w:val="27"/>
          <w:szCs w:val="27"/>
        </w:rPr>
      </w:pPr>
      <w:r>
        <w:rPr>
          <w:rFonts w:hint="default" w:ascii="方正小标宋_GBK" w:hAnsi="方正小标宋_GBK" w:eastAsia="方正小标宋_GBK" w:cs="方正小标宋_GBK"/>
          <w:i w:val="0"/>
          <w:caps w:val="0"/>
          <w:color w:val="000000"/>
          <w:spacing w:val="0"/>
          <w:sz w:val="44"/>
          <w:szCs w:val="44"/>
        </w:rPr>
        <w:t> 2023年度部门决算</w:t>
      </w:r>
    </w:p>
    <w:p>
      <w:pPr>
        <w:pStyle w:val="2"/>
        <w:keepNext w:val="0"/>
        <w:keepLines w:val="0"/>
        <w:widowControl/>
        <w:suppressLineNumbers w:val="0"/>
        <w:spacing w:before="0" w:beforeAutospacing="1" w:after="0" w:afterAutospacing="1" w:line="560" w:lineRule="atLeast"/>
        <w:ind w:left="0" w:right="0" w:firstLine="0"/>
        <w:jc w:val="center"/>
        <w:rPr>
          <w:rFonts w:hint="eastAsia" w:ascii="微软雅黑" w:hAnsi="微软雅黑" w:eastAsia="微软雅黑" w:cs="微软雅黑"/>
          <w:i w:val="0"/>
          <w:caps w:val="0"/>
          <w:color w:val="000000"/>
          <w:spacing w:val="0"/>
          <w:sz w:val="27"/>
          <w:szCs w:val="27"/>
        </w:rPr>
      </w:pPr>
      <w:r>
        <w:rPr>
          <w:rFonts w:hint="default" w:ascii="方正小标宋_GBK" w:hAnsi="方正小标宋_GBK" w:eastAsia="方正小标宋_GBK" w:cs="方正小标宋_GBK"/>
          <w:i w:val="0"/>
          <w:caps w:val="0"/>
          <w:color w:val="000000"/>
          <w:spacing w:val="0"/>
          <w:sz w:val="44"/>
          <w:szCs w:val="44"/>
        </w:rPr>
        <w:t>公开说明</w:t>
      </w:r>
    </w:p>
    <w:p>
      <w:pPr>
        <w:pStyle w:val="2"/>
        <w:keepNext w:val="0"/>
        <w:keepLines w:val="0"/>
        <w:widowControl/>
        <w:suppressLineNumbers w:val="0"/>
        <w:spacing w:before="0" w:beforeAutospacing="1" w:after="0" w:afterAutospacing="1" w:line="560" w:lineRule="atLeast"/>
        <w:ind w:left="0" w:right="0" w:firstLine="0"/>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rPr>
        <w:t> </w:t>
      </w:r>
    </w:p>
    <w:p>
      <w:pPr>
        <w:pStyle w:val="2"/>
        <w:keepNext w:val="0"/>
        <w:keepLines w:val="0"/>
        <w:widowControl/>
        <w:suppressLineNumbers w:val="0"/>
        <w:spacing w:before="0" w:beforeAutospacing="1" w:after="0" w:afterAutospacing="1" w:line="560" w:lineRule="atLeast"/>
        <w:ind w:left="0" w:right="0" w:firstLine="0"/>
        <w:rPr>
          <w:rFonts w:hint="eastAsia" w:ascii="宋体" w:hAnsi="宋体" w:eastAsia="宋体" w:cs="宋体"/>
          <w:i w:val="0"/>
          <w:caps w:val="0"/>
          <w:color w:val="000000"/>
          <w:spacing w:val="0"/>
          <w:sz w:val="24"/>
          <w:szCs w:val="24"/>
        </w:rPr>
      </w:pPr>
    </w:p>
    <w:p>
      <w:pPr>
        <w:pStyle w:val="2"/>
        <w:keepNext w:val="0"/>
        <w:keepLines w:val="0"/>
        <w:widowControl/>
        <w:suppressLineNumbers w:val="0"/>
        <w:spacing w:before="0" w:beforeAutospacing="1" w:after="0" w:afterAutospacing="1" w:line="560" w:lineRule="atLeast"/>
        <w:ind w:left="0" w:right="0" w:firstLine="0"/>
        <w:rPr>
          <w:rFonts w:hint="eastAsia" w:ascii="宋体" w:hAnsi="宋体" w:eastAsia="宋体" w:cs="宋体"/>
          <w:i w:val="0"/>
          <w:caps w:val="0"/>
          <w:color w:val="000000"/>
          <w:spacing w:val="0"/>
          <w:sz w:val="24"/>
          <w:szCs w:val="24"/>
        </w:rPr>
      </w:pPr>
    </w:p>
    <w:p>
      <w:pPr>
        <w:pStyle w:val="2"/>
        <w:keepNext w:val="0"/>
        <w:keepLines w:val="0"/>
        <w:widowControl/>
        <w:suppressLineNumbers w:val="0"/>
        <w:spacing w:before="0" w:beforeAutospacing="1" w:after="0" w:afterAutospacing="1" w:line="560" w:lineRule="atLeast"/>
        <w:ind w:left="0" w:right="0" w:firstLine="0"/>
        <w:rPr>
          <w:rFonts w:hint="eastAsia" w:ascii="宋体" w:hAnsi="宋体" w:eastAsia="宋体" w:cs="宋体"/>
          <w:i w:val="0"/>
          <w:caps w:val="0"/>
          <w:color w:val="000000"/>
          <w:spacing w:val="0"/>
          <w:sz w:val="24"/>
          <w:szCs w:val="24"/>
        </w:rPr>
      </w:pPr>
    </w:p>
    <w:p>
      <w:pPr>
        <w:pStyle w:val="2"/>
        <w:keepNext w:val="0"/>
        <w:keepLines w:val="0"/>
        <w:widowControl/>
        <w:suppressLineNumbers w:val="0"/>
        <w:spacing w:before="0" w:beforeAutospacing="1" w:after="0" w:afterAutospacing="1" w:line="560" w:lineRule="atLeast"/>
        <w:ind w:left="0" w:right="0" w:firstLine="0"/>
        <w:rPr>
          <w:rFonts w:hint="eastAsia" w:ascii="宋体" w:hAnsi="宋体" w:eastAsia="宋体" w:cs="宋体"/>
          <w:i w:val="0"/>
          <w:caps w:val="0"/>
          <w:color w:val="000000"/>
          <w:spacing w:val="0"/>
          <w:sz w:val="24"/>
          <w:szCs w:val="24"/>
        </w:rPr>
      </w:pPr>
    </w:p>
    <w:p>
      <w:pPr>
        <w:pStyle w:val="2"/>
        <w:keepNext w:val="0"/>
        <w:keepLines w:val="0"/>
        <w:widowControl/>
        <w:suppressLineNumbers w:val="0"/>
        <w:spacing w:before="0" w:beforeAutospacing="1" w:after="0" w:afterAutospacing="1" w:line="560" w:lineRule="atLeast"/>
        <w:ind w:left="0" w:right="0" w:firstLine="0"/>
        <w:rPr>
          <w:rFonts w:hint="eastAsia" w:ascii="宋体" w:hAnsi="宋体" w:eastAsia="宋体" w:cs="宋体"/>
          <w:i w:val="0"/>
          <w:caps w:val="0"/>
          <w:color w:val="000000"/>
          <w:spacing w:val="0"/>
          <w:sz w:val="24"/>
          <w:szCs w:val="24"/>
        </w:rPr>
      </w:pPr>
    </w:p>
    <w:p>
      <w:pPr>
        <w:pStyle w:val="2"/>
        <w:keepNext w:val="0"/>
        <w:keepLines w:val="0"/>
        <w:widowControl/>
        <w:suppressLineNumbers w:val="0"/>
        <w:spacing w:before="0" w:beforeAutospacing="1" w:after="0" w:afterAutospacing="1" w:line="560" w:lineRule="atLeast"/>
        <w:ind w:left="0" w:right="0" w:firstLine="0"/>
        <w:rPr>
          <w:rFonts w:hint="eastAsia" w:ascii="宋体" w:hAnsi="宋体" w:eastAsia="宋体" w:cs="宋体"/>
          <w:i w:val="0"/>
          <w:caps w:val="0"/>
          <w:color w:val="000000"/>
          <w:spacing w:val="0"/>
          <w:sz w:val="24"/>
          <w:szCs w:val="24"/>
        </w:rPr>
      </w:pPr>
    </w:p>
    <w:p>
      <w:pPr>
        <w:pStyle w:val="2"/>
        <w:keepNext w:val="0"/>
        <w:keepLines w:val="0"/>
        <w:widowControl/>
        <w:suppressLineNumbers w:val="0"/>
        <w:spacing w:before="0" w:beforeAutospacing="1" w:after="0" w:afterAutospacing="1" w:line="560" w:lineRule="atLeast"/>
        <w:ind w:left="0" w:right="0" w:firstLine="0"/>
        <w:rPr>
          <w:rFonts w:hint="eastAsia" w:ascii="宋体" w:hAnsi="宋体" w:eastAsia="宋体" w:cs="宋体"/>
          <w:i w:val="0"/>
          <w:caps w:val="0"/>
          <w:color w:val="000000"/>
          <w:spacing w:val="0"/>
          <w:sz w:val="24"/>
          <w:szCs w:val="24"/>
        </w:rPr>
      </w:pPr>
    </w:p>
    <w:p>
      <w:pPr>
        <w:pStyle w:val="2"/>
        <w:keepNext w:val="0"/>
        <w:keepLines w:val="0"/>
        <w:widowControl/>
        <w:suppressLineNumbers w:val="0"/>
        <w:spacing w:before="0" w:beforeAutospacing="1" w:after="0" w:afterAutospacing="1" w:line="560" w:lineRule="atLeast"/>
        <w:ind w:left="0" w:right="0" w:firstLine="0"/>
        <w:rPr>
          <w:rFonts w:hint="eastAsia" w:ascii="宋体" w:hAnsi="宋体" w:eastAsia="宋体" w:cs="宋体"/>
          <w:i w:val="0"/>
          <w:caps w:val="0"/>
          <w:color w:val="000000"/>
          <w:spacing w:val="0"/>
          <w:sz w:val="24"/>
          <w:szCs w:val="24"/>
        </w:rPr>
      </w:pPr>
    </w:p>
    <w:p>
      <w:pPr>
        <w:pStyle w:val="2"/>
        <w:keepNext w:val="0"/>
        <w:keepLines w:val="0"/>
        <w:widowControl/>
        <w:suppressLineNumbers w:val="0"/>
        <w:spacing w:before="0" w:beforeAutospacing="1" w:after="0" w:afterAutospacing="1" w:line="560" w:lineRule="atLeast"/>
        <w:ind w:left="0" w:right="0" w:firstLine="0"/>
        <w:rPr>
          <w:rFonts w:hint="eastAsia" w:ascii="宋体" w:hAnsi="宋体" w:eastAsia="宋体" w:cs="宋体"/>
          <w:i w:val="0"/>
          <w:caps w:val="0"/>
          <w:color w:val="000000"/>
          <w:spacing w:val="0"/>
          <w:sz w:val="24"/>
          <w:szCs w:val="24"/>
        </w:rPr>
      </w:pPr>
    </w:p>
    <w:p>
      <w:pPr>
        <w:pStyle w:val="2"/>
        <w:keepNext w:val="0"/>
        <w:keepLines w:val="0"/>
        <w:widowControl/>
        <w:suppressLineNumbers w:val="0"/>
        <w:spacing w:before="0" w:beforeAutospacing="1" w:after="0" w:afterAutospacing="1" w:line="560" w:lineRule="atLeast"/>
        <w:ind w:left="0" w:right="0" w:firstLine="0"/>
        <w:rPr>
          <w:rFonts w:hint="eastAsia" w:ascii="宋体" w:hAnsi="宋体" w:eastAsia="宋体" w:cs="宋体"/>
          <w:i w:val="0"/>
          <w:caps w:val="0"/>
          <w:color w:val="000000"/>
          <w:spacing w:val="0"/>
          <w:sz w:val="24"/>
          <w:szCs w:val="24"/>
        </w:rPr>
      </w:pPr>
    </w:p>
    <w:p>
      <w:pPr>
        <w:pStyle w:val="2"/>
        <w:keepNext w:val="0"/>
        <w:keepLines w:val="0"/>
        <w:widowControl/>
        <w:suppressLineNumbers w:val="0"/>
        <w:spacing w:before="0" w:beforeAutospacing="1" w:after="0" w:afterAutospacing="1" w:line="560" w:lineRule="atLeast"/>
        <w:ind w:left="0" w:right="0" w:firstLine="0"/>
        <w:jc w:val="center"/>
        <w:rPr>
          <w:rFonts w:hint="eastAsia" w:ascii="微软雅黑" w:hAnsi="微软雅黑" w:eastAsia="微软雅黑" w:cs="微软雅黑"/>
          <w:i w:val="0"/>
          <w:caps w:val="0"/>
          <w:color w:val="000000"/>
          <w:spacing w:val="0"/>
          <w:sz w:val="27"/>
          <w:szCs w:val="27"/>
        </w:rPr>
      </w:pPr>
      <w:r>
        <w:rPr>
          <w:rFonts w:ascii="仿宋_GB2312" w:hAnsi="微软雅黑" w:eastAsia="仿宋_GB2312" w:cs="仿宋_GB2312"/>
          <w:b/>
          <w:i w:val="0"/>
          <w:caps w:val="0"/>
          <w:color w:val="000000"/>
          <w:spacing w:val="0"/>
          <w:sz w:val="36"/>
          <w:szCs w:val="36"/>
        </w:rPr>
        <w:t>目</w:t>
      </w:r>
      <w:r>
        <w:rPr>
          <w:rFonts w:hint="eastAsia" w:ascii="仿宋_GB2312" w:hAnsi="微软雅黑" w:eastAsia="仿宋_GB2312" w:cs="仿宋_GB2312"/>
          <w:b/>
          <w:i w:val="0"/>
          <w:caps w:val="0"/>
          <w:color w:val="000000"/>
          <w:spacing w:val="0"/>
          <w:sz w:val="36"/>
          <w:szCs w:val="36"/>
        </w:rPr>
        <w:t>  录</w:t>
      </w:r>
    </w:p>
    <w:p>
      <w:pPr>
        <w:pStyle w:val="2"/>
        <w:keepNext w:val="0"/>
        <w:keepLines w:val="0"/>
        <w:widowControl/>
        <w:suppressLineNumbers w:val="0"/>
        <w:spacing w:before="100" w:beforeAutospacing="0" w:after="100" w:afterAutospacing="0" w:line="560" w:lineRule="atLeast"/>
        <w:ind w:left="0" w:right="0" w:firstLine="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b/>
          <w:i w:val="0"/>
          <w:caps w:val="0"/>
          <w:color w:val="000000"/>
          <w:spacing w:val="0"/>
          <w:sz w:val="32"/>
          <w:szCs w:val="32"/>
        </w:rPr>
        <w:t>第一部分 单位概况</w:t>
      </w:r>
    </w:p>
    <w:p>
      <w:pPr>
        <w:pStyle w:val="2"/>
        <w:keepNext w:val="0"/>
        <w:keepLines w:val="0"/>
        <w:widowControl/>
        <w:suppressLineNumbers w:val="0"/>
        <w:spacing w:before="100" w:beforeAutospacing="0" w:after="100" w:afterAutospacing="0" w:line="560" w:lineRule="atLeast"/>
        <w:ind w:left="0" w:right="0" w:firstLine="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一、主要职能</w:t>
      </w:r>
    </w:p>
    <w:p>
      <w:pPr>
        <w:pStyle w:val="2"/>
        <w:keepNext w:val="0"/>
        <w:keepLines w:val="0"/>
        <w:widowControl/>
        <w:suppressLineNumbers w:val="0"/>
        <w:spacing w:before="100" w:beforeAutospacing="0" w:after="100" w:afterAutospacing="0" w:line="560" w:lineRule="atLeast"/>
        <w:ind w:left="0" w:right="0" w:firstLine="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二、机构设置及人员情况</w:t>
      </w:r>
    </w:p>
    <w:p>
      <w:pPr>
        <w:pStyle w:val="2"/>
        <w:keepNext w:val="0"/>
        <w:keepLines w:val="0"/>
        <w:widowControl/>
        <w:suppressLineNumbers w:val="0"/>
        <w:spacing w:before="100" w:beforeAutospacing="0" w:after="100" w:afterAutospacing="0" w:line="560" w:lineRule="atLeast"/>
        <w:ind w:left="0" w:right="0" w:firstLine="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b/>
          <w:i w:val="0"/>
          <w:caps w:val="0"/>
          <w:color w:val="000000"/>
          <w:spacing w:val="0"/>
          <w:sz w:val="32"/>
          <w:szCs w:val="32"/>
        </w:rPr>
        <w:t>第二部分 部门决算情况说明</w:t>
      </w:r>
    </w:p>
    <w:p>
      <w:pPr>
        <w:pStyle w:val="2"/>
        <w:keepNext w:val="0"/>
        <w:keepLines w:val="0"/>
        <w:widowControl/>
        <w:suppressLineNumbers w:val="0"/>
        <w:spacing w:before="100" w:beforeAutospacing="0" w:after="100" w:afterAutospacing="0" w:line="560" w:lineRule="atLeast"/>
        <w:ind w:left="0" w:right="0" w:firstLine="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一、收入支出决算总体情况说明</w:t>
      </w:r>
    </w:p>
    <w:p>
      <w:pPr>
        <w:pStyle w:val="2"/>
        <w:keepNext w:val="0"/>
        <w:keepLines w:val="0"/>
        <w:widowControl/>
        <w:suppressLineNumbers w:val="0"/>
        <w:spacing w:before="100" w:beforeAutospacing="0" w:after="100" w:afterAutospacing="0" w:line="560" w:lineRule="atLeast"/>
        <w:ind w:left="0" w:right="0" w:firstLine="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二、收入决算情况说明</w:t>
      </w:r>
    </w:p>
    <w:p>
      <w:pPr>
        <w:pStyle w:val="2"/>
        <w:keepNext w:val="0"/>
        <w:keepLines w:val="0"/>
        <w:widowControl/>
        <w:suppressLineNumbers w:val="0"/>
        <w:spacing w:before="100" w:beforeAutospacing="0" w:after="100" w:afterAutospacing="0" w:line="560" w:lineRule="atLeast"/>
        <w:ind w:left="0" w:right="0" w:firstLine="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三、支出决算情况说明</w:t>
      </w:r>
    </w:p>
    <w:p>
      <w:pPr>
        <w:pStyle w:val="2"/>
        <w:keepNext w:val="0"/>
        <w:keepLines w:val="0"/>
        <w:widowControl/>
        <w:suppressLineNumbers w:val="0"/>
        <w:spacing w:before="100" w:beforeAutospacing="0" w:after="100" w:afterAutospacing="0" w:line="560" w:lineRule="atLeast"/>
        <w:ind w:left="0" w:right="0" w:firstLine="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四、财政拨款收入支出决算总体情况说明</w:t>
      </w:r>
    </w:p>
    <w:p>
      <w:pPr>
        <w:pStyle w:val="2"/>
        <w:keepNext w:val="0"/>
        <w:keepLines w:val="0"/>
        <w:widowControl/>
        <w:suppressLineNumbers w:val="0"/>
        <w:spacing w:before="100" w:beforeAutospacing="0" w:after="100" w:afterAutospacing="0" w:line="560" w:lineRule="atLeast"/>
        <w:ind w:left="0" w:right="0" w:firstLine="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五、一般公共预算财政拨款支出决算情况说明</w:t>
      </w:r>
    </w:p>
    <w:p>
      <w:pPr>
        <w:pStyle w:val="2"/>
        <w:keepNext w:val="0"/>
        <w:keepLines w:val="0"/>
        <w:widowControl/>
        <w:suppressLineNumbers w:val="0"/>
        <w:spacing w:before="100" w:beforeAutospacing="0" w:after="100" w:afterAutospacing="0" w:line="560" w:lineRule="atLeast"/>
        <w:ind w:left="0" w:right="0" w:firstLine="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六、一般公共预算财政拨款基本支出决算情况说明</w:t>
      </w:r>
    </w:p>
    <w:p>
      <w:pPr>
        <w:pStyle w:val="2"/>
        <w:keepNext w:val="0"/>
        <w:keepLines w:val="0"/>
        <w:widowControl/>
        <w:suppressLineNumbers w:val="0"/>
        <w:spacing w:before="100" w:beforeAutospacing="0" w:after="100" w:afterAutospacing="0" w:line="560" w:lineRule="atLeast"/>
        <w:ind w:left="0" w:right="0" w:firstLine="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七、财政拨款“三公”经费支出决算情况说明</w:t>
      </w:r>
    </w:p>
    <w:p>
      <w:pPr>
        <w:pStyle w:val="2"/>
        <w:keepNext w:val="0"/>
        <w:keepLines w:val="0"/>
        <w:widowControl/>
        <w:suppressLineNumbers w:val="0"/>
        <w:spacing w:before="100" w:beforeAutospacing="0" w:after="100" w:afterAutospacing="0" w:line="560" w:lineRule="atLeast"/>
        <w:ind w:left="0" w:right="0" w:firstLine="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八、政府性基金预算财政拨款收入支出决算情况说明</w:t>
      </w:r>
    </w:p>
    <w:p>
      <w:pPr>
        <w:pStyle w:val="2"/>
        <w:keepNext w:val="0"/>
        <w:keepLines w:val="0"/>
        <w:widowControl/>
        <w:suppressLineNumbers w:val="0"/>
        <w:spacing w:before="100" w:beforeAutospacing="0" w:after="100" w:afterAutospacing="0" w:line="560" w:lineRule="atLeast"/>
        <w:ind w:left="0" w:right="0" w:firstLine="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九、国有资本经营预算、财政拨款收入支出决算情况说明</w:t>
      </w:r>
    </w:p>
    <w:p>
      <w:pPr>
        <w:pStyle w:val="2"/>
        <w:keepNext w:val="0"/>
        <w:keepLines w:val="0"/>
        <w:widowControl/>
        <w:suppressLineNumbers w:val="0"/>
        <w:spacing w:before="100" w:beforeAutospacing="0" w:after="100" w:afterAutospacing="0" w:line="560" w:lineRule="atLeast"/>
        <w:ind w:left="0" w:right="0" w:firstLine="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十、其他重要事项的情况说明</w:t>
      </w:r>
    </w:p>
    <w:p>
      <w:pPr>
        <w:pStyle w:val="2"/>
        <w:keepNext w:val="0"/>
        <w:keepLines w:val="0"/>
        <w:widowControl/>
        <w:suppressLineNumbers w:val="0"/>
        <w:spacing w:before="100" w:beforeAutospacing="0" w:after="100" w:afterAutospacing="0" w:line="560" w:lineRule="atLeast"/>
        <w:ind w:left="0" w:right="0" w:firstLine="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（一）机关运行经费支出情况</w:t>
      </w:r>
    </w:p>
    <w:p>
      <w:pPr>
        <w:pStyle w:val="2"/>
        <w:keepNext w:val="0"/>
        <w:keepLines w:val="0"/>
        <w:widowControl/>
        <w:suppressLineNumbers w:val="0"/>
        <w:spacing w:before="100" w:beforeAutospacing="0" w:after="100" w:afterAutospacing="0" w:line="560" w:lineRule="atLeast"/>
        <w:ind w:left="0" w:right="0" w:firstLine="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（二）政府采购情况</w:t>
      </w:r>
    </w:p>
    <w:p>
      <w:pPr>
        <w:pStyle w:val="2"/>
        <w:keepNext w:val="0"/>
        <w:keepLines w:val="0"/>
        <w:widowControl/>
        <w:suppressLineNumbers w:val="0"/>
        <w:spacing w:before="100" w:beforeAutospacing="0" w:after="100" w:afterAutospacing="0" w:line="560" w:lineRule="atLeast"/>
        <w:ind w:left="0" w:right="0" w:firstLine="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（三）国有资产占用情况说明</w:t>
      </w:r>
    </w:p>
    <w:p>
      <w:pPr>
        <w:pStyle w:val="2"/>
        <w:keepNext w:val="0"/>
        <w:keepLines w:val="0"/>
        <w:widowControl/>
        <w:suppressLineNumbers w:val="0"/>
        <w:spacing w:before="100" w:beforeAutospacing="0" w:after="100" w:afterAutospacing="0" w:line="560" w:lineRule="atLeast"/>
        <w:ind w:left="0" w:right="0" w:firstLine="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十一、预算绩效的情况说明</w:t>
      </w:r>
    </w:p>
    <w:p>
      <w:pPr>
        <w:pStyle w:val="2"/>
        <w:keepNext w:val="0"/>
        <w:keepLines w:val="0"/>
        <w:widowControl/>
        <w:suppressLineNumbers w:val="0"/>
        <w:spacing w:before="100" w:beforeAutospacing="0" w:after="100" w:afterAutospacing="0" w:line="560" w:lineRule="atLeast"/>
        <w:ind w:left="0" w:right="0" w:firstLine="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十二、其他需说明的事项</w:t>
      </w:r>
    </w:p>
    <w:p>
      <w:pPr>
        <w:pStyle w:val="2"/>
        <w:keepNext w:val="0"/>
        <w:keepLines w:val="0"/>
        <w:widowControl/>
        <w:suppressLineNumbers w:val="0"/>
        <w:spacing w:before="100" w:beforeAutospacing="0" w:after="100" w:afterAutospacing="0" w:line="560" w:lineRule="atLeast"/>
        <w:ind w:left="0" w:right="0" w:firstLine="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b/>
          <w:i w:val="0"/>
          <w:caps w:val="0"/>
          <w:color w:val="000000"/>
          <w:spacing w:val="0"/>
          <w:sz w:val="32"/>
          <w:szCs w:val="32"/>
        </w:rPr>
        <w:t>第三部分 专业名词解释。</w:t>
      </w:r>
    </w:p>
    <w:p>
      <w:pPr>
        <w:pStyle w:val="2"/>
        <w:keepNext w:val="0"/>
        <w:keepLines w:val="0"/>
        <w:widowControl/>
        <w:suppressLineNumbers w:val="0"/>
        <w:spacing w:before="100" w:beforeAutospacing="0" w:after="100" w:afterAutospacing="0" w:line="560" w:lineRule="atLeast"/>
        <w:ind w:left="0" w:right="0" w:firstLine="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b/>
          <w:i w:val="0"/>
          <w:caps w:val="0"/>
          <w:color w:val="000000"/>
          <w:spacing w:val="0"/>
          <w:sz w:val="32"/>
          <w:szCs w:val="32"/>
        </w:rPr>
        <w:t>第四部分 部门决算报表（见附表）</w:t>
      </w:r>
    </w:p>
    <w:p>
      <w:pPr>
        <w:pStyle w:val="2"/>
        <w:keepNext w:val="0"/>
        <w:keepLines w:val="0"/>
        <w:widowControl/>
        <w:suppressLineNumbers w:val="0"/>
        <w:spacing w:before="100" w:beforeAutospacing="0" w:after="100" w:afterAutospacing="0" w:line="560" w:lineRule="atLeast"/>
        <w:ind w:left="0" w:right="0" w:firstLine="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一、《收入支出决算总表》</w:t>
      </w:r>
    </w:p>
    <w:p>
      <w:pPr>
        <w:pStyle w:val="2"/>
        <w:keepNext w:val="0"/>
        <w:keepLines w:val="0"/>
        <w:widowControl/>
        <w:suppressLineNumbers w:val="0"/>
        <w:spacing w:before="100" w:beforeAutospacing="0" w:after="100" w:afterAutospacing="0" w:line="560" w:lineRule="atLeast"/>
        <w:ind w:left="0" w:right="0" w:firstLine="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二、《收入决算表》</w:t>
      </w:r>
    </w:p>
    <w:p>
      <w:pPr>
        <w:pStyle w:val="2"/>
        <w:keepNext w:val="0"/>
        <w:keepLines w:val="0"/>
        <w:widowControl/>
        <w:suppressLineNumbers w:val="0"/>
        <w:spacing w:before="100" w:beforeAutospacing="0" w:after="100" w:afterAutospacing="0" w:line="560" w:lineRule="atLeast"/>
        <w:ind w:left="0" w:right="0" w:firstLine="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三、《支出决算表》</w:t>
      </w:r>
    </w:p>
    <w:p>
      <w:pPr>
        <w:pStyle w:val="2"/>
        <w:keepNext w:val="0"/>
        <w:keepLines w:val="0"/>
        <w:widowControl/>
        <w:suppressLineNumbers w:val="0"/>
        <w:spacing w:before="100" w:beforeAutospacing="0" w:after="100" w:afterAutospacing="0" w:line="560" w:lineRule="atLeast"/>
        <w:ind w:left="0" w:right="0" w:firstLine="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四、《财政拨款收入支出决算总表》</w:t>
      </w:r>
    </w:p>
    <w:p>
      <w:pPr>
        <w:pStyle w:val="2"/>
        <w:keepNext w:val="0"/>
        <w:keepLines w:val="0"/>
        <w:widowControl/>
        <w:suppressLineNumbers w:val="0"/>
        <w:spacing w:before="100" w:beforeAutospacing="0" w:after="100" w:afterAutospacing="0" w:line="560" w:lineRule="atLeast"/>
        <w:ind w:left="0" w:right="0" w:firstLine="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五、《一般公共预算财政拨款支出决算表》</w:t>
      </w:r>
    </w:p>
    <w:p>
      <w:pPr>
        <w:pStyle w:val="2"/>
        <w:keepNext w:val="0"/>
        <w:keepLines w:val="0"/>
        <w:widowControl/>
        <w:suppressLineNumbers w:val="0"/>
        <w:spacing w:before="100" w:beforeAutospacing="0" w:after="100" w:afterAutospacing="0" w:line="560" w:lineRule="atLeast"/>
        <w:ind w:left="0" w:right="0" w:firstLine="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六、《一般公共预算财政拨款基本支出决算表》</w:t>
      </w:r>
    </w:p>
    <w:p>
      <w:pPr>
        <w:pStyle w:val="2"/>
        <w:keepNext w:val="0"/>
        <w:keepLines w:val="0"/>
        <w:widowControl/>
        <w:suppressLineNumbers w:val="0"/>
        <w:spacing w:before="100" w:beforeAutospacing="0" w:after="100" w:afterAutospacing="0" w:line="560" w:lineRule="atLeast"/>
        <w:ind w:left="0" w:right="0" w:firstLine="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七、《财政拨款“三公”经费支出决算表》</w:t>
      </w:r>
    </w:p>
    <w:p>
      <w:pPr>
        <w:pStyle w:val="2"/>
        <w:keepNext w:val="0"/>
        <w:keepLines w:val="0"/>
        <w:widowControl/>
        <w:suppressLineNumbers w:val="0"/>
        <w:spacing w:before="100" w:beforeAutospacing="0" w:after="100" w:afterAutospacing="0" w:line="560" w:lineRule="atLeast"/>
        <w:ind w:left="0" w:right="0" w:firstLine="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八、《政府性基金预算财政拨款收入支出决算表》</w:t>
      </w:r>
    </w:p>
    <w:p>
      <w:pPr>
        <w:pStyle w:val="2"/>
        <w:keepNext w:val="0"/>
        <w:keepLines w:val="0"/>
        <w:widowControl/>
        <w:suppressLineNumbers w:val="0"/>
        <w:spacing w:before="100" w:beforeAutospacing="0" w:after="100" w:afterAutospacing="0" w:line="560" w:lineRule="atLeast"/>
        <w:ind w:left="0" w:right="0" w:firstLine="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九、《国有资本经营预算财政拨款收入支出决算表》</w:t>
      </w:r>
    </w:p>
    <w:p>
      <w:pPr>
        <w:pStyle w:val="2"/>
        <w:keepNext w:val="0"/>
        <w:keepLines w:val="0"/>
        <w:widowControl/>
        <w:suppressLineNumbers w:val="0"/>
        <w:spacing w:before="0" w:beforeAutospacing="1" w:after="0" w:afterAutospacing="1" w:line="560" w:lineRule="atLeast"/>
        <w:ind w:left="0" w:right="0" w:firstLine="0"/>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rPr>
        <w:t> </w:t>
      </w:r>
    </w:p>
    <w:p>
      <w:pPr>
        <w:pStyle w:val="2"/>
        <w:keepNext w:val="0"/>
        <w:keepLines w:val="0"/>
        <w:widowControl/>
        <w:suppressLineNumbers w:val="0"/>
        <w:spacing w:before="0" w:beforeAutospacing="1" w:after="0" w:afterAutospacing="1" w:line="560" w:lineRule="atLeast"/>
        <w:ind w:left="0" w:right="0" w:firstLine="0"/>
        <w:rPr>
          <w:rFonts w:hint="eastAsia" w:ascii="宋体" w:hAnsi="宋体" w:eastAsia="宋体" w:cs="宋体"/>
          <w:i w:val="0"/>
          <w:caps w:val="0"/>
          <w:color w:val="000000"/>
          <w:spacing w:val="0"/>
          <w:sz w:val="24"/>
          <w:szCs w:val="24"/>
        </w:rPr>
      </w:pPr>
    </w:p>
    <w:p>
      <w:pPr>
        <w:pStyle w:val="2"/>
        <w:keepNext w:val="0"/>
        <w:keepLines w:val="0"/>
        <w:widowControl/>
        <w:suppressLineNumbers w:val="0"/>
        <w:spacing w:before="0" w:beforeAutospacing="1" w:after="0" w:afterAutospacing="1" w:line="560" w:lineRule="atLeast"/>
        <w:ind w:left="0" w:right="0" w:firstLine="0"/>
        <w:rPr>
          <w:rFonts w:hint="eastAsia" w:ascii="宋体" w:hAnsi="宋体" w:eastAsia="宋体" w:cs="宋体"/>
          <w:i w:val="0"/>
          <w:caps w:val="0"/>
          <w:color w:val="000000"/>
          <w:spacing w:val="0"/>
          <w:sz w:val="24"/>
          <w:szCs w:val="24"/>
        </w:rPr>
      </w:pPr>
    </w:p>
    <w:p>
      <w:pPr>
        <w:pStyle w:val="2"/>
        <w:keepNext w:val="0"/>
        <w:keepLines w:val="0"/>
        <w:widowControl/>
        <w:suppressLineNumbers w:val="0"/>
        <w:spacing w:before="0" w:beforeAutospacing="1" w:after="0" w:afterAutospacing="1" w:line="560" w:lineRule="atLeast"/>
        <w:ind w:left="0" w:right="0" w:firstLine="0"/>
        <w:rPr>
          <w:rFonts w:hint="eastAsia" w:ascii="宋体" w:hAnsi="宋体" w:eastAsia="宋体" w:cs="宋体"/>
          <w:i w:val="0"/>
          <w:caps w:val="0"/>
          <w:color w:val="000000"/>
          <w:spacing w:val="0"/>
          <w:sz w:val="24"/>
          <w:szCs w:val="24"/>
        </w:rPr>
      </w:pPr>
    </w:p>
    <w:p>
      <w:pPr>
        <w:pStyle w:val="2"/>
        <w:keepNext w:val="0"/>
        <w:keepLines w:val="0"/>
        <w:widowControl/>
        <w:suppressLineNumbers w:val="0"/>
        <w:spacing w:before="0" w:beforeAutospacing="1" w:after="0" w:afterAutospacing="1" w:line="560" w:lineRule="atLeast"/>
        <w:ind w:left="0" w:right="0" w:firstLine="0"/>
        <w:rPr>
          <w:rFonts w:hint="eastAsia" w:ascii="宋体" w:hAnsi="宋体" w:eastAsia="宋体" w:cs="宋体"/>
          <w:i w:val="0"/>
          <w:caps w:val="0"/>
          <w:color w:val="000000"/>
          <w:spacing w:val="0"/>
          <w:sz w:val="24"/>
          <w:szCs w:val="24"/>
        </w:rPr>
      </w:pPr>
    </w:p>
    <w:p>
      <w:pPr>
        <w:pStyle w:val="2"/>
        <w:keepNext w:val="0"/>
        <w:keepLines w:val="0"/>
        <w:widowControl/>
        <w:suppressLineNumbers w:val="0"/>
        <w:spacing w:before="0" w:beforeAutospacing="1" w:after="0" w:afterAutospacing="1" w:line="560" w:lineRule="atLeast"/>
        <w:ind w:left="0" w:right="0" w:firstLine="0"/>
        <w:rPr>
          <w:rFonts w:hint="eastAsia" w:ascii="宋体" w:hAnsi="宋体" w:eastAsia="宋体" w:cs="宋体"/>
          <w:i w:val="0"/>
          <w:caps w:val="0"/>
          <w:color w:val="000000"/>
          <w:spacing w:val="0"/>
          <w:sz w:val="24"/>
          <w:szCs w:val="24"/>
        </w:rPr>
      </w:pPr>
    </w:p>
    <w:p>
      <w:pPr>
        <w:pStyle w:val="2"/>
        <w:keepNext w:val="0"/>
        <w:keepLines w:val="0"/>
        <w:widowControl/>
        <w:suppressLineNumbers w:val="0"/>
        <w:spacing w:before="0" w:beforeAutospacing="1" w:after="0" w:afterAutospacing="1" w:line="560" w:lineRule="atLeast"/>
        <w:ind w:left="0" w:right="0" w:firstLine="0"/>
        <w:jc w:val="center"/>
        <w:rPr>
          <w:rFonts w:hint="eastAsia" w:ascii="微软雅黑" w:hAnsi="微软雅黑" w:eastAsia="微软雅黑" w:cs="微软雅黑"/>
          <w:i w:val="0"/>
          <w:caps w:val="0"/>
          <w:color w:val="000000"/>
          <w:spacing w:val="0"/>
          <w:sz w:val="27"/>
          <w:szCs w:val="27"/>
        </w:rPr>
      </w:pPr>
      <w:r>
        <w:rPr>
          <w:rFonts w:ascii="黑体" w:hAnsi="宋体" w:eastAsia="黑体" w:cs="黑体"/>
          <w:i w:val="0"/>
          <w:caps w:val="0"/>
          <w:color w:val="000000"/>
          <w:spacing w:val="0"/>
          <w:sz w:val="32"/>
          <w:szCs w:val="32"/>
        </w:rPr>
        <w:t>第一部分</w:t>
      </w:r>
      <w:r>
        <w:rPr>
          <w:rFonts w:hint="eastAsia" w:ascii="黑体" w:hAnsi="宋体" w:eastAsia="黑体" w:cs="黑体"/>
          <w:i w:val="0"/>
          <w:caps w:val="0"/>
          <w:color w:val="000000"/>
          <w:spacing w:val="0"/>
          <w:sz w:val="32"/>
          <w:szCs w:val="32"/>
        </w:rPr>
        <w:t> 单位概况。</w:t>
      </w:r>
    </w:p>
    <w:p>
      <w:pPr>
        <w:pStyle w:val="2"/>
        <w:keepNext w:val="0"/>
        <w:keepLines w:val="0"/>
        <w:widowControl/>
        <w:suppressLineNumbers w:val="0"/>
        <w:spacing w:before="0" w:beforeAutospacing="1" w:after="0" w:afterAutospacing="1" w:line="560" w:lineRule="atLeast"/>
        <w:ind w:left="0" w:right="0" w:firstLine="640"/>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一、主要职能</w:t>
      </w:r>
    </w:p>
    <w:p>
      <w:pPr>
        <w:pStyle w:val="2"/>
        <w:keepNext w:val="0"/>
        <w:keepLines w:val="0"/>
        <w:widowControl/>
        <w:suppressLineNumbers w:val="0"/>
        <w:spacing w:before="0" w:beforeAutospacing="1" w:after="0" w:afterAutospacing="1" w:line="560" w:lineRule="atLeast"/>
        <w:ind w:left="0" w:right="0" w:firstLine="64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塔里木河流域</w:t>
      </w:r>
      <w:r>
        <w:rPr>
          <w:rFonts w:hint="eastAsia" w:ascii="仿宋_GB2312" w:hAnsi="微软雅黑" w:eastAsia="仿宋_GB2312" w:cs="仿宋_GB2312"/>
          <w:b w:val="0"/>
          <w:i w:val="0"/>
          <w:caps w:val="0"/>
          <w:color w:val="000000"/>
          <w:spacing w:val="0"/>
          <w:sz w:val="32"/>
          <w:szCs w:val="32"/>
        </w:rPr>
        <w:t>水利信息化咨询与标准规范编制，信息化系统及工程的建设管理和运行维护管理。</w:t>
      </w:r>
    </w:p>
    <w:p>
      <w:pPr>
        <w:pStyle w:val="2"/>
        <w:keepNext w:val="0"/>
        <w:keepLines w:val="0"/>
        <w:widowControl/>
        <w:suppressLineNumbers w:val="0"/>
        <w:spacing w:before="0" w:beforeAutospacing="1" w:after="0" w:afterAutospacing="1" w:line="560" w:lineRule="atLeast"/>
        <w:ind w:left="0" w:right="0" w:firstLine="640"/>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二、机构设置及人员情况</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新疆维吾尔自治区塔里木河流域管理局信息中心2023年度，实有人数12人，其中：在职人员11人，离休人员0人，退休人员1人。</w:t>
      </w:r>
    </w:p>
    <w:p>
      <w:pPr>
        <w:pStyle w:val="2"/>
        <w:keepNext w:val="0"/>
        <w:keepLines w:val="0"/>
        <w:widowControl/>
        <w:suppressLineNumbers w:val="0"/>
        <w:spacing w:before="0" w:beforeAutospacing="1" w:after="0" w:afterAutospacing="1" w:line="560" w:lineRule="atLeast"/>
        <w:ind w:left="0" w:right="0" w:firstLine="64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单位无下属预算单位，下设3个科室，分别是：办公室、应用技术科、网络通信科。</w:t>
      </w:r>
    </w:p>
    <w:p>
      <w:pPr>
        <w:pStyle w:val="2"/>
        <w:keepNext w:val="0"/>
        <w:keepLines w:val="0"/>
        <w:widowControl/>
        <w:suppressLineNumbers w:val="0"/>
        <w:spacing w:before="0" w:beforeAutospacing="1" w:after="0" w:afterAutospacing="1" w:line="560" w:lineRule="atLeast"/>
        <w:ind w:left="0" w:right="0" w:firstLine="64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 </w:t>
      </w:r>
    </w:p>
    <w:p>
      <w:pPr>
        <w:pStyle w:val="2"/>
        <w:keepNext w:val="0"/>
        <w:keepLines w:val="0"/>
        <w:widowControl/>
        <w:suppressLineNumbers w:val="0"/>
        <w:spacing w:before="0" w:beforeAutospacing="1" w:after="0" w:afterAutospacing="1" w:line="56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第二部分 部门决算情况说明。</w:t>
      </w:r>
    </w:p>
    <w:p>
      <w:pPr>
        <w:pStyle w:val="2"/>
        <w:keepNext w:val="0"/>
        <w:keepLines w:val="0"/>
        <w:widowControl/>
        <w:suppressLineNumbers w:val="0"/>
        <w:spacing w:before="0" w:beforeAutospacing="1" w:after="0" w:afterAutospacing="1" w:line="560" w:lineRule="atLeast"/>
        <w:ind w:left="0" w:right="0" w:firstLine="640"/>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一、收入支出决算总体情况说明</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2023年度收入总计581.76万元，其中：本年收入合计488.63万元，使用非财政拨款结余0.00万元，年初结转和结余93.13万元。</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2023年度支出总计581.76万元，其中：本年支出合计511.16万元，结余分配1.02万元，年末结转和结余69.58万元。</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收入支出总体与上年相比，增加72.00万元，增长14.12%，主要原因是：2023年3月下达2023年自治区本级部门单位绩效考核奖励资金、津补贴和增资经费。</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二、收入决算情况说明</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本年收入488.63万元，其中：财政拨款收入487.61万元，占99.79%；上级补助收入0.00万元，占0.00%；事业收入0.00万元，占0.00%；经营收入0.00万元，占0.00%；附属单位上缴收入0.00万元，占0.00%；其他收入1.02万元，占0.21%。</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三、支出决算情况说明</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本年支出</w:t>
      </w:r>
      <w:r>
        <w:rPr>
          <w:rFonts w:hint="default" w:ascii="Times New Roman" w:hAnsi="Times New Roman" w:eastAsia="微软雅黑" w:cs="Times New Roman"/>
          <w:i w:val="0"/>
          <w:caps w:val="0"/>
          <w:color w:val="000000"/>
          <w:spacing w:val="0"/>
          <w:sz w:val="32"/>
          <w:szCs w:val="32"/>
        </w:rPr>
        <w:t>511.16</w:t>
      </w:r>
      <w:r>
        <w:rPr>
          <w:rFonts w:hint="eastAsia" w:ascii="仿宋_GB2312" w:hAnsi="微软雅黑" w:eastAsia="仿宋_GB2312" w:cs="仿宋_GB2312"/>
          <w:i w:val="0"/>
          <w:caps w:val="0"/>
          <w:color w:val="000000"/>
          <w:spacing w:val="0"/>
          <w:sz w:val="32"/>
          <w:szCs w:val="32"/>
        </w:rPr>
        <w:t>万元，其中：基本支出</w:t>
      </w:r>
      <w:r>
        <w:rPr>
          <w:rFonts w:hint="default" w:ascii="Times New Roman" w:hAnsi="Times New Roman" w:eastAsia="微软雅黑" w:cs="Times New Roman"/>
          <w:i w:val="0"/>
          <w:caps w:val="0"/>
          <w:color w:val="000000"/>
          <w:spacing w:val="0"/>
          <w:sz w:val="32"/>
          <w:szCs w:val="32"/>
        </w:rPr>
        <w:t>237.61</w:t>
      </w:r>
      <w:r>
        <w:rPr>
          <w:rFonts w:hint="eastAsia" w:ascii="仿宋_GB2312" w:hAnsi="微软雅黑" w:eastAsia="仿宋_GB2312" w:cs="仿宋_GB2312"/>
          <w:i w:val="0"/>
          <w:caps w:val="0"/>
          <w:color w:val="000000"/>
          <w:spacing w:val="0"/>
          <w:sz w:val="32"/>
          <w:szCs w:val="32"/>
        </w:rPr>
        <w:t>万元，占</w:t>
      </w:r>
      <w:r>
        <w:rPr>
          <w:rFonts w:hint="default" w:ascii="Times New Roman" w:hAnsi="Times New Roman" w:eastAsia="微软雅黑" w:cs="Times New Roman"/>
          <w:i w:val="0"/>
          <w:caps w:val="0"/>
          <w:color w:val="000000"/>
          <w:spacing w:val="0"/>
          <w:sz w:val="32"/>
          <w:szCs w:val="32"/>
        </w:rPr>
        <w:t>46.48%</w:t>
      </w:r>
      <w:r>
        <w:rPr>
          <w:rFonts w:hint="eastAsia" w:ascii="仿宋_GB2312" w:hAnsi="微软雅黑" w:eastAsia="仿宋_GB2312" w:cs="仿宋_GB2312"/>
          <w:i w:val="0"/>
          <w:caps w:val="0"/>
          <w:color w:val="000000"/>
          <w:spacing w:val="0"/>
          <w:sz w:val="32"/>
          <w:szCs w:val="32"/>
        </w:rPr>
        <w:t>；项目支出</w:t>
      </w:r>
      <w:r>
        <w:rPr>
          <w:rFonts w:hint="default" w:ascii="Times New Roman" w:hAnsi="Times New Roman" w:eastAsia="微软雅黑" w:cs="Times New Roman"/>
          <w:i w:val="0"/>
          <w:caps w:val="0"/>
          <w:color w:val="000000"/>
          <w:spacing w:val="0"/>
          <w:sz w:val="32"/>
          <w:szCs w:val="32"/>
        </w:rPr>
        <w:t>273.55</w:t>
      </w:r>
      <w:r>
        <w:rPr>
          <w:rFonts w:hint="eastAsia" w:ascii="仿宋_GB2312" w:hAnsi="微软雅黑" w:eastAsia="仿宋_GB2312" w:cs="仿宋_GB2312"/>
          <w:i w:val="0"/>
          <w:caps w:val="0"/>
          <w:color w:val="000000"/>
          <w:spacing w:val="0"/>
          <w:sz w:val="32"/>
          <w:szCs w:val="32"/>
        </w:rPr>
        <w:t>万元，占</w:t>
      </w:r>
      <w:r>
        <w:rPr>
          <w:rFonts w:hint="default" w:ascii="Times New Roman" w:hAnsi="Times New Roman" w:eastAsia="微软雅黑" w:cs="Times New Roman"/>
          <w:i w:val="0"/>
          <w:caps w:val="0"/>
          <w:color w:val="000000"/>
          <w:spacing w:val="0"/>
          <w:sz w:val="32"/>
          <w:szCs w:val="32"/>
        </w:rPr>
        <w:t>53.52%</w:t>
      </w:r>
      <w:r>
        <w:rPr>
          <w:rFonts w:hint="eastAsia" w:ascii="仿宋_GB2312" w:hAnsi="微软雅黑" w:eastAsia="仿宋_GB2312" w:cs="仿宋_GB2312"/>
          <w:i w:val="0"/>
          <w:caps w:val="0"/>
          <w:color w:val="000000"/>
          <w:spacing w:val="0"/>
          <w:sz w:val="32"/>
          <w:szCs w:val="32"/>
        </w:rPr>
        <w:t>；上缴上级支出</w:t>
      </w:r>
      <w:r>
        <w:rPr>
          <w:rFonts w:hint="default" w:ascii="Times New Roman" w:hAnsi="Times New Roman" w:eastAsia="微软雅黑" w:cs="Times New Roman"/>
          <w:i w:val="0"/>
          <w:caps w:val="0"/>
          <w:color w:val="000000"/>
          <w:spacing w:val="0"/>
          <w:sz w:val="32"/>
          <w:szCs w:val="32"/>
        </w:rPr>
        <w:t>0.00</w:t>
      </w:r>
      <w:r>
        <w:rPr>
          <w:rFonts w:hint="eastAsia" w:ascii="仿宋_GB2312" w:hAnsi="微软雅黑" w:eastAsia="仿宋_GB2312" w:cs="仿宋_GB2312"/>
          <w:i w:val="0"/>
          <w:caps w:val="0"/>
          <w:color w:val="000000"/>
          <w:spacing w:val="0"/>
          <w:sz w:val="32"/>
          <w:szCs w:val="32"/>
        </w:rPr>
        <w:t>万元，占</w:t>
      </w:r>
      <w:r>
        <w:rPr>
          <w:rFonts w:hint="default" w:ascii="Times New Roman" w:hAnsi="Times New Roman" w:eastAsia="微软雅黑" w:cs="Times New Roman"/>
          <w:i w:val="0"/>
          <w:caps w:val="0"/>
          <w:color w:val="000000"/>
          <w:spacing w:val="0"/>
          <w:sz w:val="32"/>
          <w:szCs w:val="32"/>
        </w:rPr>
        <w:t>0.00%</w:t>
      </w:r>
      <w:r>
        <w:rPr>
          <w:rFonts w:hint="eastAsia" w:ascii="仿宋_GB2312" w:hAnsi="微软雅黑" w:eastAsia="仿宋_GB2312" w:cs="仿宋_GB2312"/>
          <w:i w:val="0"/>
          <w:caps w:val="0"/>
          <w:color w:val="000000"/>
          <w:spacing w:val="0"/>
          <w:sz w:val="32"/>
          <w:szCs w:val="32"/>
        </w:rPr>
        <w:t>；经营支出</w:t>
      </w:r>
      <w:r>
        <w:rPr>
          <w:rFonts w:hint="default" w:ascii="Times New Roman" w:hAnsi="Times New Roman" w:eastAsia="微软雅黑" w:cs="Times New Roman"/>
          <w:i w:val="0"/>
          <w:caps w:val="0"/>
          <w:color w:val="000000"/>
          <w:spacing w:val="0"/>
          <w:sz w:val="32"/>
          <w:szCs w:val="32"/>
        </w:rPr>
        <w:t>0.00</w:t>
      </w:r>
      <w:r>
        <w:rPr>
          <w:rFonts w:hint="eastAsia" w:ascii="仿宋_GB2312" w:hAnsi="微软雅黑" w:eastAsia="仿宋_GB2312" w:cs="仿宋_GB2312"/>
          <w:i w:val="0"/>
          <w:caps w:val="0"/>
          <w:color w:val="000000"/>
          <w:spacing w:val="0"/>
          <w:sz w:val="32"/>
          <w:szCs w:val="32"/>
        </w:rPr>
        <w:t>万元，占</w:t>
      </w:r>
      <w:r>
        <w:rPr>
          <w:rFonts w:hint="default" w:ascii="Times New Roman" w:hAnsi="Times New Roman" w:eastAsia="微软雅黑" w:cs="Times New Roman"/>
          <w:i w:val="0"/>
          <w:caps w:val="0"/>
          <w:color w:val="000000"/>
          <w:spacing w:val="0"/>
          <w:sz w:val="32"/>
          <w:szCs w:val="32"/>
        </w:rPr>
        <w:t>0.00%</w:t>
      </w:r>
      <w:r>
        <w:rPr>
          <w:rFonts w:hint="eastAsia" w:ascii="仿宋_GB2312" w:hAnsi="微软雅黑" w:eastAsia="仿宋_GB2312" w:cs="仿宋_GB2312"/>
          <w:i w:val="0"/>
          <w:caps w:val="0"/>
          <w:color w:val="000000"/>
          <w:spacing w:val="0"/>
          <w:sz w:val="32"/>
          <w:szCs w:val="32"/>
        </w:rPr>
        <w:t>；对附属单位补助支出</w:t>
      </w:r>
      <w:r>
        <w:rPr>
          <w:rFonts w:hint="default" w:ascii="Times New Roman" w:hAnsi="Times New Roman" w:eastAsia="微软雅黑" w:cs="Times New Roman"/>
          <w:i w:val="0"/>
          <w:caps w:val="0"/>
          <w:color w:val="000000"/>
          <w:spacing w:val="0"/>
          <w:sz w:val="32"/>
          <w:szCs w:val="32"/>
        </w:rPr>
        <w:t>0.00</w:t>
      </w:r>
      <w:r>
        <w:rPr>
          <w:rFonts w:hint="eastAsia" w:ascii="仿宋_GB2312" w:hAnsi="微软雅黑" w:eastAsia="仿宋_GB2312" w:cs="仿宋_GB2312"/>
          <w:i w:val="0"/>
          <w:caps w:val="0"/>
          <w:color w:val="000000"/>
          <w:spacing w:val="0"/>
          <w:sz w:val="32"/>
          <w:szCs w:val="32"/>
        </w:rPr>
        <w:t>万元，占</w:t>
      </w:r>
      <w:r>
        <w:rPr>
          <w:rFonts w:hint="default" w:ascii="Times New Roman" w:hAnsi="Times New Roman" w:eastAsia="微软雅黑" w:cs="Times New Roman"/>
          <w:i w:val="0"/>
          <w:caps w:val="0"/>
          <w:color w:val="000000"/>
          <w:spacing w:val="0"/>
          <w:sz w:val="32"/>
          <w:szCs w:val="32"/>
        </w:rPr>
        <w:t>0.00%</w:t>
      </w:r>
      <w:r>
        <w:rPr>
          <w:rFonts w:hint="eastAsia" w:ascii="仿宋_GB2312" w:hAnsi="微软雅黑" w:eastAsia="仿宋_GB2312" w:cs="仿宋_GB2312"/>
          <w:i w:val="0"/>
          <w:caps w:val="0"/>
          <w:color w:val="000000"/>
          <w:spacing w:val="0"/>
          <w:sz w:val="32"/>
          <w:szCs w:val="32"/>
        </w:rPr>
        <w:t>。</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四、财政拨款收入支出决算总体情况说明</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2023年度财政拨款收入总计487.61万元，其中：年初财政拨款结转和结余0.00万元，本年财政拨款收入487.61万元。财政拨款支出总计487.61万元，其中：年末财政拨款结转和结余0.00万元，本年财政拨款支出487.61万元。</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财政拨款收入支出总体与上年相比,减少22.15万元，下降4.35%,主要原因是：2023年年初调出2名在职人员，实有人数减少，工资福利支出结余资金年末由财政收回。与年初预算相比，年初预算数447.28万元，决算数487.61万元，预决算差异率9.02%，主要原因是：收塔管局工会补助。</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五、一般公共预算财政拨款支出决算情况说明</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（一）一般公共预算财政拨款支出决算总体情况</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2023年度一般公共预算财政拨款支出487.61万元，占本年支出合计的95.39%。与上年相比，减少22.15万元，下降4.35%,主要原因是：2023年年初调出2名在职人员，实有人数减少，工资福利支出减少。与年初预算相比，年初预算数447.28万元，决算数487.61万元，预决算差异率9.02%，主要原因是：收塔管局工会补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宋体" w:hAnsi="宋体" w:eastAsia="宋体" w:cs="宋体"/>
          <w:i w:val="0"/>
          <w:caps w:val="0"/>
          <w:color w:val="000000"/>
          <w:spacing w:val="0"/>
          <w:sz w:val="32"/>
          <w:szCs w:val="32"/>
        </w:rPr>
        <w:t>（二）</w:t>
      </w:r>
      <w:r>
        <w:rPr>
          <w:rFonts w:hint="default" w:ascii="Times New Roman" w:hAnsi="Times New Roman" w:eastAsia="微软雅黑" w:cs="Times New Roman"/>
          <w:i w:val="0"/>
          <w:caps w:val="0"/>
          <w:color w:val="000000"/>
          <w:spacing w:val="0"/>
          <w:sz w:val="12"/>
          <w:szCs w:val="12"/>
        </w:rPr>
        <w:t>       </w:t>
      </w:r>
      <w:r>
        <w:rPr>
          <w:rFonts w:hint="eastAsia" w:ascii="黑体" w:hAnsi="宋体" w:eastAsia="黑体" w:cs="黑体"/>
          <w:i w:val="0"/>
          <w:caps w:val="0"/>
          <w:color w:val="000000"/>
          <w:spacing w:val="0"/>
          <w:sz w:val="32"/>
          <w:szCs w:val="32"/>
        </w:rPr>
        <w:t>一般公共预算财政拨款支出决算结构情况</w:t>
      </w:r>
    </w:p>
    <w:p>
      <w:pPr>
        <w:pStyle w:val="2"/>
        <w:keepNext w:val="0"/>
        <w:keepLines w:val="0"/>
        <w:widowControl/>
        <w:suppressLineNumbers w:val="0"/>
        <w:spacing w:before="0" w:beforeAutospacing="0" w:after="0" w:afterAutospacing="0" w:line="560" w:lineRule="atLeast"/>
        <w:ind w:left="0" w:right="0" w:firstLine="64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1.社会保障和就业支出（类）24.12万元，占4.95%；</w:t>
      </w:r>
    </w:p>
    <w:p>
      <w:pPr>
        <w:pStyle w:val="2"/>
        <w:keepNext w:val="0"/>
        <w:keepLines w:val="0"/>
        <w:widowControl/>
        <w:suppressLineNumbers w:val="0"/>
        <w:spacing w:before="0" w:beforeAutospacing="0" w:after="0" w:afterAutospacing="0" w:line="560" w:lineRule="atLeast"/>
        <w:ind w:left="0" w:right="0" w:firstLine="64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2.卫生健康支出（类）22.10万元，占4.53%；</w:t>
      </w:r>
    </w:p>
    <w:p>
      <w:pPr>
        <w:pStyle w:val="2"/>
        <w:keepNext w:val="0"/>
        <w:keepLines w:val="0"/>
        <w:widowControl/>
        <w:suppressLineNumbers w:val="0"/>
        <w:spacing w:before="0" w:beforeAutospacing="0" w:after="0" w:afterAutospacing="0" w:line="560" w:lineRule="atLeast"/>
        <w:ind w:left="0" w:right="0" w:firstLine="64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3.农林水支出（类）423.10万元，占86.77%；</w:t>
      </w:r>
    </w:p>
    <w:p>
      <w:pPr>
        <w:pStyle w:val="2"/>
        <w:keepNext w:val="0"/>
        <w:keepLines w:val="0"/>
        <w:widowControl/>
        <w:suppressLineNumbers w:val="0"/>
        <w:spacing w:before="0" w:beforeAutospacing="0" w:after="0" w:afterAutospacing="0" w:line="560" w:lineRule="atLeast"/>
        <w:ind w:left="0" w:right="0" w:firstLine="64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4.住房保障支出（类）18.29万元，占3.75%；</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（三）一般公共预算财政拨款支出决算具体情况</w:t>
      </w:r>
    </w:p>
    <w:p>
      <w:pPr>
        <w:pStyle w:val="2"/>
        <w:keepNext w:val="0"/>
        <w:keepLines w:val="0"/>
        <w:widowControl/>
        <w:suppressLineNumbers w:val="0"/>
        <w:spacing w:before="100" w:beforeAutospacing="0" w:after="100" w:afterAutospacing="0" w:line="560" w:lineRule="atLeast"/>
        <w:ind w:left="0" w:right="0" w:firstLine="640"/>
        <w:rPr>
          <w:rFonts w:hint="eastAsia" w:ascii="微软雅黑" w:hAnsi="微软雅黑" w:eastAsia="微软雅黑" w:cs="微软雅黑"/>
          <w:i w:val="0"/>
          <w:caps w:val="0"/>
          <w:color w:val="000000"/>
          <w:spacing w:val="0"/>
          <w:sz w:val="27"/>
          <w:szCs w:val="27"/>
        </w:rPr>
      </w:pPr>
      <w:r>
        <w:rPr>
          <w:rFonts w:hint="default" w:ascii="Times New Roman" w:hAnsi="Times New Roman" w:eastAsia="微软雅黑" w:cs="Times New Roman"/>
          <w:i w:val="0"/>
          <w:caps w:val="0"/>
          <w:color w:val="000000"/>
          <w:spacing w:val="0"/>
          <w:sz w:val="32"/>
          <w:szCs w:val="32"/>
        </w:rPr>
        <w:t>1.</w:t>
      </w:r>
      <w:r>
        <w:rPr>
          <w:rFonts w:hint="eastAsia" w:ascii="仿宋_GB2312" w:hAnsi="微软雅黑" w:eastAsia="仿宋_GB2312" w:cs="仿宋_GB2312"/>
          <w:i w:val="0"/>
          <w:caps w:val="0"/>
          <w:color w:val="000000"/>
          <w:spacing w:val="0"/>
          <w:sz w:val="32"/>
          <w:szCs w:val="32"/>
        </w:rPr>
        <w:t>卫生健康支出（类）行政事业单位医疗（款）事业单位医疗（项）</w:t>
      </w:r>
      <w:r>
        <w:rPr>
          <w:rFonts w:hint="default" w:ascii="Times New Roman" w:hAnsi="Times New Roman" w:eastAsia="微软雅黑" w:cs="Times New Roman"/>
          <w:i w:val="0"/>
          <w:caps w:val="0"/>
          <w:color w:val="000000"/>
          <w:spacing w:val="0"/>
          <w:sz w:val="32"/>
          <w:szCs w:val="32"/>
        </w:rPr>
        <w:t>:</w:t>
      </w:r>
      <w:r>
        <w:rPr>
          <w:rFonts w:hint="eastAsia" w:ascii="仿宋_GB2312" w:hAnsi="微软雅黑" w:eastAsia="仿宋_GB2312" w:cs="仿宋_GB2312"/>
          <w:i w:val="0"/>
          <w:caps w:val="0"/>
          <w:color w:val="000000"/>
          <w:spacing w:val="0"/>
          <w:sz w:val="32"/>
          <w:szCs w:val="32"/>
        </w:rPr>
        <w:t>支出决算数为</w:t>
      </w:r>
      <w:r>
        <w:rPr>
          <w:rFonts w:hint="default" w:ascii="Times New Roman" w:hAnsi="Times New Roman" w:eastAsia="微软雅黑" w:cs="Times New Roman"/>
          <w:i w:val="0"/>
          <w:caps w:val="0"/>
          <w:color w:val="000000"/>
          <w:spacing w:val="0"/>
          <w:sz w:val="32"/>
          <w:szCs w:val="32"/>
        </w:rPr>
        <w:t>11.43</w:t>
      </w:r>
      <w:r>
        <w:rPr>
          <w:rFonts w:hint="eastAsia" w:ascii="仿宋_GB2312" w:hAnsi="微软雅黑" w:eastAsia="仿宋_GB2312" w:cs="仿宋_GB2312"/>
          <w:i w:val="0"/>
          <w:caps w:val="0"/>
          <w:color w:val="000000"/>
          <w:spacing w:val="0"/>
          <w:sz w:val="32"/>
          <w:szCs w:val="32"/>
        </w:rPr>
        <w:t>万元，比上年决算增加</w:t>
      </w:r>
      <w:r>
        <w:rPr>
          <w:rFonts w:hint="default" w:ascii="Times New Roman" w:hAnsi="Times New Roman" w:eastAsia="微软雅黑" w:cs="Times New Roman"/>
          <w:i w:val="0"/>
          <w:caps w:val="0"/>
          <w:color w:val="000000"/>
          <w:spacing w:val="0"/>
          <w:sz w:val="32"/>
          <w:szCs w:val="32"/>
        </w:rPr>
        <w:t>0.50</w:t>
      </w:r>
      <w:r>
        <w:rPr>
          <w:rFonts w:hint="eastAsia" w:ascii="仿宋_GB2312" w:hAnsi="微软雅黑" w:eastAsia="仿宋_GB2312" w:cs="仿宋_GB2312"/>
          <w:i w:val="0"/>
          <w:caps w:val="0"/>
          <w:color w:val="000000"/>
          <w:spacing w:val="0"/>
          <w:sz w:val="32"/>
          <w:szCs w:val="32"/>
        </w:rPr>
        <w:t>万元，增长</w:t>
      </w:r>
      <w:r>
        <w:rPr>
          <w:rFonts w:hint="default" w:ascii="Times New Roman" w:hAnsi="Times New Roman" w:eastAsia="微软雅黑" w:cs="Times New Roman"/>
          <w:i w:val="0"/>
          <w:caps w:val="0"/>
          <w:color w:val="000000"/>
          <w:spacing w:val="0"/>
          <w:sz w:val="32"/>
          <w:szCs w:val="32"/>
        </w:rPr>
        <w:t>4.60%</w:t>
      </w:r>
      <w:r>
        <w:rPr>
          <w:rFonts w:hint="eastAsia" w:ascii="仿宋_GB2312" w:hAnsi="微软雅黑" w:eastAsia="仿宋_GB2312" w:cs="仿宋_GB2312"/>
          <w:i w:val="0"/>
          <w:caps w:val="0"/>
          <w:color w:val="000000"/>
          <w:spacing w:val="0"/>
          <w:sz w:val="32"/>
          <w:szCs w:val="32"/>
        </w:rPr>
        <w:t>，主要原因是：新疆维吾尔自治区调增基础工资和基础绩效奖，全额在职人员社保基数上调，医疗保险基数增加。</w:t>
      </w:r>
    </w:p>
    <w:p>
      <w:pPr>
        <w:pStyle w:val="2"/>
        <w:keepNext w:val="0"/>
        <w:keepLines w:val="0"/>
        <w:widowControl/>
        <w:suppressLineNumbers w:val="0"/>
        <w:spacing w:before="100" w:beforeAutospacing="0" w:after="100" w:afterAutospacing="0" w:line="560" w:lineRule="atLeast"/>
        <w:ind w:left="0" w:right="0" w:firstLine="640"/>
        <w:rPr>
          <w:rFonts w:hint="eastAsia" w:ascii="微软雅黑" w:hAnsi="微软雅黑" w:eastAsia="微软雅黑" w:cs="微软雅黑"/>
          <w:i w:val="0"/>
          <w:caps w:val="0"/>
          <w:color w:val="000000"/>
          <w:spacing w:val="0"/>
          <w:sz w:val="27"/>
          <w:szCs w:val="27"/>
        </w:rPr>
      </w:pPr>
      <w:r>
        <w:rPr>
          <w:rFonts w:hint="default" w:ascii="Times New Roman" w:hAnsi="Times New Roman" w:eastAsia="微软雅黑" w:cs="Times New Roman"/>
          <w:i w:val="0"/>
          <w:caps w:val="0"/>
          <w:color w:val="000000"/>
          <w:spacing w:val="0"/>
          <w:sz w:val="32"/>
          <w:szCs w:val="32"/>
        </w:rPr>
        <w:t>2.</w:t>
      </w:r>
      <w:r>
        <w:rPr>
          <w:rFonts w:hint="eastAsia" w:ascii="仿宋_GB2312" w:hAnsi="微软雅黑" w:eastAsia="仿宋_GB2312" w:cs="仿宋_GB2312"/>
          <w:i w:val="0"/>
          <w:caps w:val="0"/>
          <w:color w:val="000000"/>
          <w:spacing w:val="0"/>
          <w:sz w:val="32"/>
          <w:szCs w:val="32"/>
        </w:rPr>
        <w:t>卫生健康支出（类）行政事业单位医疗（款）公务员医疗补助（项）</w:t>
      </w:r>
      <w:r>
        <w:rPr>
          <w:rFonts w:hint="default" w:ascii="Times New Roman" w:hAnsi="Times New Roman" w:eastAsia="微软雅黑" w:cs="Times New Roman"/>
          <w:i w:val="0"/>
          <w:caps w:val="0"/>
          <w:color w:val="000000"/>
          <w:spacing w:val="0"/>
          <w:sz w:val="32"/>
          <w:szCs w:val="32"/>
        </w:rPr>
        <w:t>:</w:t>
      </w:r>
      <w:r>
        <w:rPr>
          <w:rFonts w:hint="eastAsia" w:ascii="仿宋_GB2312" w:hAnsi="微软雅黑" w:eastAsia="仿宋_GB2312" w:cs="仿宋_GB2312"/>
          <w:i w:val="0"/>
          <w:caps w:val="0"/>
          <w:color w:val="000000"/>
          <w:spacing w:val="0"/>
          <w:sz w:val="32"/>
          <w:szCs w:val="32"/>
        </w:rPr>
        <w:t>支出决算数为</w:t>
      </w:r>
      <w:r>
        <w:rPr>
          <w:rFonts w:hint="default" w:ascii="Times New Roman" w:hAnsi="Times New Roman" w:eastAsia="微软雅黑" w:cs="Times New Roman"/>
          <w:i w:val="0"/>
          <w:caps w:val="0"/>
          <w:color w:val="000000"/>
          <w:spacing w:val="0"/>
          <w:sz w:val="32"/>
          <w:szCs w:val="32"/>
        </w:rPr>
        <w:t>10.67</w:t>
      </w:r>
      <w:r>
        <w:rPr>
          <w:rFonts w:hint="eastAsia" w:ascii="仿宋_GB2312" w:hAnsi="微软雅黑" w:eastAsia="仿宋_GB2312" w:cs="仿宋_GB2312"/>
          <w:i w:val="0"/>
          <w:caps w:val="0"/>
          <w:color w:val="000000"/>
          <w:spacing w:val="0"/>
          <w:sz w:val="32"/>
          <w:szCs w:val="32"/>
        </w:rPr>
        <w:t>万元，比上年决算增加</w:t>
      </w:r>
      <w:r>
        <w:rPr>
          <w:rFonts w:hint="default" w:ascii="Times New Roman" w:hAnsi="Times New Roman" w:eastAsia="微软雅黑" w:cs="Times New Roman"/>
          <w:i w:val="0"/>
          <w:caps w:val="0"/>
          <w:color w:val="000000"/>
          <w:spacing w:val="0"/>
          <w:sz w:val="32"/>
          <w:szCs w:val="32"/>
        </w:rPr>
        <w:t>2.17</w:t>
      </w:r>
      <w:r>
        <w:rPr>
          <w:rFonts w:hint="eastAsia" w:ascii="仿宋_GB2312" w:hAnsi="微软雅黑" w:eastAsia="仿宋_GB2312" w:cs="仿宋_GB2312"/>
          <w:i w:val="0"/>
          <w:caps w:val="0"/>
          <w:color w:val="000000"/>
          <w:spacing w:val="0"/>
          <w:sz w:val="32"/>
          <w:szCs w:val="32"/>
        </w:rPr>
        <w:t>万元，增长</w:t>
      </w:r>
      <w:r>
        <w:rPr>
          <w:rFonts w:hint="default" w:ascii="Times New Roman" w:hAnsi="Times New Roman" w:eastAsia="微软雅黑" w:cs="Times New Roman"/>
          <w:i w:val="0"/>
          <w:caps w:val="0"/>
          <w:color w:val="000000"/>
          <w:spacing w:val="0"/>
          <w:sz w:val="32"/>
          <w:szCs w:val="32"/>
        </w:rPr>
        <w:t>25.52%</w:t>
      </w:r>
      <w:r>
        <w:rPr>
          <w:rFonts w:hint="eastAsia" w:ascii="仿宋_GB2312" w:hAnsi="微软雅黑" w:eastAsia="仿宋_GB2312" w:cs="仿宋_GB2312"/>
          <w:i w:val="0"/>
          <w:caps w:val="0"/>
          <w:color w:val="000000"/>
          <w:spacing w:val="0"/>
          <w:sz w:val="32"/>
          <w:szCs w:val="32"/>
        </w:rPr>
        <w:t>，主要原因是：新疆维吾尔自治区调增基础工资和基础绩效奖，全额在职人员社保基数上调，公务员医疗补助增加。</w:t>
      </w:r>
    </w:p>
    <w:p>
      <w:pPr>
        <w:pStyle w:val="2"/>
        <w:keepNext w:val="0"/>
        <w:keepLines w:val="0"/>
        <w:widowControl/>
        <w:suppressLineNumbers w:val="0"/>
        <w:spacing w:before="100" w:beforeAutospacing="0" w:after="100" w:afterAutospacing="0" w:line="560" w:lineRule="atLeast"/>
        <w:ind w:left="0" w:right="0" w:firstLine="640"/>
        <w:rPr>
          <w:rFonts w:hint="eastAsia" w:ascii="微软雅黑" w:hAnsi="微软雅黑" w:eastAsia="微软雅黑" w:cs="微软雅黑"/>
          <w:i w:val="0"/>
          <w:caps w:val="0"/>
          <w:color w:val="000000"/>
          <w:spacing w:val="0"/>
          <w:sz w:val="27"/>
          <w:szCs w:val="27"/>
        </w:rPr>
      </w:pPr>
      <w:r>
        <w:rPr>
          <w:rFonts w:hint="default" w:ascii="Times New Roman" w:hAnsi="Times New Roman" w:eastAsia="微软雅黑" w:cs="Times New Roman"/>
          <w:i w:val="0"/>
          <w:caps w:val="0"/>
          <w:color w:val="000000"/>
          <w:spacing w:val="0"/>
          <w:sz w:val="32"/>
          <w:szCs w:val="32"/>
        </w:rPr>
        <w:t>3.</w:t>
      </w:r>
      <w:r>
        <w:rPr>
          <w:rFonts w:hint="eastAsia" w:ascii="仿宋_GB2312" w:hAnsi="微软雅黑" w:eastAsia="仿宋_GB2312" w:cs="仿宋_GB2312"/>
          <w:i w:val="0"/>
          <w:caps w:val="0"/>
          <w:color w:val="000000"/>
          <w:spacing w:val="0"/>
          <w:sz w:val="32"/>
          <w:szCs w:val="32"/>
        </w:rPr>
        <w:t>住房保障支出（类）住房改革支出（款）住房公积金（项）</w:t>
      </w:r>
      <w:r>
        <w:rPr>
          <w:rFonts w:hint="default" w:ascii="Times New Roman" w:hAnsi="Times New Roman" w:eastAsia="微软雅黑" w:cs="Times New Roman"/>
          <w:i w:val="0"/>
          <w:caps w:val="0"/>
          <w:color w:val="000000"/>
          <w:spacing w:val="0"/>
          <w:sz w:val="32"/>
          <w:szCs w:val="32"/>
        </w:rPr>
        <w:t>:</w:t>
      </w:r>
      <w:r>
        <w:rPr>
          <w:rFonts w:hint="eastAsia" w:ascii="仿宋_GB2312" w:hAnsi="微软雅黑" w:eastAsia="仿宋_GB2312" w:cs="仿宋_GB2312"/>
          <w:i w:val="0"/>
          <w:caps w:val="0"/>
          <w:color w:val="000000"/>
          <w:spacing w:val="0"/>
          <w:sz w:val="32"/>
          <w:szCs w:val="32"/>
        </w:rPr>
        <w:t>支出决算数为</w:t>
      </w:r>
      <w:r>
        <w:rPr>
          <w:rFonts w:hint="default" w:ascii="Times New Roman" w:hAnsi="Times New Roman" w:eastAsia="微软雅黑" w:cs="Times New Roman"/>
          <w:i w:val="0"/>
          <w:caps w:val="0"/>
          <w:color w:val="000000"/>
          <w:spacing w:val="0"/>
          <w:sz w:val="32"/>
          <w:szCs w:val="32"/>
        </w:rPr>
        <w:t>18.29</w:t>
      </w:r>
      <w:r>
        <w:rPr>
          <w:rFonts w:hint="eastAsia" w:ascii="仿宋_GB2312" w:hAnsi="微软雅黑" w:eastAsia="仿宋_GB2312" w:cs="仿宋_GB2312"/>
          <w:i w:val="0"/>
          <w:caps w:val="0"/>
          <w:color w:val="000000"/>
          <w:spacing w:val="0"/>
          <w:sz w:val="32"/>
          <w:szCs w:val="32"/>
        </w:rPr>
        <w:t>万元，比上年决算增加</w:t>
      </w:r>
      <w:r>
        <w:rPr>
          <w:rFonts w:hint="default" w:ascii="Times New Roman" w:hAnsi="Times New Roman" w:eastAsia="微软雅黑" w:cs="Times New Roman"/>
          <w:i w:val="0"/>
          <w:caps w:val="0"/>
          <w:color w:val="000000"/>
          <w:spacing w:val="0"/>
          <w:sz w:val="32"/>
          <w:szCs w:val="32"/>
        </w:rPr>
        <w:t>3.15</w:t>
      </w:r>
      <w:r>
        <w:rPr>
          <w:rFonts w:hint="eastAsia" w:ascii="仿宋_GB2312" w:hAnsi="微软雅黑" w:eastAsia="仿宋_GB2312" w:cs="仿宋_GB2312"/>
          <w:i w:val="0"/>
          <w:caps w:val="0"/>
          <w:color w:val="000000"/>
          <w:spacing w:val="0"/>
          <w:sz w:val="32"/>
          <w:szCs w:val="32"/>
        </w:rPr>
        <w:t>万元，增长</w:t>
      </w:r>
      <w:r>
        <w:rPr>
          <w:rFonts w:hint="default" w:ascii="Times New Roman" w:hAnsi="Times New Roman" w:eastAsia="微软雅黑" w:cs="Times New Roman"/>
          <w:i w:val="0"/>
          <w:caps w:val="0"/>
          <w:color w:val="000000"/>
          <w:spacing w:val="0"/>
          <w:sz w:val="32"/>
          <w:szCs w:val="32"/>
        </w:rPr>
        <w:t>20.78%</w:t>
      </w:r>
      <w:r>
        <w:rPr>
          <w:rFonts w:hint="eastAsia" w:ascii="仿宋_GB2312" w:hAnsi="微软雅黑" w:eastAsia="仿宋_GB2312" w:cs="仿宋_GB2312"/>
          <w:i w:val="0"/>
          <w:caps w:val="0"/>
          <w:color w:val="000000"/>
          <w:spacing w:val="0"/>
          <w:sz w:val="32"/>
          <w:szCs w:val="32"/>
        </w:rPr>
        <w:t>，主要原因是：新疆维吾尔自治区调增基础工资和基础绩效奖，全额在职人员社保基数上调，住房公积金基数增加。</w:t>
      </w:r>
    </w:p>
    <w:p>
      <w:pPr>
        <w:pStyle w:val="2"/>
        <w:keepNext w:val="0"/>
        <w:keepLines w:val="0"/>
        <w:widowControl/>
        <w:suppressLineNumbers w:val="0"/>
        <w:spacing w:before="100" w:beforeAutospacing="0" w:after="100" w:afterAutospacing="0" w:line="560" w:lineRule="atLeast"/>
        <w:ind w:left="0" w:right="0" w:firstLine="640"/>
        <w:rPr>
          <w:rFonts w:hint="eastAsia" w:ascii="微软雅黑" w:hAnsi="微软雅黑" w:eastAsia="微软雅黑" w:cs="微软雅黑"/>
          <w:i w:val="0"/>
          <w:caps w:val="0"/>
          <w:color w:val="000000"/>
          <w:spacing w:val="0"/>
          <w:sz w:val="27"/>
          <w:szCs w:val="27"/>
        </w:rPr>
      </w:pPr>
      <w:r>
        <w:rPr>
          <w:rFonts w:hint="default" w:ascii="Times New Roman" w:hAnsi="Times New Roman" w:eastAsia="微软雅黑" w:cs="Times New Roman"/>
          <w:i w:val="0"/>
          <w:caps w:val="0"/>
          <w:color w:val="000000"/>
          <w:spacing w:val="0"/>
          <w:sz w:val="32"/>
          <w:szCs w:val="32"/>
        </w:rPr>
        <w:t>4.</w:t>
      </w:r>
      <w:r>
        <w:rPr>
          <w:rFonts w:hint="eastAsia" w:ascii="仿宋_GB2312" w:hAnsi="微软雅黑" w:eastAsia="仿宋_GB2312" w:cs="仿宋_GB2312"/>
          <w:i w:val="0"/>
          <w:caps w:val="0"/>
          <w:color w:val="000000"/>
          <w:spacing w:val="0"/>
          <w:sz w:val="32"/>
          <w:szCs w:val="32"/>
        </w:rPr>
        <w:t>社会保障和就业支出（类）行政事业单位养老支出（款）事业单位离退休（项）</w:t>
      </w:r>
      <w:r>
        <w:rPr>
          <w:rFonts w:hint="default" w:ascii="Times New Roman" w:hAnsi="Times New Roman" w:eastAsia="微软雅黑" w:cs="Times New Roman"/>
          <w:i w:val="0"/>
          <w:caps w:val="0"/>
          <w:color w:val="000000"/>
          <w:spacing w:val="0"/>
          <w:sz w:val="32"/>
          <w:szCs w:val="32"/>
        </w:rPr>
        <w:t>:</w:t>
      </w:r>
      <w:r>
        <w:rPr>
          <w:rFonts w:hint="eastAsia" w:ascii="仿宋_GB2312" w:hAnsi="微软雅黑" w:eastAsia="仿宋_GB2312" w:cs="仿宋_GB2312"/>
          <w:i w:val="0"/>
          <w:caps w:val="0"/>
          <w:color w:val="000000"/>
          <w:spacing w:val="0"/>
          <w:sz w:val="32"/>
          <w:szCs w:val="32"/>
        </w:rPr>
        <w:t>支出决算数为</w:t>
      </w:r>
      <w:r>
        <w:rPr>
          <w:rFonts w:hint="default" w:ascii="Times New Roman" w:hAnsi="Times New Roman" w:eastAsia="微软雅黑" w:cs="Times New Roman"/>
          <w:i w:val="0"/>
          <w:caps w:val="0"/>
          <w:color w:val="000000"/>
          <w:spacing w:val="0"/>
          <w:sz w:val="32"/>
          <w:szCs w:val="32"/>
        </w:rPr>
        <w:t>1.92</w:t>
      </w:r>
      <w:r>
        <w:rPr>
          <w:rFonts w:hint="eastAsia" w:ascii="仿宋_GB2312" w:hAnsi="微软雅黑" w:eastAsia="仿宋_GB2312" w:cs="仿宋_GB2312"/>
          <w:i w:val="0"/>
          <w:caps w:val="0"/>
          <w:color w:val="000000"/>
          <w:spacing w:val="0"/>
          <w:sz w:val="32"/>
          <w:szCs w:val="32"/>
        </w:rPr>
        <w:t>万元，比上年决算减少</w:t>
      </w:r>
      <w:r>
        <w:rPr>
          <w:rFonts w:hint="default" w:ascii="Times New Roman" w:hAnsi="Times New Roman" w:eastAsia="微软雅黑" w:cs="Times New Roman"/>
          <w:i w:val="0"/>
          <w:caps w:val="0"/>
          <w:color w:val="000000"/>
          <w:spacing w:val="0"/>
          <w:sz w:val="32"/>
          <w:szCs w:val="32"/>
        </w:rPr>
        <w:t>1.61</w:t>
      </w:r>
      <w:r>
        <w:rPr>
          <w:rFonts w:hint="eastAsia" w:ascii="仿宋_GB2312" w:hAnsi="微软雅黑" w:eastAsia="仿宋_GB2312" w:cs="仿宋_GB2312"/>
          <w:i w:val="0"/>
          <w:caps w:val="0"/>
          <w:color w:val="000000"/>
          <w:spacing w:val="0"/>
          <w:sz w:val="32"/>
          <w:szCs w:val="32"/>
        </w:rPr>
        <w:t>万元，下降</w:t>
      </w:r>
      <w:r>
        <w:rPr>
          <w:rFonts w:hint="default" w:ascii="Times New Roman" w:hAnsi="Times New Roman" w:eastAsia="微软雅黑" w:cs="Times New Roman"/>
          <w:i w:val="0"/>
          <w:caps w:val="0"/>
          <w:color w:val="000000"/>
          <w:spacing w:val="0"/>
          <w:sz w:val="32"/>
          <w:szCs w:val="32"/>
        </w:rPr>
        <w:t>45.6</w:t>
      </w:r>
      <w:r>
        <w:rPr>
          <w:rFonts w:hint="eastAsia" w:ascii="Times New Roman" w:hAnsi="Times New Roman" w:eastAsia="微软雅黑" w:cs="Times New Roman"/>
          <w:i w:val="0"/>
          <w:caps w:val="0"/>
          <w:color w:val="000000"/>
          <w:spacing w:val="0"/>
          <w:sz w:val="32"/>
          <w:szCs w:val="32"/>
          <w:lang w:val="en-US" w:eastAsia="zh-CN"/>
        </w:rPr>
        <w:t>1</w:t>
      </w:r>
      <w:r>
        <w:rPr>
          <w:rFonts w:hint="default" w:ascii="Times New Roman" w:hAnsi="Times New Roman" w:eastAsia="微软雅黑" w:cs="Times New Roman"/>
          <w:i w:val="0"/>
          <w:caps w:val="0"/>
          <w:color w:val="000000"/>
          <w:spacing w:val="0"/>
          <w:sz w:val="32"/>
          <w:szCs w:val="32"/>
        </w:rPr>
        <w:t>%</w:t>
      </w:r>
      <w:r>
        <w:rPr>
          <w:rFonts w:hint="eastAsia" w:ascii="仿宋_GB2312" w:hAnsi="微软雅黑" w:eastAsia="仿宋_GB2312" w:cs="仿宋_GB2312"/>
          <w:i w:val="0"/>
          <w:caps w:val="0"/>
          <w:color w:val="000000"/>
          <w:spacing w:val="0"/>
          <w:sz w:val="32"/>
          <w:szCs w:val="32"/>
        </w:rPr>
        <w:t>，主要原因是：</w:t>
      </w:r>
      <w:r>
        <w:rPr>
          <w:rFonts w:hint="eastAsia" w:ascii="仿宋_GB2312" w:hAnsi="微软雅黑" w:eastAsia="仿宋_GB2312" w:cs="仿宋_GB2312"/>
          <w:i w:val="0"/>
          <w:caps w:val="0"/>
          <w:color w:val="000000"/>
          <w:spacing w:val="0"/>
          <w:sz w:val="32"/>
          <w:szCs w:val="32"/>
          <w:lang w:eastAsia="zh-CN"/>
        </w:rPr>
        <w:t>我单位离退休人数</w:t>
      </w:r>
      <w:r>
        <w:rPr>
          <w:rFonts w:hint="eastAsia" w:ascii="仿宋_GB2312" w:hAnsi="微软雅黑" w:eastAsia="仿宋_GB2312" w:cs="仿宋_GB2312"/>
          <w:i w:val="0"/>
          <w:caps w:val="0"/>
          <w:color w:val="000000"/>
          <w:spacing w:val="0"/>
          <w:sz w:val="32"/>
          <w:szCs w:val="32"/>
          <w:lang w:val="en-US" w:eastAsia="zh-CN"/>
        </w:rPr>
        <w:t>1人，</w:t>
      </w:r>
      <w:r>
        <w:rPr>
          <w:rFonts w:hint="eastAsia" w:ascii="仿宋_GB2312" w:hAnsi="微软雅黑" w:eastAsia="仿宋_GB2312" w:cs="仿宋_GB2312"/>
          <w:i w:val="0"/>
          <w:caps w:val="0"/>
          <w:color w:val="000000"/>
          <w:spacing w:val="0"/>
          <w:sz w:val="32"/>
          <w:szCs w:val="32"/>
        </w:rPr>
        <w:t>按照财政要求收回退休人员医疗费、大额医疗及公务员补助。</w:t>
      </w:r>
    </w:p>
    <w:p>
      <w:pPr>
        <w:pStyle w:val="2"/>
        <w:keepNext w:val="0"/>
        <w:keepLines w:val="0"/>
        <w:widowControl/>
        <w:suppressLineNumbers w:val="0"/>
        <w:spacing w:before="100" w:beforeAutospacing="0" w:after="100" w:afterAutospacing="0" w:line="560" w:lineRule="atLeast"/>
        <w:ind w:left="0" w:right="0" w:firstLine="640"/>
        <w:rPr>
          <w:rFonts w:hint="eastAsia" w:ascii="微软雅黑" w:hAnsi="微软雅黑" w:eastAsia="微软雅黑" w:cs="微软雅黑"/>
          <w:i w:val="0"/>
          <w:caps w:val="0"/>
          <w:color w:val="000000"/>
          <w:spacing w:val="0"/>
          <w:sz w:val="27"/>
          <w:szCs w:val="27"/>
        </w:rPr>
      </w:pPr>
      <w:r>
        <w:rPr>
          <w:rFonts w:hint="default" w:ascii="Times New Roman" w:hAnsi="Times New Roman" w:eastAsia="微软雅黑" w:cs="Times New Roman"/>
          <w:i w:val="0"/>
          <w:caps w:val="0"/>
          <w:color w:val="000000"/>
          <w:spacing w:val="0"/>
          <w:sz w:val="32"/>
          <w:szCs w:val="32"/>
        </w:rPr>
        <w:t>5.</w:t>
      </w:r>
      <w:r>
        <w:rPr>
          <w:rFonts w:hint="eastAsia" w:ascii="仿宋_GB2312" w:hAnsi="微软雅黑" w:eastAsia="仿宋_GB2312" w:cs="仿宋_GB2312"/>
          <w:i w:val="0"/>
          <w:caps w:val="0"/>
          <w:color w:val="000000"/>
          <w:spacing w:val="0"/>
          <w:sz w:val="32"/>
          <w:szCs w:val="32"/>
        </w:rPr>
        <w:t>农林水支出（类）水利（款）信息管理（项）</w:t>
      </w:r>
      <w:r>
        <w:rPr>
          <w:rFonts w:hint="default" w:ascii="Times New Roman" w:hAnsi="Times New Roman" w:eastAsia="微软雅黑" w:cs="Times New Roman"/>
          <w:i w:val="0"/>
          <w:caps w:val="0"/>
          <w:color w:val="000000"/>
          <w:spacing w:val="0"/>
          <w:sz w:val="32"/>
          <w:szCs w:val="32"/>
        </w:rPr>
        <w:t>:</w:t>
      </w:r>
      <w:r>
        <w:rPr>
          <w:rFonts w:hint="eastAsia" w:ascii="仿宋_GB2312" w:hAnsi="微软雅黑" w:eastAsia="仿宋_GB2312" w:cs="仿宋_GB2312"/>
          <w:i w:val="0"/>
          <w:caps w:val="0"/>
          <w:color w:val="000000"/>
          <w:spacing w:val="0"/>
          <w:sz w:val="32"/>
          <w:szCs w:val="32"/>
        </w:rPr>
        <w:t>支出决算数为</w:t>
      </w:r>
      <w:r>
        <w:rPr>
          <w:rFonts w:hint="default" w:ascii="Times New Roman" w:hAnsi="Times New Roman" w:eastAsia="微软雅黑" w:cs="Times New Roman"/>
          <w:i w:val="0"/>
          <w:caps w:val="0"/>
          <w:color w:val="000000"/>
          <w:spacing w:val="0"/>
          <w:sz w:val="32"/>
          <w:szCs w:val="32"/>
        </w:rPr>
        <w:t>423.10</w:t>
      </w:r>
      <w:r>
        <w:rPr>
          <w:rFonts w:hint="eastAsia" w:ascii="仿宋_GB2312" w:hAnsi="微软雅黑" w:eastAsia="仿宋_GB2312" w:cs="仿宋_GB2312"/>
          <w:i w:val="0"/>
          <w:caps w:val="0"/>
          <w:color w:val="000000"/>
          <w:spacing w:val="0"/>
          <w:sz w:val="32"/>
          <w:szCs w:val="32"/>
        </w:rPr>
        <w:t>万元，比上年决算增加</w:t>
      </w:r>
      <w:r>
        <w:rPr>
          <w:rFonts w:hint="default" w:ascii="Times New Roman" w:hAnsi="Times New Roman" w:eastAsia="微软雅黑" w:cs="Times New Roman"/>
          <w:i w:val="0"/>
          <w:caps w:val="0"/>
          <w:color w:val="000000"/>
          <w:spacing w:val="0"/>
          <w:sz w:val="32"/>
          <w:szCs w:val="32"/>
        </w:rPr>
        <w:t>171.62</w:t>
      </w:r>
      <w:r>
        <w:rPr>
          <w:rFonts w:hint="eastAsia" w:ascii="仿宋_GB2312" w:hAnsi="微软雅黑" w:eastAsia="仿宋_GB2312" w:cs="仿宋_GB2312"/>
          <w:i w:val="0"/>
          <w:caps w:val="0"/>
          <w:color w:val="000000"/>
          <w:spacing w:val="0"/>
          <w:sz w:val="32"/>
          <w:szCs w:val="32"/>
        </w:rPr>
        <w:t>万元，增长</w:t>
      </w:r>
      <w:r>
        <w:rPr>
          <w:rFonts w:hint="default" w:ascii="Times New Roman" w:hAnsi="Times New Roman" w:eastAsia="微软雅黑" w:cs="Times New Roman"/>
          <w:i w:val="0"/>
          <w:caps w:val="0"/>
          <w:color w:val="000000"/>
          <w:spacing w:val="0"/>
          <w:sz w:val="32"/>
          <w:szCs w:val="32"/>
        </w:rPr>
        <w:t>68.25%</w:t>
      </w:r>
      <w:r>
        <w:rPr>
          <w:rFonts w:hint="eastAsia" w:ascii="仿宋_GB2312" w:hAnsi="微软雅黑" w:eastAsia="仿宋_GB2312" w:cs="仿宋_GB2312"/>
          <w:i w:val="0"/>
          <w:caps w:val="0"/>
          <w:color w:val="000000"/>
          <w:spacing w:val="0"/>
          <w:sz w:val="32"/>
          <w:szCs w:val="32"/>
        </w:rPr>
        <w:t>，主要原因是：</w:t>
      </w:r>
      <w:r>
        <w:rPr>
          <w:rFonts w:hint="default" w:ascii="Times New Roman" w:hAnsi="Times New Roman" w:eastAsia="微软雅黑" w:cs="Times New Roman"/>
          <w:i w:val="0"/>
          <w:caps w:val="0"/>
          <w:color w:val="000000"/>
          <w:spacing w:val="0"/>
          <w:sz w:val="32"/>
          <w:szCs w:val="32"/>
        </w:rPr>
        <w:t>1</w:t>
      </w:r>
      <w:r>
        <w:rPr>
          <w:rFonts w:hint="eastAsia" w:ascii="仿宋_GB2312" w:hAnsi="微软雅黑" w:eastAsia="仿宋_GB2312" w:cs="仿宋_GB2312"/>
          <w:i w:val="0"/>
          <w:caps w:val="0"/>
          <w:color w:val="000000"/>
          <w:spacing w:val="0"/>
          <w:sz w:val="32"/>
          <w:szCs w:val="32"/>
        </w:rPr>
        <w:t>、本年年中追加项目支出</w:t>
      </w:r>
      <w:r>
        <w:rPr>
          <w:rFonts w:hint="default" w:ascii="Times New Roman" w:hAnsi="Times New Roman" w:eastAsia="微软雅黑" w:cs="Times New Roman"/>
          <w:i w:val="0"/>
          <w:caps w:val="0"/>
          <w:color w:val="000000"/>
          <w:spacing w:val="0"/>
          <w:sz w:val="32"/>
          <w:szCs w:val="32"/>
        </w:rPr>
        <w:t>50</w:t>
      </w:r>
      <w:r>
        <w:rPr>
          <w:rFonts w:hint="eastAsia" w:ascii="仿宋_GB2312" w:hAnsi="微软雅黑" w:eastAsia="仿宋_GB2312" w:cs="仿宋_GB2312"/>
          <w:i w:val="0"/>
          <w:caps w:val="0"/>
          <w:color w:val="000000"/>
          <w:spacing w:val="0"/>
          <w:sz w:val="32"/>
          <w:szCs w:val="32"/>
        </w:rPr>
        <w:t>万；</w:t>
      </w:r>
      <w:r>
        <w:rPr>
          <w:rFonts w:hint="default" w:ascii="Times New Roman" w:hAnsi="Times New Roman" w:eastAsia="微软雅黑" w:cs="Times New Roman"/>
          <w:i w:val="0"/>
          <w:caps w:val="0"/>
          <w:color w:val="000000"/>
          <w:spacing w:val="0"/>
          <w:sz w:val="32"/>
          <w:szCs w:val="32"/>
        </w:rPr>
        <w:t>2</w:t>
      </w:r>
      <w:r>
        <w:rPr>
          <w:rFonts w:hint="eastAsia" w:ascii="仿宋_GB2312" w:hAnsi="微软雅黑" w:eastAsia="仿宋_GB2312" w:cs="仿宋_GB2312"/>
          <w:i w:val="0"/>
          <w:caps w:val="0"/>
          <w:color w:val="000000"/>
          <w:spacing w:val="0"/>
          <w:sz w:val="32"/>
          <w:szCs w:val="32"/>
        </w:rPr>
        <w:t>、本单位基建账户与财政合并做账，支付往年工程款尾款及退回其他单位履约保证金。</w:t>
      </w:r>
    </w:p>
    <w:p>
      <w:pPr>
        <w:pStyle w:val="2"/>
        <w:keepNext w:val="0"/>
        <w:keepLines w:val="0"/>
        <w:widowControl/>
        <w:suppressLineNumbers w:val="0"/>
        <w:spacing w:before="100" w:beforeAutospacing="0" w:after="100" w:afterAutospacing="0" w:line="560" w:lineRule="atLeast"/>
        <w:ind w:left="0" w:right="0" w:firstLine="640"/>
        <w:rPr>
          <w:rFonts w:hint="eastAsia" w:ascii="微软雅黑" w:hAnsi="微软雅黑" w:eastAsia="微软雅黑" w:cs="微软雅黑"/>
          <w:i w:val="0"/>
          <w:caps w:val="0"/>
          <w:color w:val="000000"/>
          <w:spacing w:val="0"/>
          <w:sz w:val="27"/>
          <w:szCs w:val="27"/>
        </w:rPr>
      </w:pPr>
      <w:r>
        <w:rPr>
          <w:rFonts w:hint="default" w:ascii="Times New Roman" w:hAnsi="Times New Roman" w:eastAsia="微软雅黑" w:cs="Times New Roman"/>
          <w:i w:val="0"/>
          <w:caps w:val="0"/>
          <w:color w:val="000000"/>
          <w:spacing w:val="0"/>
          <w:sz w:val="32"/>
          <w:szCs w:val="32"/>
        </w:rPr>
        <w:t>6.</w:t>
      </w:r>
      <w:r>
        <w:rPr>
          <w:rFonts w:hint="eastAsia" w:ascii="仿宋_GB2312" w:hAnsi="微软雅黑" w:eastAsia="仿宋_GB2312" w:cs="仿宋_GB2312"/>
          <w:i w:val="0"/>
          <w:caps w:val="0"/>
          <w:color w:val="000000"/>
          <w:spacing w:val="0"/>
          <w:sz w:val="32"/>
          <w:szCs w:val="32"/>
        </w:rPr>
        <w:t>社会保障和就业支出（类）行政事业单位养老支出（款）机关事业单位基本养老保险缴费支出（项）</w:t>
      </w:r>
      <w:r>
        <w:rPr>
          <w:rFonts w:hint="default" w:ascii="Times New Roman" w:hAnsi="Times New Roman" w:eastAsia="微软雅黑" w:cs="Times New Roman"/>
          <w:i w:val="0"/>
          <w:caps w:val="0"/>
          <w:color w:val="000000"/>
          <w:spacing w:val="0"/>
          <w:sz w:val="32"/>
          <w:szCs w:val="32"/>
        </w:rPr>
        <w:t>:</w:t>
      </w:r>
      <w:r>
        <w:rPr>
          <w:rFonts w:hint="eastAsia" w:ascii="仿宋_GB2312" w:hAnsi="微软雅黑" w:eastAsia="仿宋_GB2312" w:cs="仿宋_GB2312"/>
          <w:i w:val="0"/>
          <w:caps w:val="0"/>
          <w:color w:val="000000"/>
          <w:spacing w:val="0"/>
          <w:sz w:val="32"/>
          <w:szCs w:val="32"/>
        </w:rPr>
        <w:t>支出决算数为</w:t>
      </w:r>
      <w:r>
        <w:rPr>
          <w:rFonts w:hint="default" w:ascii="Times New Roman" w:hAnsi="Times New Roman" w:eastAsia="微软雅黑" w:cs="Times New Roman"/>
          <w:i w:val="0"/>
          <w:caps w:val="0"/>
          <w:color w:val="000000"/>
          <w:spacing w:val="0"/>
          <w:sz w:val="32"/>
          <w:szCs w:val="32"/>
        </w:rPr>
        <w:t>22.21</w:t>
      </w:r>
      <w:r>
        <w:rPr>
          <w:rFonts w:hint="eastAsia" w:ascii="仿宋_GB2312" w:hAnsi="微软雅黑" w:eastAsia="仿宋_GB2312" w:cs="仿宋_GB2312"/>
          <w:i w:val="0"/>
          <w:caps w:val="0"/>
          <w:color w:val="000000"/>
          <w:spacing w:val="0"/>
          <w:sz w:val="32"/>
          <w:szCs w:val="32"/>
        </w:rPr>
        <w:t>万元，比上年决算增加</w:t>
      </w:r>
      <w:r>
        <w:rPr>
          <w:rFonts w:hint="default" w:ascii="Times New Roman" w:hAnsi="Times New Roman" w:eastAsia="微软雅黑" w:cs="Times New Roman"/>
          <w:i w:val="0"/>
          <w:caps w:val="0"/>
          <w:color w:val="000000"/>
          <w:spacing w:val="0"/>
          <w:sz w:val="32"/>
          <w:szCs w:val="32"/>
        </w:rPr>
        <w:t>2.02</w:t>
      </w:r>
      <w:r>
        <w:rPr>
          <w:rFonts w:hint="eastAsia" w:ascii="仿宋_GB2312" w:hAnsi="微软雅黑" w:eastAsia="仿宋_GB2312" w:cs="仿宋_GB2312"/>
          <w:i w:val="0"/>
          <w:caps w:val="0"/>
          <w:color w:val="000000"/>
          <w:spacing w:val="0"/>
          <w:sz w:val="32"/>
          <w:szCs w:val="32"/>
        </w:rPr>
        <w:t>万元，增长</w:t>
      </w:r>
      <w:r>
        <w:rPr>
          <w:rFonts w:hint="default" w:ascii="Times New Roman" w:hAnsi="Times New Roman" w:eastAsia="微软雅黑" w:cs="Times New Roman"/>
          <w:i w:val="0"/>
          <w:caps w:val="0"/>
          <w:color w:val="000000"/>
          <w:spacing w:val="0"/>
          <w:sz w:val="32"/>
          <w:szCs w:val="32"/>
        </w:rPr>
        <w:t>10.01%</w:t>
      </w:r>
      <w:r>
        <w:rPr>
          <w:rFonts w:hint="eastAsia" w:ascii="仿宋_GB2312" w:hAnsi="微软雅黑" w:eastAsia="仿宋_GB2312" w:cs="仿宋_GB2312"/>
          <w:i w:val="0"/>
          <w:caps w:val="0"/>
          <w:color w:val="000000"/>
          <w:spacing w:val="0"/>
          <w:sz w:val="32"/>
          <w:szCs w:val="32"/>
        </w:rPr>
        <w:t>，主要原因是：新疆维吾尔自治区调增基础工资和基础绩效奖，全额在职人员社保基数上调，养老保险基数增加。</w:t>
      </w:r>
    </w:p>
    <w:p>
      <w:pPr>
        <w:pStyle w:val="2"/>
        <w:keepNext w:val="0"/>
        <w:keepLines w:val="0"/>
        <w:widowControl/>
        <w:suppressLineNumbers w:val="0"/>
        <w:spacing w:before="100" w:beforeAutospacing="0" w:after="100" w:afterAutospacing="0" w:line="560" w:lineRule="atLeast"/>
        <w:ind w:left="0" w:right="0" w:firstLine="640"/>
        <w:rPr>
          <w:rFonts w:hint="eastAsia" w:ascii="微软雅黑" w:hAnsi="微软雅黑" w:eastAsia="微软雅黑" w:cs="微软雅黑"/>
          <w:i w:val="0"/>
          <w:caps w:val="0"/>
          <w:color w:val="000000"/>
          <w:spacing w:val="0"/>
          <w:sz w:val="27"/>
          <w:szCs w:val="27"/>
        </w:rPr>
      </w:pPr>
      <w:r>
        <w:rPr>
          <w:rFonts w:hint="default" w:ascii="Times New Roman" w:hAnsi="Times New Roman" w:eastAsia="微软雅黑" w:cs="Times New Roman"/>
          <w:i w:val="0"/>
          <w:caps w:val="0"/>
          <w:color w:val="000000"/>
          <w:spacing w:val="0"/>
          <w:sz w:val="32"/>
          <w:szCs w:val="32"/>
        </w:rPr>
        <w:t>7.</w:t>
      </w:r>
      <w:r>
        <w:rPr>
          <w:rFonts w:hint="eastAsia" w:ascii="仿宋_GB2312" w:hAnsi="微软雅黑" w:eastAsia="仿宋_GB2312" w:cs="仿宋_GB2312"/>
          <w:i w:val="0"/>
          <w:caps w:val="0"/>
          <w:color w:val="000000"/>
          <w:spacing w:val="0"/>
          <w:sz w:val="32"/>
          <w:szCs w:val="32"/>
        </w:rPr>
        <w:t>农林水支出（类）水利（款）水资源节约管理与保护（项）</w:t>
      </w:r>
      <w:r>
        <w:rPr>
          <w:rFonts w:hint="default" w:ascii="Times New Roman" w:hAnsi="Times New Roman" w:eastAsia="微软雅黑" w:cs="Times New Roman"/>
          <w:i w:val="0"/>
          <w:caps w:val="0"/>
          <w:color w:val="000000"/>
          <w:spacing w:val="0"/>
          <w:sz w:val="32"/>
          <w:szCs w:val="32"/>
        </w:rPr>
        <w:t>:</w:t>
      </w:r>
      <w:r>
        <w:rPr>
          <w:rFonts w:hint="eastAsia" w:ascii="仿宋_GB2312" w:hAnsi="微软雅黑" w:eastAsia="仿宋_GB2312" w:cs="仿宋_GB2312"/>
          <w:i w:val="0"/>
          <w:caps w:val="0"/>
          <w:color w:val="000000"/>
          <w:spacing w:val="0"/>
          <w:sz w:val="32"/>
          <w:szCs w:val="32"/>
        </w:rPr>
        <w:t>支出决算数为</w:t>
      </w:r>
      <w:r>
        <w:rPr>
          <w:rFonts w:hint="default" w:ascii="Times New Roman" w:hAnsi="Times New Roman" w:eastAsia="微软雅黑" w:cs="Times New Roman"/>
          <w:i w:val="0"/>
          <w:caps w:val="0"/>
          <w:color w:val="000000"/>
          <w:spacing w:val="0"/>
          <w:sz w:val="32"/>
          <w:szCs w:val="32"/>
        </w:rPr>
        <w:t>0.00</w:t>
      </w:r>
      <w:r>
        <w:rPr>
          <w:rFonts w:hint="eastAsia" w:ascii="仿宋_GB2312" w:hAnsi="微软雅黑" w:eastAsia="仿宋_GB2312" w:cs="仿宋_GB2312"/>
          <w:i w:val="0"/>
          <w:caps w:val="0"/>
          <w:color w:val="000000"/>
          <w:spacing w:val="0"/>
          <w:sz w:val="32"/>
          <w:szCs w:val="32"/>
        </w:rPr>
        <w:t>万元，比上年决算减少</w:t>
      </w:r>
      <w:r>
        <w:rPr>
          <w:rFonts w:hint="default" w:ascii="Times New Roman" w:hAnsi="Times New Roman" w:eastAsia="微软雅黑" w:cs="Times New Roman"/>
          <w:i w:val="0"/>
          <w:caps w:val="0"/>
          <w:color w:val="000000"/>
          <w:spacing w:val="0"/>
          <w:sz w:val="32"/>
          <w:szCs w:val="32"/>
        </w:rPr>
        <w:t>200.00</w:t>
      </w:r>
      <w:r>
        <w:rPr>
          <w:rFonts w:hint="eastAsia" w:ascii="仿宋_GB2312" w:hAnsi="微软雅黑" w:eastAsia="仿宋_GB2312" w:cs="仿宋_GB2312"/>
          <w:i w:val="0"/>
          <w:caps w:val="0"/>
          <w:color w:val="000000"/>
          <w:spacing w:val="0"/>
          <w:sz w:val="32"/>
          <w:szCs w:val="32"/>
        </w:rPr>
        <w:t>万元，下降</w:t>
      </w:r>
      <w:r>
        <w:rPr>
          <w:rFonts w:hint="default" w:ascii="Times New Roman" w:hAnsi="Times New Roman" w:eastAsia="微软雅黑" w:cs="Times New Roman"/>
          <w:i w:val="0"/>
          <w:caps w:val="0"/>
          <w:color w:val="000000"/>
          <w:spacing w:val="0"/>
          <w:sz w:val="32"/>
          <w:szCs w:val="32"/>
        </w:rPr>
        <w:t>100%</w:t>
      </w:r>
      <w:r>
        <w:rPr>
          <w:rFonts w:hint="eastAsia" w:ascii="仿宋_GB2312" w:hAnsi="微软雅黑" w:eastAsia="仿宋_GB2312" w:cs="仿宋_GB2312"/>
          <w:i w:val="0"/>
          <w:caps w:val="0"/>
          <w:color w:val="000000"/>
          <w:spacing w:val="0"/>
          <w:sz w:val="32"/>
          <w:szCs w:val="32"/>
        </w:rPr>
        <w:t>，主要原因是：2023年信息中心根据自治区预算批复要求将水资源节约管理与保护改为信息管理。</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六、一般公共预算财政拨款基本支出决算情况说明</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2023年度一般公共预算财政拨款基本支出237.61万元，其中：人员经费221.59万元，包括：基本工资、津贴补贴、奖金、绩效工资、机关事业单位基本养老保险缴费、职业年金缴费、职工基本医疗保险缴费、公务员医疗补助缴费、其他社会保障缴费、住房公积金、其他工资福利支出、退休费、其他对个人和家庭的补助。</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公用经费16.02万元，包括：办公费、印刷费、差旅费、工会经费、福利费、公务用车运行维护费、其他商品和服务支出。</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七、财政拨款“三公”经费支出决算情况说明</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2023年度财政拨款“三公”经费支出7.70万元，比上年增加0.00万元，增长0.00%,主要原因是：本单位严格执行八项规定、厉行节约，“三公”经费与上年保持一致。其中：因公出国（境）费支出0.00万元，占0.00%，比上年增加0.00万元，增长0.00%,主要原因是：我单位无因公出国（境）费；公务用车购置及运行维护费支出7.70万元，占100.00%，比上年增加0.00万元，增长0.00%,主要原因是：公务用车购置及运行维护费支出与上年保持一致；公务接待费支出0.00万元，占0.00%，比上年增加0.00万元，增长0.00%,主要原因是：</w:t>
      </w:r>
      <w:r>
        <w:rPr>
          <w:rFonts w:hint="eastAsia" w:ascii="仿宋_GB2312" w:hAnsi="微软雅黑" w:eastAsia="仿宋_GB2312" w:cs="仿宋_GB2312"/>
          <w:i w:val="0"/>
          <w:caps w:val="0"/>
          <w:color w:val="000000"/>
          <w:spacing w:val="0"/>
          <w:sz w:val="32"/>
          <w:szCs w:val="32"/>
          <w:lang w:eastAsia="zh-CN"/>
        </w:rPr>
        <w:t>我单位无</w:t>
      </w:r>
      <w:r>
        <w:rPr>
          <w:rFonts w:hint="eastAsia" w:ascii="仿宋_GB2312" w:hAnsi="微软雅黑" w:eastAsia="仿宋_GB2312" w:cs="仿宋_GB2312"/>
          <w:i w:val="0"/>
          <w:caps w:val="0"/>
          <w:color w:val="000000"/>
          <w:spacing w:val="0"/>
          <w:sz w:val="32"/>
          <w:szCs w:val="32"/>
        </w:rPr>
        <w:t>公务接待费。</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具体情况</w:t>
      </w:r>
      <w:bookmarkStart w:id="0" w:name="_GoBack"/>
      <w:bookmarkEnd w:id="0"/>
      <w:r>
        <w:rPr>
          <w:rFonts w:hint="eastAsia" w:ascii="仿宋_GB2312" w:hAnsi="微软雅黑" w:eastAsia="仿宋_GB2312" w:cs="仿宋_GB2312"/>
          <w:i w:val="0"/>
          <w:caps w:val="0"/>
          <w:color w:val="000000"/>
          <w:spacing w:val="0"/>
          <w:sz w:val="32"/>
          <w:szCs w:val="32"/>
        </w:rPr>
        <w:t>如下：</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因公出国（境）费支出0.00万元，开支内容包括我单位无因公出国（境）费支出。单位全年安排的因公出国（境）团组0个，因公出国（境）0人次</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公务用车购置及运行维护费7.70万元，其中：公务用车购置费0.00万元，公务用车运行维护费7.70万元。公务用车运行维护费开支内容包括车辆燃油费、过路费、修理费、停车费、检审费、保险费等。公务用车购置数0辆，公务用车保有量1辆。国有资产占用情况中固定资产车辆1辆，与公务用车保有量差异原因是：无差异。</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公务接待费0.00万元，开支内容包括我单位无公务接待支出。单位全年安排的国内公务接待0批次，0人次。</w:t>
      </w:r>
    </w:p>
    <w:p>
      <w:pPr>
        <w:pStyle w:val="2"/>
        <w:keepNext w:val="0"/>
        <w:keepLines w:val="0"/>
        <w:widowControl/>
        <w:suppressLineNumbers w:val="0"/>
        <w:spacing w:before="100" w:beforeAutospacing="0" w:after="100" w:afterAutospacing="0" w:line="560" w:lineRule="atLeast"/>
        <w:ind w:left="0" w:right="0" w:firstLine="64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与全年预算相比,财政拨款“三公”经费支出全年预算数7.80万元，决算数7.70万元，预决算差异率-1.28%，主要原因是：本单位严格执行八项规定、厉行节约，减少公务接待。其中：因公出国（境）费全年预算数0.00万元，决算数0.00万元，预决算差异率0.00%，主要原因是：我单位无因公出国（境）费；公务用车购置费全年预算数0.00万元，决算数0.00万元，预决算差异率0.00%，主要原因是：我单位无公务用车购置费；公务用车运行费全年预算数7.70万元，决算数7.70万元，预决算差异率0.00%，主要原因是：公务用车运行维护费预算与决算保持一致；公务接待费全年预算数0.10万元，决算数0.00万元，预决算差异率-100.00%，主要原因是：本单位严格执行八项规定、厉行节约，减少公务接待。</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八、政府性基金预算、财政拨款收入支出决算情况说明</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我单位本年度无政府性基金预算财政拨款收入、支出及结转和结余，政府性基金预算财政拨款收入、支出决算表为空表。</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九、国有资本经营预算、财政拨款收入支出决算情况说明</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我单位本年度无国有资本经营预算财政拨款收入、支出及结转和结余，国有资本经营预算财政拨款收入、支出决算表为空表。</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十、其他重要事项的情况说明</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（一）机关运行经费支出情况</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default" w:ascii="Times New Roman" w:hAnsi="Times New Roman" w:eastAsia="微软雅黑" w:cs="Times New Roman"/>
          <w:i w:val="0"/>
          <w:caps w:val="0"/>
          <w:color w:val="000000"/>
          <w:spacing w:val="0"/>
          <w:sz w:val="32"/>
          <w:szCs w:val="32"/>
        </w:rPr>
        <w:t>2023</w:t>
      </w:r>
      <w:r>
        <w:rPr>
          <w:rFonts w:hint="eastAsia" w:ascii="仿宋_GB2312" w:hAnsi="微软雅黑" w:eastAsia="仿宋_GB2312" w:cs="仿宋_GB2312"/>
          <w:i w:val="0"/>
          <w:caps w:val="0"/>
          <w:color w:val="000000"/>
          <w:spacing w:val="0"/>
          <w:sz w:val="32"/>
          <w:szCs w:val="32"/>
        </w:rPr>
        <w:t>年度新疆维吾尔自治区塔里木河流域管理局信息中心（事业单位）公用经费支出</w:t>
      </w:r>
      <w:r>
        <w:rPr>
          <w:rFonts w:hint="default" w:ascii="Times New Roman" w:hAnsi="Times New Roman" w:eastAsia="微软雅黑" w:cs="Times New Roman"/>
          <w:i w:val="0"/>
          <w:caps w:val="0"/>
          <w:color w:val="000000"/>
          <w:spacing w:val="0"/>
          <w:sz w:val="32"/>
          <w:szCs w:val="32"/>
        </w:rPr>
        <w:t>16.02</w:t>
      </w:r>
      <w:r>
        <w:rPr>
          <w:rFonts w:hint="eastAsia" w:ascii="仿宋_GB2312" w:hAnsi="微软雅黑" w:eastAsia="仿宋_GB2312" w:cs="仿宋_GB2312"/>
          <w:i w:val="0"/>
          <w:caps w:val="0"/>
          <w:color w:val="000000"/>
          <w:spacing w:val="0"/>
          <w:sz w:val="32"/>
          <w:szCs w:val="32"/>
        </w:rPr>
        <w:t>万元，比上年增加</w:t>
      </w:r>
      <w:r>
        <w:rPr>
          <w:rFonts w:hint="default" w:ascii="Times New Roman" w:hAnsi="Times New Roman" w:eastAsia="微软雅黑" w:cs="Times New Roman"/>
          <w:i w:val="0"/>
          <w:caps w:val="0"/>
          <w:color w:val="000000"/>
          <w:spacing w:val="0"/>
          <w:sz w:val="32"/>
          <w:szCs w:val="32"/>
        </w:rPr>
        <w:t>1.20</w:t>
      </w:r>
      <w:r>
        <w:rPr>
          <w:rFonts w:hint="eastAsia" w:ascii="仿宋_GB2312" w:hAnsi="微软雅黑" w:eastAsia="仿宋_GB2312" w:cs="仿宋_GB2312"/>
          <w:i w:val="0"/>
          <w:caps w:val="0"/>
          <w:color w:val="000000"/>
          <w:spacing w:val="0"/>
          <w:sz w:val="32"/>
          <w:szCs w:val="32"/>
        </w:rPr>
        <w:t>万元，增长</w:t>
      </w:r>
      <w:r>
        <w:rPr>
          <w:rFonts w:hint="default" w:ascii="Times New Roman" w:hAnsi="Times New Roman" w:eastAsia="微软雅黑" w:cs="Times New Roman"/>
          <w:i w:val="0"/>
          <w:caps w:val="0"/>
          <w:color w:val="000000"/>
          <w:spacing w:val="0"/>
          <w:sz w:val="32"/>
          <w:szCs w:val="32"/>
        </w:rPr>
        <w:t>8.08%</w:t>
      </w:r>
      <w:r>
        <w:rPr>
          <w:rFonts w:hint="eastAsia" w:ascii="仿宋_GB2312" w:hAnsi="微软雅黑" w:eastAsia="仿宋_GB2312" w:cs="仿宋_GB2312"/>
          <w:i w:val="0"/>
          <w:caps w:val="0"/>
          <w:color w:val="000000"/>
          <w:spacing w:val="0"/>
          <w:sz w:val="32"/>
          <w:szCs w:val="32"/>
        </w:rPr>
        <w:t>，主要原因是：人员职称晋升，相应福利费及工会经费支出增加。</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（二）政府采购情况</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default" w:ascii="Times New Roman" w:hAnsi="Times New Roman" w:eastAsia="微软雅黑" w:cs="Times New Roman"/>
          <w:i w:val="0"/>
          <w:caps w:val="0"/>
          <w:color w:val="000000"/>
          <w:spacing w:val="0"/>
          <w:sz w:val="32"/>
          <w:szCs w:val="32"/>
        </w:rPr>
        <w:t>2023</w:t>
      </w:r>
      <w:r>
        <w:rPr>
          <w:rFonts w:hint="eastAsia" w:ascii="仿宋_GB2312" w:hAnsi="微软雅黑" w:eastAsia="仿宋_GB2312" w:cs="仿宋_GB2312"/>
          <w:i w:val="0"/>
          <w:caps w:val="0"/>
          <w:color w:val="000000"/>
          <w:spacing w:val="0"/>
          <w:sz w:val="32"/>
          <w:szCs w:val="32"/>
        </w:rPr>
        <w:t>年度政府采购支出总额</w:t>
      </w:r>
      <w:r>
        <w:rPr>
          <w:rFonts w:hint="default" w:ascii="Times New Roman" w:hAnsi="Times New Roman" w:eastAsia="微软雅黑" w:cs="Times New Roman"/>
          <w:i w:val="0"/>
          <w:caps w:val="0"/>
          <w:color w:val="000000"/>
          <w:spacing w:val="0"/>
          <w:sz w:val="32"/>
          <w:szCs w:val="32"/>
        </w:rPr>
        <w:t>218.63</w:t>
      </w:r>
      <w:r>
        <w:rPr>
          <w:rFonts w:hint="eastAsia" w:ascii="仿宋_GB2312" w:hAnsi="微软雅黑" w:eastAsia="仿宋_GB2312" w:cs="仿宋_GB2312"/>
          <w:i w:val="0"/>
          <w:caps w:val="0"/>
          <w:color w:val="000000"/>
          <w:spacing w:val="0"/>
          <w:sz w:val="32"/>
          <w:szCs w:val="32"/>
        </w:rPr>
        <w:t>万元，其中：政府采购货物支出</w:t>
      </w:r>
      <w:r>
        <w:rPr>
          <w:rFonts w:hint="default" w:ascii="Times New Roman" w:hAnsi="Times New Roman" w:eastAsia="微软雅黑" w:cs="Times New Roman"/>
          <w:i w:val="0"/>
          <w:caps w:val="0"/>
          <w:color w:val="000000"/>
          <w:spacing w:val="0"/>
          <w:sz w:val="32"/>
          <w:szCs w:val="32"/>
        </w:rPr>
        <w:t>8.29</w:t>
      </w:r>
      <w:r>
        <w:rPr>
          <w:rFonts w:hint="eastAsia" w:ascii="仿宋_GB2312" w:hAnsi="微软雅黑" w:eastAsia="仿宋_GB2312" w:cs="仿宋_GB2312"/>
          <w:i w:val="0"/>
          <w:caps w:val="0"/>
          <w:color w:val="000000"/>
          <w:spacing w:val="0"/>
          <w:sz w:val="32"/>
          <w:szCs w:val="32"/>
        </w:rPr>
        <w:t>万元、政府采购工程支出</w:t>
      </w:r>
      <w:r>
        <w:rPr>
          <w:rFonts w:hint="default" w:ascii="Times New Roman" w:hAnsi="Times New Roman" w:eastAsia="微软雅黑" w:cs="Times New Roman"/>
          <w:i w:val="0"/>
          <w:caps w:val="0"/>
          <w:color w:val="000000"/>
          <w:spacing w:val="0"/>
          <w:sz w:val="32"/>
          <w:szCs w:val="32"/>
        </w:rPr>
        <w:t>59.00</w:t>
      </w:r>
      <w:r>
        <w:rPr>
          <w:rFonts w:hint="eastAsia" w:ascii="仿宋_GB2312" w:hAnsi="微软雅黑" w:eastAsia="仿宋_GB2312" w:cs="仿宋_GB2312"/>
          <w:i w:val="0"/>
          <w:caps w:val="0"/>
          <w:color w:val="000000"/>
          <w:spacing w:val="0"/>
          <w:sz w:val="32"/>
          <w:szCs w:val="32"/>
        </w:rPr>
        <w:t>万元、政府采购服务支出</w:t>
      </w:r>
      <w:r>
        <w:rPr>
          <w:rFonts w:hint="default" w:ascii="Times New Roman" w:hAnsi="Times New Roman" w:eastAsia="微软雅黑" w:cs="Times New Roman"/>
          <w:i w:val="0"/>
          <w:caps w:val="0"/>
          <w:color w:val="000000"/>
          <w:spacing w:val="0"/>
          <w:sz w:val="32"/>
          <w:szCs w:val="32"/>
        </w:rPr>
        <w:t>151.34</w:t>
      </w:r>
      <w:r>
        <w:rPr>
          <w:rFonts w:hint="eastAsia" w:ascii="仿宋_GB2312" w:hAnsi="微软雅黑" w:eastAsia="仿宋_GB2312" w:cs="仿宋_GB2312"/>
          <w:i w:val="0"/>
          <w:caps w:val="0"/>
          <w:color w:val="000000"/>
          <w:spacing w:val="0"/>
          <w:sz w:val="32"/>
          <w:szCs w:val="32"/>
        </w:rPr>
        <w:t>万元。</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授予中小企业合同金额</w:t>
      </w:r>
      <w:r>
        <w:rPr>
          <w:rFonts w:hint="default" w:ascii="Times New Roman" w:hAnsi="Times New Roman" w:eastAsia="微软雅黑" w:cs="Times New Roman"/>
          <w:i w:val="0"/>
          <w:caps w:val="0"/>
          <w:color w:val="000000"/>
          <w:spacing w:val="0"/>
          <w:sz w:val="32"/>
          <w:szCs w:val="32"/>
        </w:rPr>
        <w:t>218.63</w:t>
      </w:r>
      <w:r>
        <w:rPr>
          <w:rFonts w:hint="eastAsia" w:ascii="仿宋_GB2312" w:hAnsi="微软雅黑" w:eastAsia="仿宋_GB2312" w:cs="仿宋_GB2312"/>
          <w:i w:val="0"/>
          <w:caps w:val="0"/>
          <w:color w:val="000000"/>
          <w:spacing w:val="0"/>
          <w:sz w:val="32"/>
          <w:szCs w:val="32"/>
        </w:rPr>
        <w:t>万元，占政府采购支出总额的</w:t>
      </w:r>
      <w:r>
        <w:rPr>
          <w:rFonts w:hint="default" w:ascii="Times New Roman" w:hAnsi="Times New Roman" w:eastAsia="微软雅黑" w:cs="Times New Roman"/>
          <w:i w:val="0"/>
          <w:caps w:val="0"/>
          <w:color w:val="000000"/>
          <w:spacing w:val="0"/>
          <w:sz w:val="32"/>
          <w:szCs w:val="32"/>
        </w:rPr>
        <w:t>100.00%</w:t>
      </w:r>
      <w:r>
        <w:rPr>
          <w:rFonts w:hint="eastAsia" w:ascii="仿宋_GB2312" w:hAnsi="微软雅黑" w:eastAsia="仿宋_GB2312" w:cs="仿宋_GB2312"/>
          <w:i w:val="0"/>
          <w:caps w:val="0"/>
          <w:color w:val="000000"/>
          <w:spacing w:val="0"/>
          <w:sz w:val="32"/>
          <w:szCs w:val="32"/>
        </w:rPr>
        <w:t>，其中：授予小微企业合同金额</w:t>
      </w:r>
      <w:r>
        <w:rPr>
          <w:rFonts w:hint="default" w:ascii="Times New Roman" w:hAnsi="Times New Roman" w:eastAsia="微软雅黑" w:cs="Times New Roman"/>
          <w:i w:val="0"/>
          <w:caps w:val="0"/>
          <w:color w:val="000000"/>
          <w:spacing w:val="0"/>
          <w:sz w:val="32"/>
          <w:szCs w:val="32"/>
        </w:rPr>
        <w:t>218.63</w:t>
      </w:r>
      <w:r>
        <w:rPr>
          <w:rFonts w:hint="eastAsia" w:ascii="仿宋_GB2312" w:hAnsi="微软雅黑" w:eastAsia="仿宋_GB2312" w:cs="仿宋_GB2312"/>
          <w:i w:val="0"/>
          <w:caps w:val="0"/>
          <w:color w:val="000000"/>
          <w:spacing w:val="0"/>
          <w:sz w:val="32"/>
          <w:szCs w:val="32"/>
        </w:rPr>
        <w:t>万元，占政府采购支出总额的</w:t>
      </w:r>
      <w:r>
        <w:rPr>
          <w:rFonts w:hint="default" w:ascii="Times New Roman" w:hAnsi="Times New Roman" w:eastAsia="微软雅黑" w:cs="Times New Roman"/>
          <w:i w:val="0"/>
          <w:caps w:val="0"/>
          <w:color w:val="000000"/>
          <w:spacing w:val="0"/>
          <w:sz w:val="32"/>
          <w:szCs w:val="32"/>
        </w:rPr>
        <w:t>100.00%</w:t>
      </w:r>
      <w:r>
        <w:rPr>
          <w:rFonts w:hint="eastAsia" w:ascii="仿宋_GB2312" w:hAnsi="微软雅黑" w:eastAsia="仿宋_GB2312" w:cs="仿宋_GB2312"/>
          <w:i w:val="0"/>
          <w:caps w:val="0"/>
          <w:color w:val="000000"/>
          <w:spacing w:val="0"/>
          <w:sz w:val="32"/>
          <w:szCs w:val="32"/>
        </w:rPr>
        <w:t>。</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（三）国有资产占用情况说明</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截至</w:t>
      </w:r>
      <w:r>
        <w:rPr>
          <w:rFonts w:hint="default" w:ascii="Times New Roman" w:hAnsi="Times New Roman" w:eastAsia="微软雅黑" w:cs="Times New Roman"/>
          <w:i w:val="0"/>
          <w:caps w:val="0"/>
          <w:color w:val="000000"/>
          <w:spacing w:val="0"/>
          <w:sz w:val="32"/>
          <w:szCs w:val="32"/>
        </w:rPr>
        <w:t>2023</w:t>
      </w:r>
      <w:r>
        <w:rPr>
          <w:rFonts w:hint="eastAsia" w:ascii="仿宋_GB2312" w:hAnsi="微软雅黑" w:eastAsia="仿宋_GB2312" w:cs="仿宋_GB2312"/>
          <w:i w:val="0"/>
          <w:caps w:val="0"/>
          <w:color w:val="000000"/>
          <w:spacing w:val="0"/>
          <w:sz w:val="32"/>
          <w:szCs w:val="32"/>
        </w:rPr>
        <w:t>年</w:t>
      </w:r>
      <w:r>
        <w:rPr>
          <w:rFonts w:hint="default" w:ascii="Times New Roman" w:hAnsi="Times New Roman" w:eastAsia="微软雅黑" w:cs="Times New Roman"/>
          <w:i w:val="0"/>
          <w:caps w:val="0"/>
          <w:color w:val="000000"/>
          <w:spacing w:val="0"/>
          <w:sz w:val="32"/>
          <w:szCs w:val="32"/>
        </w:rPr>
        <w:t>12</w:t>
      </w:r>
      <w:r>
        <w:rPr>
          <w:rFonts w:hint="eastAsia" w:ascii="仿宋_GB2312" w:hAnsi="微软雅黑" w:eastAsia="仿宋_GB2312" w:cs="仿宋_GB2312"/>
          <w:i w:val="0"/>
          <w:caps w:val="0"/>
          <w:color w:val="000000"/>
          <w:spacing w:val="0"/>
          <w:sz w:val="32"/>
          <w:szCs w:val="32"/>
        </w:rPr>
        <w:t>月</w:t>
      </w:r>
      <w:r>
        <w:rPr>
          <w:rFonts w:hint="default" w:ascii="Times New Roman" w:hAnsi="Times New Roman" w:eastAsia="微软雅黑" w:cs="Times New Roman"/>
          <w:i w:val="0"/>
          <w:caps w:val="0"/>
          <w:color w:val="000000"/>
          <w:spacing w:val="0"/>
          <w:sz w:val="32"/>
          <w:szCs w:val="32"/>
        </w:rPr>
        <w:t>31</w:t>
      </w:r>
      <w:r>
        <w:rPr>
          <w:rFonts w:hint="eastAsia" w:ascii="仿宋_GB2312" w:hAnsi="微软雅黑" w:eastAsia="仿宋_GB2312" w:cs="仿宋_GB2312"/>
          <w:i w:val="0"/>
          <w:caps w:val="0"/>
          <w:color w:val="000000"/>
          <w:spacing w:val="0"/>
          <w:sz w:val="32"/>
          <w:szCs w:val="32"/>
        </w:rPr>
        <w:t>日，固定资产原值</w:t>
      </w:r>
      <w:r>
        <w:rPr>
          <w:rFonts w:hint="default" w:ascii="Times New Roman" w:hAnsi="Times New Roman" w:eastAsia="微软雅黑" w:cs="Times New Roman"/>
          <w:i w:val="0"/>
          <w:caps w:val="0"/>
          <w:color w:val="000000"/>
          <w:spacing w:val="0"/>
          <w:sz w:val="32"/>
          <w:szCs w:val="32"/>
        </w:rPr>
        <w:t>107.47</w:t>
      </w:r>
      <w:r>
        <w:rPr>
          <w:rFonts w:hint="eastAsia" w:ascii="仿宋_GB2312" w:hAnsi="微软雅黑" w:eastAsia="仿宋_GB2312" w:cs="仿宋_GB2312"/>
          <w:i w:val="0"/>
          <w:caps w:val="0"/>
          <w:color w:val="000000"/>
          <w:spacing w:val="0"/>
          <w:sz w:val="32"/>
          <w:szCs w:val="32"/>
        </w:rPr>
        <w:t>万元，房屋</w:t>
      </w:r>
      <w:r>
        <w:rPr>
          <w:rFonts w:hint="default" w:ascii="Times New Roman" w:hAnsi="Times New Roman" w:eastAsia="微软雅黑" w:cs="Times New Roman"/>
          <w:i w:val="0"/>
          <w:caps w:val="0"/>
          <w:color w:val="000000"/>
          <w:spacing w:val="0"/>
          <w:sz w:val="32"/>
          <w:szCs w:val="32"/>
        </w:rPr>
        <w:t>0.0</w:t>
      </w:r>
      <w:r>
        <w:rPr>
          <w:rFonts w:hint="eastAsia" w:ascii="仿宋_GB2312" w:hAnsi="微软雅黑" w:eastAsia="仿宋_GB2312" w:cs="仿宋_GB2312"/>
          <w:i w:val="0"/>
          <w:caps w:val="0"/>
          <w:color w:val="000000"/>
          <w:spacing w:val="0"/>
          <w:sz w:val="32"/>
          <w:szCs w:val="32"/>
        </w:rPr>
        <w:t>平方米，价值</w:t>
      </w:r>
      <w:r>
        <w:rPr>
          <w:rFonts w:hint="default" w:ascii="Times New Roman" w:hAnsi="Times New Roman" w:eastAsia="微软雅黑" w:cs="Times New Roman"/>
          <w:i w:val="0"/>
          <w:caps w:val="0"/>
          <w:color w:val="000000"/>
          <w:spacing w:val="0"/>
          <w:sz w:val="32"/>
          <w:szCs w:val="32"/>
        </w:rPr>
        <w:t>0.00</w:t>
      </w:r>
      <w:r>
        <w:rPr>
          <w:rFonts w:hint="eastAsia" w:ascii="仿宋_GB2312" w:hAnsi="微软雅黑" w:eastAsia="仿宋_GB2312" w:cs="仿宋_GB2312"/>
          <w:i w:val="0"/>
          <w:caps w:val="0"/>
          <w:color w:val="000000"/>
          <w:spacing w:val="0"/>
          <w:sz w:val="32"/>
          <w:szCs w:val="32"/>
        </w:rPr>
        <w:t>万元。车辆</w:t>
      </w:r>
      <w:r>
        <w:rPr>
          <w:rFonts w:hint="default" w:ascii="Times New Roman" w:hAnsi="Times New Roman" w:eastAsia="微软雅黑" w:cs="Times New Roman"/>
          <w:i w:val="0"/>
          <w:caps w:val="0"/>
          <w:color w:val="000000"/>
          <w:spacing w:val="0"/>
          <w:sz w:val="32"/>
          <w:szCs w:val="32"/>
        </w:rPr>
        <w:t>1</w:t>
      </w:r>
      <w:r>
        <w:rPr>
          <w:rFonts w:hint="eastAsia" w:ascii="仿宋_GB2312" w:hAnsi="微软雅黑" w:eastAsia="仿宋_GB2312" w:cs="仿宋_GB2312"/>
          <w:i w:val="0"/>
          <w:caps w:val="0"/>
          <w:color w:val="000000"/>
          <w:spacing w:val="0"/>
          <w:sz w:val="32"/>
          <w:szCs w:val="32"/>
        </w:rPr>
        <w:t>辆，价值</w:t>
      </w:r>
      <w:r>
        <w:rPr>
          <w:rFonts w:hint="default" w:ascii="Times New Roman" w:hAnsi="Times New Roman" w:eastAsia="微软雅黑" w:cs="Times New Roman"/>
          <w:i w:val="0"/>
          <w:caps w:val="0"/>
          <w:color w:val="000000"/>
          <w:spacing w:val="0"/>
          <w:sz w:val="32"/>
          <w:szCs w:val="32"/>
        </w:rPr>
        <w:t>62.74</w:t>
      </w:r>
      <w:r>
        <w:rPr>
          <w:rFonts w:hint="eastAsia" w:ascii="仿宋_GB2312" w:hAnsi="微软雅黑" w:eastAsia="仿宋_GB2312" w:cs="仿宋_GB2312"/>
          <w:i w:val="0"/>
          <w:caps w:val="0"/>
          <w:color w:val="000000"/>
          <w:spacing w:val="0"/>
          <w:sz w:val="32"/>
          <w:szCs w:val="32"/>
        </w:rPr>
        <w:t>万元，其中：副部（省）级及以上领导用车</w:t>
      </w:r>
      <w:r>
        <w:rPr>
          <w:rFonts w:hint="default" w:ascii="Times New Roman" w:hAnsi="Times New Roman" w:eastAsia="微软雅黑" w:cs="Times New Roman"/>
          <w:i w:val="0"/>
          <w:caps w:val="0"/>
          <w:color w:val="000000"/>
          <w:spacing w:val="0"/>
          <w:sz w:val="32"/>
          <w:szCs w:val="32"/>
        </w:rPr>
        <w:t>0</w:t>
      </w:r>
      <w:r>
        <w:rPr>
          <w:rFonts w:hint="eastAsia" w:ascii="仿宋_GB2312" w:hAnsi="微软雅黑" w:eastAsia="仿宋_GB2312" w:cs="仿宋_GB2312"/>
          <w:i w:val="0"/>
          <w:caps w:val="0"/>
          <w:color w:val="000000"/>
          <w:spacing w:val="0"/>
          <w:sz w:val="32"/>
          <w:szCs w:val="32"/>
        </w:rPr>
        <w:t>辆、主要负责人用车</w:t>
      </w:r>
      <w:r>
        <w:rPr>
          <w:rFonts w:hint="default" w:ascii="Times New Roman" w:hAnsi="Times New Roman" w:eastAsia="微软雅黑" w:cs="Times New Roman"/>
          <w:i w:val="0"/>
          <w:caps w:val="0"/>
          <w:color w:val="000000"/>
          <w:spacing w:val="0"/>
          <w:sz w:val="32"/>
          <w:szCs w:val="32"/>
        </w:rPr>
        <w:t>0</w:t>
      </w:r>
      <w:r>
        <w:rPr>
          <w:rFonts w:hint="eastAsia" w:ascii="仿宋_GB2312" w:hAnsi="微软雅黑" w:eastAsia="仿宋_GB2312" w:cs="仿宋_GB2312"/>
          <w:i w:val="0"/>
          <w:caps w:val="0"/>
          <w:color w:val="000000"/>
          <w:spacing w:val="0"/>
          <w:sz w:val="32"/>
          <w:szCs w:val="32"/>
        </w:rPr>
        <w:t>辆、机要通信用车</w:t>
      </w:r>
      <w:r>
        <w:rPr>
          <w:rFonts w:hint="default" w:ascii="Times New Roman" w:hAnsi="Times New Roman" w:eastAsia="微软雅黑" w:cs="Times New Roman"/>
          <w:i w:val="0"/>
          <w:caps w:val="0"/>
          <w:color w:val="000000"/>
          <w:spacing w:val="0"/>
          <w:sz w:val="32"/>
          <w:szCs w:val="32"/>
        </w:rPr>
        <w:t>0</w:t>
      </w:r>
      <w:r>
        <w:rPr>
          <w:rFonts w:hint="eastAsia" w:ascii="仿宋_GB2312" w:hAnsi="微软雅黑" w:eastAsia="仿宋_GB2312" w:cs="仿宋_GB2312"/>
          <w:i w:val="0"/>
          <w:caps w:val="0"/>
          <w:color w:val="000000"/>
          <w:spacing w:val="0"/>
          <w:sz w:val="32"/>
          <w:szCs w:val="32"/>
        </w:rPr>
        <w:t>辆、应急保障用车</w:t>
      </w:r>
      <w:r>
        <w:rPr>
          <w:rFonts w:hint="default" w:ascii="Times New Roman" w:hAnsi="Times New Roman" w:eastAsia="微软雅黑" w:cs="Times New Roman"/>
          <w:i w:val="0"/>
          <w:caps w:val="0"/>
          <w:color w:val="000000"/>
          <w:spacing w:val="0"/>
          <w:sz w:val="32"/>
          <w:szCs w:val="32"/>
        </w:rPr>
        <w:t>0</w:t>
      </w:r>
      <w:r>
        <w:rPr>
          <w:rFonts w:hint="eastAsia" w:ascii="仿宋_GB2312" w:hAnsi="微软雅黑" w:eastAsia="仿宋_GB2312" w:cs="仿宋_GB2312"/>
          <w:i w:val="0"/>
          <w:caps w:val="0"/>
          <w:color w:val="000000"/>
          <w:spacing w:val="0"/>
          <w:sz w:val="32"/>
          <w:szCs w:val="32"/>
        </w:rPr>
        <w:t>辆、执法执勤用车</w:t>
      </w:r>
      <w:r>
        <w:rPr>
          <w:rFonts w:hint="default" w:ascii="Times New Roman" w:hAnsi="Times New Roman" w:eastAsia="微软雅黑" w:cs="Times New Roman"/>
          <w:i w:val="0"/>
          <w:caps w:val="0"/>
          <w:color w:val="000000"/>
          <w:spacing w:val="0"/>
          <w:sz w:val="32"/>
          <w:szCs w:val="32"/>
        </w:rPr>
        <w:t>0</w:t>
      </w:r>
      <w:r>
        <w:rPr>
          <w:rFonts w:hint="eastAsia" w:ascii="仿宋_GB2312" w:hAnsi="微软雅黑" w:eastAsia="仿宋_GB2312" w:cs="仿宋_GB2312"/>
          <w:i w:val="0"/>
          <w:caps w:val="0"/>
          <w:color w:val="000000"/>
          <w:spacing w:val="0"/>
          <w:sz w:val="32"/>
          <w:szCs w:val="32"/>
        </w:rPr>
        <w:t>辆、特种专业技术用车</w:t>
      </w:r>
      <w:r>
        <w:rPr>
          <w:rFonts w:hint="default" w:ascii="Times New Roman" w:hAnsi="Times New Roman" w:eastAsia="微软雅黑" w:cs="Times New Roman"/>
          <w:i w:val="0"/>
          <w:caps w:val="0"/>
          <w:color w:val="000000"/>
          <w:spacing w:val="0"/>
          <w:sz w:val="32"/>
          <w:szCs w:val="32"/>
        </w:rPr>
        <w:t>0</w:t>
      </w:r>
      <w:r>
        <w:rPr>
          <w:rFonts w:hint="eastAsia" w:ascii="仿宋_GB2312" w:hAnsi="微软雅黑" w:eastAsia="仿宋_GB2312" w:cs="仿宋_GB2312"/>
          <w:i w:val="0"/>
          <w:caps w:val="0"/>
          <w:color w:val="000000"/>
          <w:spacing w:val="0"/>
          <w:sz w:val="32"/>
          <w:szCs w:val="32"/>
        </w:rPr>
        <w:t>辆、离退休干部服务用车</w:t>
      </w:r>
      <w:r>
        <w:rPr>
          <w:rFonts w:hint="default" w:ascii="Times New Roman" w:hAnsi="Times New Roman" w:eastAsia="微软雅黑" w:cs="Times New Roman"/>
          <w:i w:val="0"/>
          <w:caps w:val="0"/>
          <w:color w:val="000000"/>
          <w:spacing w:val="0"/>
          <w:sz w:val="32"/>
          <w:szCs w:val="32"/>
        </w:rPr>
        <w:t>0</w:t>
      </w:r>
      <w:r>
        <w:rPr>
          <w:rFonts w:hint="eastAsia" w:ascii="仿宋_GB2312" w:hAnsi="微软雅黑" w:eastAsia="仿宋_GB2312" w:cs="仿宋_GB2312"/>
          <w:i w:val="0"/>
          <w:caps w:val="0"/>
          <w:color w:val="000000"/>
          <w:spacing w:val="0"/>
          <w:sz w:val="32"/>
          <w:szCs w:val="32"/>
        </w:rPr>
        <w:t>辆、其他用车</w:t>
      </w:r>
      <w:r>
        <w:rPr>
          <w:rFonts w:hint="default" w:ascii="Times New Roman" w:hAnsi="Times New Roman" w:eastAsia="微软雅黑" w:cs="Times New Roman"/>
          <w:i w:val="0"/>
          <w:caps w:val="0"/>
          <w:color w:val="000000"/>
          <w:spacing w:val="0"/>
          <w:sz w:val="32"/>
          <w:szCs w:val="32"/>
        </w:rPr>
        <w:t>1</w:t>
      </w:r>
      <w:r>
        <w:rPr>
          <w:rFonts w:hint="eastAsia" w:ascii="仿宋_GB2312" w:hAnsi="微软雅黑" w:eastAsia="仿宋_GB2312" w:cs="仿宋_GB2312"/>
          <w:i w:val="0"/>
          <w:caps w:val="0"/>
          <w:color w:val="000000"/>
          <w:spacing w:val="0"/>
          <w:sz w:val="32"/>
          <w:szCs w:val="32"/>
        </w:rPr>
        <w:t>辆，其他用车主要是：一般公务用车；单价</w:t>
      </w:r>
      <w:r>
        <w:rPr>
          <w:rFonts w:hint="default" w:ascii="Times New Roman" w:hAnsi="Times New Roman" w:eastAsia="微软雅黑" w:cs="Times New Roman"/>
          <w:i w:val="0"/>
          <w:caps w:val="0"/>
          <w:color w:val="000000"/>
          <w:spacing w:val="0"/>
          <w:sz w:val="32"/>
          <w:szCs w:val="32"/>
        </w:rPr>
        <w:t>100</w:t>
      </w:r>
      <w:r>
        <w:rPr>
          <w:rFonts w:hint="eastAsia" w:ascii="仿宋_GB2312" w:hAnsi="微软雅黑" w:eastAsia="仿宋_GB2312" w:cs="仿宋_GB2312"/>
          <w:i w:val="0"/>
          <w:caps w:val="0"/>
          <w:color w:val="000000"/>
          <w:spacing w:val="0"/>
          <w:sz w:val="32"/>
          <w:szCs w:val="32"/>
        </w:rPr>
        <w:t>万元（含）以上设备（不含车辆）</w:t>
      </w:r>
      <w:r>
        <w:rPr>
          <w:rFonts w:hint="default" w:ascii="Times New Roman" w:hAnsi="Times New Roman" w:eastAsia="微软雅黑" w:cs="Times New Roman"/>
          <w:i w:val="0"/>
          <w:caps w:val="0"/>
          <w:color w:val="000000"/>
          <w:spacing w:val="0"/>
          <w:sz w:val="32"/>
          <w:szCs w:val="32"/>
        </w:rPr>
        <w:t>0</w:t>
      </w:r>
      <w:r>
        <w:rPr>
          <w:rFonts w:hint="eastAsia" w:ascii="仿宋_GB2312" w:hAnsi="微软雅黑" w:eastAsia="仿宋_GB2312" w:cs="仿宋_GB2312"/>
          <w:i w:val="0"/>
          <w:caps w:val="0"/>
          <w:color w:val="000000"/>
          <w:spacing w:val="0"/>
          <w:sz w:val="32"/>
          <w:szCs w:val="32"/>
        </w:rPr>
        <w:t>台（套）。</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十一、预算绩效的情况说明</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根据预算绩效管理要求，我单位2023年度预算绩效评价项目1个，全年预算数</w:t>
      </w:r>
      <w:r>
        <w:rPr>
          <w:rFonts w:hint="eastAsia" w:ascii="仿宋_GB2312" w:hAnsi="微软雅黑" w:eastAsia="仿宋_GB2312" w:cs="仿宋_GB2312"/>
          <w:i w:val="0"/>
          <w:caps w:val="0"/>
          <w:color w:val="000000"/>
          <w:spacing w:val="0"/>
          <w:sz w:val="32"/>
          <w:szCs w:val="32"/>
          <w:lang w:val="en-US" w:eastAsia="zh-CN"/>
        </w:rPr>
        <w:t>200</w:t>
      </w:r>
      <w:r>
        <w:rPr>
          <w:rFonts w:hint="eastAsia" w:ascii="仿宋_GB2312" w:hAnsi="微软雅黑" w:eastAsia="仿宋_GB2312" w:cs="仿宋_GB2312"/>
          <w:i w:val="0"/>
          <w:caps w:val="0"/>
          <w:color w:val="000000"/>
          <w:spacing w:val="0"/>
          <w:sz w:val="32"/>
          <w:szCs w:val="32"/>
        </w:rPr>
        <w:t>万元，全年执行数</w:t>
      </w:r>
      <w:r>
        <w:rPr>
          <w:rFonts w:hint="eastAsia" w:ascii="仿宋_GB2312" w:hAnsi="微软雅黑" w:eastAsia="仿宋_GB2312" w:cs="仿宋_GB2312"/>
          <w:i w:val="0"/>
          <w:caps w:val="0"/>
          <w:color w:val="000000"/>
          <w:spacing w:val="0"/>
          <w:sz w:val="32"/>
          <w:szCs w:val="32"/>
          <w:lang w:val="en-US" w:eastAsia="zh-CN"/>
        </w:rPr>
        <w:t>200</w:t>
      </w:r>
      <w:r>
        <w:rPr>
          <w:rFonts w:hint="eastAsia" w:ascii="仿宋_GB2312" w:hAnsi="微软雅黑" w:eastAsia="仿宋_GB2312" w:cs="仿宋_GB2312"/>
          <w:i w:val="0"/>
          <w:caps w:val="0"/>
          <w:color w:val="000000"/>
          <w:spacing w:val="0"/>
          <w:sz w:val="32"/>
          <w:szCs w:val="32"/>
        </w:rPr>
        <w:t>万元。预算绩效管理取得的成效：一是对新疆塔里木河流域管理局（以下简称塔管局）各信息系统软、硬件设备进行维修养护，保障各信息系统正常运行；二是通过GPRS数据卡将流域各水情点实时水情数据传至塔管局业务平台，实现全流域的水量管理和统一调度；三是通过遥感影像数据采集、解译并更新到业务平台为塔管局在水管水调和防汛度汛方面进行决策提供重要依据和技术手段。发现的问题及原因：一是预算编制还需各业务科室相互配合，加强沟通，提高预算编制的精确化；二是预算编制执行时间节点还需精细划分。下一步改进措施：一是加强与各业务处室的沟通配合、提高预算编制人员的业务水平及能力，确保项目经费的完整性及准确性；二是加快预算执行，提高预算编制完整性，提高项目资金执行率。具体项目自评情况附绩效自评表及自评报告。</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十二、其他需说明的事项</w:t>
      </w:r>
    </w:p>
    <w:p>
      <w:pPr>
        <w:pStyle w:val="2"/>
        <w:keepNext w:val="0"/>
        <w:keepLines w:val="0"/>
        <w:widowControl/>
        <w:suppressLineNumbers w:val="0"/>
        <w:spacing w:before="0" w:beforeAutospacing="1" w:after="0" w:afterAutospacing="1" w:line="560" w:lineRule="atLeast"/>
        <w:ind w:left="0" w:right="0" w:firstLine="640"/>
        <w:jc w:val="left"/>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本单位无其他需说明事项</w:t>
      </w:r>
    </w:p>
    <w:p>
      <w:pPr>
        <w:pStyle w:val="2"/>
        <w:keepNext w:val="0"/>
        <w:keepLines w:val="0"/>
        <w:widowControl/>
        <w:suppressLineNumbers w:val="0"/>
        <w:spacing w:before="0" w:beforeAutospacing="1" w:after="0" w:afterAutospacing="1" w:line="56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第三部分 专业名词解释。</w:t>
      </w:r>
    </w:p>
    <w:p>
      <w:pPr>
        <w:pStyle w:val="2"/>
        <w:keepNext w:val="0"/>
        <w:keepLines w:val="0"/>
        <w:widowControl/>
        <w:suppressLineNumbers w:val="0"/>
        <w:spacing w:before="0" w:beforeAutospacing="1" w:after="0" w:afterAutospacing="1" w:line="560" w:lineRule="atLeast"/>
        <w:ind w:left="0" w:right="0" w:firstLine="643"/>
        <w:jc w:val="left"/>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b/>
          <w:i w:val="0"/>
          <w:caps w:val="0"/>
          <w:color w:val="000000"/>
          <w:spacing w:val="0"/>
          <w:sz w:val="32"/>
          <w:szCs w:val="32"/>
        </w:rPr>
        <w:t>一、财政拨款收入：</w:t>
      </w:r>
      <w:r>
        <w:rPr>
          <w:rFonts w:hint="eastAsia" w:ascii="仿宋_GB2312" w:hAnsi="微软雅黑" w:eastAsia="仿宋_GB2312" w:cs="仿宋_GB2312"/>
          <w:i w:val="0"/>
          <w:caps w:val="0"/>
          <w:color w:val="000000"/>
          <w:spacing w:val="0"/>
          <w:sz w:val="32"/>
          <w:szCs w:val="32"/>
        </w:rPr>
        <w:t>指同级财政当年拨付的资金。</w:t>
      </w:r>
    </w:p>
    <w:p>
      <w:pPr>
        <w:pStyle w:val="2"/>
        <w:keepNext w:val="0"/>
        <w:keepLines w:val="0"/>
        <w:widowControl/>
        <w:suppressLineNumbers w:val="0"/>
        <w:spacing w:before="0" w:beforeAutospacing="1" w:after="0" w:afterAutospacing="1" w:line="560" w:lineRule="atLeast"/>
        <w:ind w:left="0" w:right="0" w:firstLine="643"/>
        <w:jc w:val="left"/>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b/>
          <w:i w:val="0"/>
          <w:caps w:val="0"/>
          <w:color w:val="000000"/>
          <w:spacing w:val="0"/>
          <w:sz w:val="32"/>
          <w:szCs w:val="32"/>
        </w:rPr>
        <w:t>二、上级补助收入：</w:t>
      </w:r>
      <w:r>
        <w:rPr>
          <w:rFonts w:hint="eastAsia" w:ascii="仿宋_GB2312" w:hAnsi="微软雅黑" w:eastAsia="仿宋_GB2312" w:cs="仿宋_GB2312"/>
          <w:i w:val="0"/>
          <w:caps w:val="0"/>
          <w:color w:val="000000"/>
          <w:spacing w:val="0"/>
          <w:sz w:val="32"/>
          <w:szCs w:val="32"/>
        </w:rPr>
        <w:t>指事业单位从主管部门和上级单位取得的非财政补助收入。</w:t>
      </w:r>
    </w:p>
    <w:p>
      <w:pPr>
        <w:pStyle w:val="2"/>
        <w:keepNext w:val="0"/>
        <w:keepLines w:val="0"/>
        <w:widowControl/>
        <w:suppressLineNumbers w:val="0"/>
        <w:spacing w:before="0" w:beforeAutospacing="1" w:after="0" w:afterAutospacing="1" w:line="560" w:lineRule="atLeast"/>
        <w:ind w:left="0" w:right="0" w:firstLine="643"/>
        <w:jc w:val="left"/>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b/>
          <w:i w:val="0"/>
          <w:caps w:val="0"/>
          <w:color w:val="000000"/>
          <w:spacing w:val="0"/>
          <w:sz w:val="32"/>
          <w:szCs w:val="32"/>
        </w:rPr>
        <w:t>三、事业收入：</w:t>
      </w:r>
      <w:r>
        <w:rPr>
          <w:rFonts w:hint="eastAsia" w:ascii="仿宋_GB2312" w:hAnsi="微软雅黑" w:eastAsia="仿宋_GB2312" w:cs="仿宋_GB2312"/>
          <w:i w:val="0"/>
          <w:caps w:val="0"/>
          <w:color w:val="000000"/>
          <w:spacing w:val="0"/>
          <w:sz w:val="32"/>
          <w:szCs w:val="32"/>
        </w:rPr>
        <w:t>指事业单位开展专业业务活动及其辅助活动所取得的收入。</w:t>
      </w:r>
    </w:p>
    <w:p>
      <w:pPr>
        <w:pStyle w:val="2"/>
        <w:keepNext w:val="0"/>
        <w:keepLines w:val="0"/>
        <w:widowControl/>
        <w:suppressLineNumbers w:val="0"/>
        <w:spacing w:before="0" w:beforeAutospacing="1" w:after="0" w:afterAutospacing="1" w:line="560" w:lineRule="atLeast"/>
        <w:ind w:left="0" w:right="0" w:firstLine="643"/>
        <w:jc w:val="left"/>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b/>
          <w:i w:val="0"/>
          <w:caps w:val="0"/>
          <w:color w:val="000000"/>
          <w:spacing w:val="0"/>
          <w:sz w:val="32"/>
          <w:szCs w:val="32"/>
        </w:rPr>
        <w:t>四、经营收入：</w:t>
      </w:r>
      <w:r>
        <w:rPr>
          <w:rFonts w:hint="eastAsia" w:ascii="仿宋_GB2312" w:hAnsi="微软雅黑" w:eastAsia="仿宋_GB2312" w:cs="仿宋_GB2312"/>
          <w:i w:val="0"/>
          <w:caps w:val="0"/>
          <w:color w:val="000000"/>
          <w:spacing w:val="0"/>
          <w:sz w:val="32"/>
          <w:szCs w:val="32"/>
        </w:rPr>
        <w:t>指事业单位在专业业务活动及其辅助活动之外开展非独立核算经营活动取得的收入。</w:t>
      </w:r>
    </w:p>
    <w:p>
      <w:pPr>
        <w:pStyle w:val="2"/>
        <w:keepNext w:val="0"/>
        <w:keepLines w:val="0"/>
        <w:widowControl/>
        <w:suppressLineNumbers w:val="0"/>
        <w:spacing w:before="0" w:beforeAutospacing="1" w:after="0" w:afterAutospacing="1" w:line="560" w:lineRule="atLeast"/>
        <w:ind w:left="0" w:right="0" w:firstLine="643"/>
        <w:jc w:val="left"/>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b/>
          <w:i w:val="0"/>
          <w:caps w:val="0"/>
          <w:color w:val="000000"/>
          <w:spacing w:val="0"/>
          <w:sz w:val="32"/>
          <w:szCs w:val="32"/>
        </w:rPr>
        <w:t>五、附属单位上缴收入：</w:t>
      </w:r>
      <w:r>
        <w:rPr>
          <w:rFonts w:hint="eastAsia" w:ascii="仿宋_GB2312" w:hAnsi="微软雅黑" w:eastAsia="仿宋_GB2312" w:cs="仿宋_GB2312"/>
          <w:i w:val="0"/>
          <w:caps w:val="0"/>
          <w:color w:val="000000"/>
          <w:spacing w:val="0"/>
          <w:sz w:val="32"/>
          <w:szCs w:val="32"/>
        </w:rPr>
        <w:t>指事业单位附属的独立核算单位按有关规定上缴的收入。</w:t>
      </w:r>
    </w:p>
    <w:p>
      <w:pPr>
        <w:pStyle w:val="2"/>
        <w:keepNext w:val="0"/>
        <w:keepLines w:val="0"/>
        <w:widowControl/>
        <w:suppressLineNumbers w:val="0"/>
        <w:spacing w:before="0" w:beforeAutospacing="1" w:after="0" w:afterAutospacing="1" w:line="560" w:lineRule="atLeast"/>
        <w:ind w:left="0" w:right="0" w:firstLine="643"/>
        <w:jc w:val="left"/>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b/>
          <w:i w:val="0"/>
          <w:caps w:val="0"/>
          <w:color w:val="000000"/>
          <w:spacing w:val="0"/>
          <w:sz w:val="32"/>
          <w:szCs w:val="32"/>
        </w:rPr>
        <w:t>六、其他收入：</w:t>
      </w:r>
      <w:r>
        <w:rPr>
          <w:rFonts w:hint="eastAsia" w:ascii="仿宋_GB2312" w:hAnsi="微软雅黑" w:eastAsia="仿宋_GB2312" w:cs="仿宋_GB2312"/>
          <w:i w:val="0"/>
          <w:caps w:val="0"/>
          <w:color w:val="000000"/>
          <w:spacing w:val="0"/>
          <w:sz w:val="32"/>
          <w:szCs w:val="32"/>
        </w:rPr>
        <w:t>指除上述“财政拨款收入”、“事业收入”、“经营收入”、“附属单位上缴收入”等之外取得的收入。</w:t>
      </w:r>
    </w:p>
    <w:p>
      <w:pPr>
        <w:pStyle w:val="2"/>
        <w:keepNext w:val="0"/>
        <w:keepLines w:val="0"/>
        <w:widowControl/>
        <w:suppressLineNumbers w:val="0"/>
        <w:spacing w:before="0" w:beforeAutospacing="1" w:after="0" w:afterAutospacing="1" w:line="560" w:lineRule="atLeast"/>
        <w:ind w:left="0" w:right="0" w:firstLine="643"/>
        <w:jc w:val="left"/>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b/>
          <w:i w:val="0"/>
          <w:caps w:val="0"/>
          <w:color w:val="000000"/>
          <w:spacing w:val="0"/>
          <w:sz w:val="32"/>
          <w:szCs w:val="32"/>
        </w:rPr>
        <w:t>七、年初结转和结余：</w:t>
      </w:r>
      <w:r>
        <w:rPr>
          <w:rFonts w:hint="eastAsia" w:ascii="仿宋_GB2312" w:hAnsi="微软雅黑" w:eastAsia="仿宋_GB2312" w:cs="仿宋_GB2312"/>
          <w:i w:val="0"/>
          <w:caps w:val="0"/>
          <w:color w:val="000000"/>
          <w:spacing w:val="0"/>
          <w:sz w:val="32"/>
          <w:szCs w:val="32"/>
        </w:rPr>
        <w:t>指以前年度支出预算因客观条件变化未执行完毕、结转到本年度按有关规定继续使用的资金，既包括财政拨款结转和结余，也包括事业收入、经营收入、其他收入的结转和结余。</w:t>
      </w:r>
    </w:p>
    <w:p>
      <w:pPr>
        <w:pStyle w:val="2"/>
        <w:keepNext w:val="0"/>
        <w:keepLines w:val="0"/>
        <w:widowControl/>
        <w:suppressLineNumbers w:val="0"/>
        <w:spacing w:before="0" w:beforeAutospacing="1" w:after="0" w:afterAutospacing="1" w:line="560" w:lineRule="atLeast"/>
        <w:ind w:left="0" w:right="0" w:firstLine="643"/>
        <w:jc w:val="left"/>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b/>
          <w:i w:val="0"/>
          <w:caps w:val="0"/>
          <w:color w:val="000000"/>
          <w:spacing w:val="0"/>
          <w:sz w:val="32"/>
          <w:szCs w:val="32"/>
        </w:rPr>
        <w:t>八、年末结转和结余：</w:t>
      </w:r>
      <w:r>
        <w:rPr>
          <w:rFonts w:hint="eastAsia" w:ascii="仿宋_GB2312" w:hAnsi="微软雅黑" w:eastAsia="仿宋_GB2312" w:cs="仿宋_GB2312"/>
          <w:i w:val="0"/>
          <w:caps w:val="0"/>
          <w:color w:val="000000"/>
          <w:spacing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pStyle w:val="2"/>
        <w:keepNext w:val="0"/>
        <w:keepLines w:val="0"/>
        <w:widowControl/>
        <w:suppressLineNumbers w:val="0"/>
        <w:spacing w:before="0" w:beforeAutospacing="1" w:after="0" w:afterAutospacing="1" w:line="560" w:lineRule="atLeast"/>
        <w:ind w:left="0" w:right="0" w:firstLine="643"/>
        <w:jc w:val="left"/>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b/>
          <w:i w:val="0"/>
          <w:caps w:val="0"/>
          <w:color w:val="000000"/>
          <w:spacing w:val="0"/>
          <w:sz w:val="32"/>
          <w:szCs w:val="32"/>
        </w:rPr>
        <w:t>九、基本支出：</w:t>
      </w:r>
      <w:r>
        <w:rPr>
          <w:rFonts w:hint="eastAsia" w:ascii="仿宋_GB2312" w:hAnsi="微软雅黑" w:eastAsia="仿宋_GB2312" w:cs="仿宋_GB2312"/>
          <w:i w:val="0"/>
          <w:caps w:val="0"/>
          <w:color w:val="000000"/>
          <w:spacing w:val="0"/>
          <w:sz w:val="32"/>
          <w:szCs w:val="32"/>
        </w:rPr>
        <w:t>指为保障机构正常运转、完成日常工作任务而发生的人员支出和公用支出。</w:t>
      </w:r>
    </w:p>
    <w:p>
      <w:pPr>
        <w:pStyle w:val="2"/>
        <w:keepNext w:val="0"/>
        <w:keepLines w:val="0"/>
        <w:widowControl/>
        <w:suppressLineNumbers w:val="0"/>
        <w:spacing w:before="0" w:beforeAutospacing="1" w:after="0" w:afterAutospacing="1" w:line="560" w:lineRule="atLeast"/>
        <w:ind w:left="0" w:right="0" w:firstLine="643"/>
        <w:jc w:val="left"/>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b/>
          <w:i w:val="0"/>
          <w:caps w:val="0"/>
          <w:color w:val="000000"/>
          <w:spacing w:val="0"/>
          <w:sz w:val="32"/>
          <w:szCs w:val="32"/>
        </w:rPr>
        <w:t>十、项目支出：</w:t>
      </w:r>
      <w:r>
        <w:rPr>
          <w:rFonts w:hint="eastAsia" w:ascii="仿宋_GB2312" w:hAnsi="微软雅黑" w:eastAsia="仿宋_GB2312" w:cs="仿宋_GB2312"/>
          <w:i w:val="0"/>
          <w:caps w:val="0"/>
          <w:color w:val="000000"/>
          <w:spacing w:val="0"/>
          <w:sz w:val="32"/>
          <w:szCs w:val="32"/>
        </w:rPr>
        <w:t>指在基本支出之外为完成特定行政任务和事业发展目标所发生的支出。</w:t>
      </w:r>
    </w:p>
    <w:p>
      <w:pPr>
        <w:pStyle w:val="2"/>
        <w:keepNext w:val="0"/>
        <w:keepLines w:val="0"/>
        <w:widowControl/>
        <w:suppressLineNumbers w:val="0"/>
        <w:spacing w:before="0" w:beforeAutospacing="1" w:after="0" w:afterAutospacing="1" w:line="560" w:lineRule="atLeast"/>
        <w:ind w:left="0" w:right="0" w:firstLine="643"/>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b/>
          <w:i w:val="0"/>
          <w:caps w:val="0"/>
          <w:color w:val="000000"/>
          <w:spacing w:val="0"/>
          <w:sz w:val="32"/>
          <w:szCs w:val="32"/>
        </w:rPr>
        <w:t>十一、经营支出：</w:t>
      </w:r>
      <w:r>
        <w:rPr>
          <w:rFonts w:hint="eastAsia" w:ascii="仿宋_GB2312" w:hAnsi="微软雅黑" w:eastAsia="仿宋_GB2312" w:cs="仿宋_GB2312"/>
          <w:i w:val="0"/>
          <w:caps w:val="0"/>
          <w:color w:val="000000"/>
          <w:spacing w:val="0"/>
          <w:sz w:val="32"/>
          <w:szCs w:val="32"/>
        </w:rPr>
        <w:t>指事业单位在专业业务活动及其辅助活动之外开展非独立核算经营活动发生的支出。</w:t>
      </w:r>
    </w:p>
    <w:p>
      <w:pPr>
        <w:pStyle w:val="2"/>
        <w:keepNext w:val="0"/>
        <w:keepLines w:val="0"/>
        <w:widowControl/>
        <w:suppressLineNumbers w:val="0"/>
        <w:spacing w:before="0" w:beforeAutospacing="1" w:after="0" w:afterAutospacing="1" w:line="560" w:lineRule="atLeast"/>
        <w:ind w:left="0" w:right="0" w:firstLine="643"/>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b/>
          <w:i w:val="0"/>
          <w:caps w:val="0"/>
          <w:color w:val="000000"/>
          <w:spacing w:val="0"/>
          <w:sz w:val="32"/>
          <w:szCs w:val="32"/>
        </w:rPr>
        <w:t>十二、对附属单位补助支出：</w:t>
      </w:r>
      <w:r>
        <w:rPr>
          <w:rFonts w:hint="eastAsia" w:ascii="仿宋_GB2312" w:hAnsi="微软雅黑" w:eastAsia="仿宋_GB2312" w:cs="仿宋_GB2312"/>
          <w:i w:val="0"/>
          <w:caps w:val="0"/>
          <w:color w:val="000000"/>
          <w:spacing w:val="0"/>
          <w:sz w:val="32"/>
          <w:szCs w:val="32"/>
        </w:rPr>
        <w:t>指事业单位发生的用非财政预算资金对附属单位的补助支出。</w:t>
      </w:r>
    </w:p>
    <w:p>
      <w:pPr>
        <w:pStyle w:val="2"/>
        <w:keepNext w:val="0"/>
        <w:keepLines w:val="0"/>
        <w:widowControl/>
        <w:suppressLineNumbers w:val="0"/>
        <w:spacing w:before="0" w:beforeAutospacing="1" w:after="0" w:afterAutospacing="1" w:line="560" w:lineRule="atLeast"/>
        <w:ind w:left="0" w:right="0" w:firstLine="643"/>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b/>
          <w:i w:val="0"/>
          <w:caps w:val="0"/>
          <w:color w:val="000000"/>
          <w:spacing w:val="0"/>
          <w:sz w:val="32"/>
          <w:szCs w:val="32"/>
        </w:rPr>
        <w:t>十三、“三公”经费：</w:t>
      </w:r>
      <w:r>
        <w:rPr>
          <w:rFonts w:hint="eastAsia" w:ascii="仿宋_GB2312" w:hAnsi="微软雅黑" w:eastAsia="仿宋_GB2312" w:cs="仿宋_GB2312"/>
          <w:i w:val="0"/>
          <w:caps w:val="0"/>
          <w:color w:val="000000"/>
          <w:spacing w:val="0"/>
          <w:sz w:val="32"/>
          <w:szCs w:val="32"/>
        </w:rPr>
        <w:t>指由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pStyle w:val="2"/>
        <w:keepNext w:val="0"/>
        <w:keepLines w:val="0"/>
        <w:widowControl/>
        <w:suppressLineNumbers w:val="0"/>
        <w:spacing w:before="0" w:beforeAutospacing="1" w:after="0" w:afterAutospacing="1" w:line="560" w:lineRule="atLeast"/>
        <w:ind w:left="0" w:right="0" w:firstLine="643"/>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b/>
          <w:i w:val="0"/>
          <w:caps w:val="0"/>
          <w:color w:val="000000"/>
          <w:spacing w:val="0"/>
          <w:sz w:val="32"/>
          <w:szCs w:val="32"/>
        </w:rPr>
        <w:t>十四、机关运行经费：</w:t>
      </w:r>
      <w:r>
        <w:rPr>
          <w:rFonts w:hint="eastAsia" w:ascii="仿宋_GB2312" w:hAnsi="微软雅黑" w:eastAsia="仿宋_GB2312" w:cs="仿宋_GB2312"/>
          <w:i w:val="0"/>
          <w:caps w:val="0"/>
          <w:color w:val="000000"/>
          <w:spacing w:val="0"/>
          <w:sz w:val="32"/>
          <w:szCs w:val="32"/>
        </w:rPr>
        <w:t>行政单位和参照公务员法管理的事业单位财政拨款基本支出中的公用经费支出。</w:t>
      </w:r>
    </w:p>
    <w:p>
      <w:pPr>
        <w:pStyle w:val="2"/>
        <w:keepNext w:val="0"/>
        <w:keepLines w:val="0"/>
        <w:widowControl/>
        <w:suppressLineNumbers w:val="0"/>
        <w:spacing w:before="0" w:beforeAutospacing="1" w:after="0" w:afterAutospacing="1" w:line="560" w:lineRule="atLeast"/>
        <w:ind w:left="0" w:right="0" w:firstLine="0"/>
        <w:rPr>
          <w:rFonts w:hint="eastAsia" w:ascii="微软雅黑" w:hAnsi="微软雅黑" w:eastAsia="微软雅黑" w:cs="微软雅黑"/>
          <w:i w:val="0"/>
          <w:caps w:val="0"/>
          <w:color w:val="000000"/>
          <w:spacing w:val="0"/>
          <w:sz w:val="27"/>
          <w:szCs w:val="27"/>
        </w:rPr>
      </w:pPr>
      <w:r>
        <w:rPr>
          <w:rFonts w:hint="eastAsia" w:ascii="宋体" w:hAnsi="宋体" w:eastAsia="宋体" w:cs="宋体"/>
          <w:i w:val="0"/>
          <w:caps w:val="0"/>
          <w:color w:val="000000"/>
          <w:spacing w:val="0"/>
          <w:sz w:val="24"/>
          <w:szCs w:val="24"/>
        </w:rPr>
        <w:t> </w:t>
      </w:r>
    </w:p>
    <w:p>
      <w:pPr>
        <w:pStyle w:val="2"/>
        <w:keepNext w:val="0"/>
        <w:keepLines w:val="0"/>
        <w:widowControl/>
        <w:suppressLineNumbers w:val="0"/>
        <w:spacing w:before="0" w:beforeAutospacing="1" w:after="0" w:afterAutospacing="1" w:line="560" w:lineRule="atLeast"/>
        <w:ind w:left="0" w:right="0" w:firstLine="64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第四部分 部门决算报表（见附表）</w:t>
      </w:r>
    </w:p>
    <w:p>
      <w:pPr>
        <w:pStyle w:val="2"/>
        <w:keepNext w:val="0"/>
        <w:keepLines w:val="0"/>
        <w:widowControl/>
        <w:suppressLineNumbers w:val="0"/>
        <w:spacing w:before="0" w:beforeAutospacing="1" w:after="0" w:afterAutospacing="1" w:line="560" w:lineRule="atLeast"/>
        <w:ind w:left="0" w:right="0" w:firstLine="64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一、《收入支出决算总表》</w:t>
      </w:r>
    </w:p>
    <w:p>
      <w:pPr>
        <w:pStyle w:val="2"/>
        <w:keepNext w:val="0"/>
        <w:keepLines w:val="0"/>
        <w:widowControl/>
        <w:suppressLineNumbers w:val="0"/>
        <w:spacing w:before="0" w:beforeAutospacing="1" w:after="0" w:afterAutospacing="1" w:line="560" w:lineRule="atLeast"/>
        <w:ind w:left="0" w:right="0" w:firstLine="64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二、《收入决算表》</w:t>
      </w:r>
    </w:p>
    <w:p>
      <w:pPr>
        <w:pStyle w:val="2"/>
        <w:keepNext w:val="0"/>
        <w:keepLines w:val="0"/>
        <w:widowControl/>
        <w:suppressLineNumbers w:val="0"/>
        <w:spacing w:before="0" w:beforeAutospacing="1" w:after="0" w:afterAutospacing="1" w:line="560" w:lineRule="atLeast"/>
        <w:ind w:left="0" w:right="0" w:firstLine="64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三、《支出决算表》</w:t>
      </w:r>
    </w:p>
    <w:p>
      <w:pPr>
        <w:pStyle w:val="2"/>
        <w:keepNext w:val="0"/>
        <w:keepLines w:val="0"/>
        <w:widowControl/>
        <w:suppressLineNumbers w:val="0"/>
        <w:spacing w:before="0" w:beforeAutospacing="1" w:after="0" w:afterAutospacing="1" w:line="560" w:lineRule="atLeast"/>
        <w:ind w:left="0" w:right="0" w:firstLine="64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四、《财政拨款收入支出决算总表》</w:t>
      </w:r>
    </w:p>
    <w:p>
      <w:pPr>
        <w:pStyle w:val="2"/>
        <w:keepNext w:val="0"/>
        <w:keepLines w:val="0"/>
        <w:widowControl/>
        <w:suppressLineNumbers w:val="0"/>
        <w:spacing w:before="0" w:beforeAutospacing="1" w:after="0" w:afterAutospacing="1" w:line="560" w:lineRule="atLeast"/>
        <w:ind w:left="0" w:right="0" w:firstLine="64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五、《一般公共预算财政拨款支出决算表》</w:t>
      </w:r>
    </w:p>
    <w:p>
      <w:pPr>
        <w:pStyle w:val="2"/>
        <w:keepNext w:val="0"/>
        <w:keepLines w:val="0"/>
        <w:widowControl/>
        <w:suppressLineNumbers w:val="0"/>
        <w:spacing w:before="0" w:beforeAutospacing="1" w:after="0" w:afterAutospacing="1" w:line="560" w:lineRule="atLeast"/>
        <w:ind w:left="0" w:right="0" w:firstLine="64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六、《一般公共预算财政拨款基本支出决算表》</w:t>
      </w:r>
    </w:p>
    <w:p>
      <w:pPr>
        <w:pStyle w:val="2"/>
        <w:keepNext w:val="0"/>
        <w:keepLines w:val="0"/>
        <w:widowControl/>
        <w:suppressLineNumbers w:val="0"/>
        <w:spacing w:before="0" w:beforeAutospacing="1" w:after="0" w:afterAutospacing="1" w:line="560" w:lineRule="atLeast"/>
        <w:ind w:left="0" w:right="0" w:firstLine="64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七、《财政拨款“三公”经费支出决算表》</w:t>
      </w:r>
    </w:p>
    <w:p>
      <w:pPr>
        <w:pStyle w:val="2"/>
        <w:keepNext w:val="0"/>
        <w:keepLines w:val="0"/>
        <w:widowControl/>
        <w:suppressLineNumbers w:val="0"/>
        <w:spacing w:before="0" w:beforeAutospacing="1" w:after="0" w:afterAutospacing="1" w:line="560" w:lineRule="atLeast"/>
        <w:ind w:left="0" w:right="0" w:firstLine="64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八、《政府性基金预算财政拨款收入支出决算表》</w:t>
      </w:r>
    </w:p>
    <w:p>
      <w:pPr>
        <w:pStyle w:val="2"/>
        <w:keepNext w:val="0"/>
        <w:keepLines w:val="0"/>
        <w:widowControl/>
        <w:suppressLineNumbers w:val="0"/>
        <w:spacing w:before="0" w:beforeAutospacing="1" w:after="0" w:afterAutospacing="1" w:line="560" w:lineRule="atLeast"/>
        <w:ind w:left="0" w:right="0" w:firstLine="640"/>
        <w:rPr>
          <w:rFonts w:hint="eastAsia" w:ascii="微软雅黑" w:hAnsi="微软雅黑" w:eastAsia="微软雅黑" w:cs="微软雅黑"/>
          <w:i w:val="0"/>
          <w:caps w:val="0"/>
          <w:color w:val="000000"/>
          <w:spacing w:val="0"/>
          <w:sz w:val="27"/>
          <w:szCs w:val="27"/>
        </w:rPr>
      </w:pPr>
      <w:r>
        <w:rPr>
          <w:rFonts w:hint="eastAsia" w:ascii="仿宋_GB2312" w:hAnsi="微软雅黑" w:eastAsia="仿宋_GB2312" w:cs="仿宋_GB2312"/>
          <w:i w:val="0"/>
          <w:caps w:val="0"/>
          <w:color w:val="000000"/>
          <w:spacing w:val="0"/>
          <w:sz w:val="32"/>
          <w:szCs w:val="32"/>
        </w:rPr>
        <w:t>九、《国有资本经营预算财政拨款收入支出决算表》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_GBK">
    <w:altName w:val="微软雅黑"/>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s>
  <w:rsids>
    <w:rsidRoot w:val="024828AB"/>
    <w:rsid w:val="024828AB"/>
    <w:rsid w:val="1D0D754E"/>
    <w:rsid w:val="5D5E7B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2024-09-02T04:28:00Z</dcterms:created>
  <dc:creator>Administrator</dc:creator>
  <cp:lastModifiedBy>Administrator</cp:lastModifiedBy>
  <dcterms:modified xsi:type="dcterms:W3CDTF">2024-09-11T15:55:22Z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2662AC56654D4BA683921D1B564C2800_12</vt:lpwstr>
  </property>
</Properties>
</file>