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新疆维吾尔自治区塔里木河流域水政监察分队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hAnsi="Times New Roman" w:eastAsia="仿宋_GB2312" w:cs="Times New Roman"/>
          <w:kern w:val="2"/>
          <w:position w:val="0"/>
          <w:sz w:val="32"/>
          <w:szCs w:val="32"/>
          <w:lang w:val="en-US" w:eastAsia="zh-CN" w:bidi="ar-SA"/>
        </w:rPr>
        <w:t>保护塔里木河流域的水资源、水域、水工程、水土保持生态环境、防汛抗旱和水文监测等有关设施;负责塔里木河流域的水行政执法，依法对塔里木河流域内水事活动进行监督检查，维护正常的水事秩序</w:t>
      </w:r>
      <w:r>
        <w:rPr>
          <w:rFonts w:hint="eastAsia" w:ascii="仿宋_GB2312" w:cs="Times New Roman"/>
          <w:kern w:val="2"/>
          <w:position w:val="0"/>
          <w:sz w:val="32"/>
          <w:szCs w:val="32"/>
          <w:lang w:val="en-US" w:eastAsia="zh-CN" w:bidi="ar-SA"/>
        </w:rPr>
        <w:t>，</w:t>
      </w:r>
      <w:r>
        <w:rPr>
          <w:rFonts w:hint="eastAsia" w:ascii="仿宋_GB2312" w:hAnsi="Times New Roman" w:eastAsia="仿宋_GB2312" w:cs="Times New Roman"/>
          <w:kern w:val="2"/>
          <w:position w:val="0"/>
          <w:sz w:val="32"/>
          <w:szCs w:val="32"/>
          <w:lang w:val="en-US" w:eastAsia="zh-CN" w:bidi="ar-SA"/>
        </w:rPr>
        <w:t>对公民、法人或其他组织违反水法规的行为实施行政处罚或者采取其他行政措施。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新疆维吾尔自治区塔里木河流域水政监察分队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kern w:val="0"/>
          <w:sz w:val="32"/>
          <w:szCs w:val="32"/>
        </w:r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3</w:t>
      </w:r>
      <w:r>
        <w:rPr>
          <w:rFonts w:hint="eastAsia" w:ascii="仿宋_GB2312" w:hAnsi="黑体" w:eastAsia="仿宋_GB2312" w:cs="宋体"/>
          <w:bCs/>
          <w:color w:val="auto"/>
          <w:kern w:val="0"/>
          <w:sz w:val="32"/>
          <w:szCs w:val="32"/>
          <w:highlight w:val="none"/>
        </w:rPr>
        <w:t>个处室，</w:t>
      </w:r>
      <w:r>
        <w:rPr>
          <w:rFonts w:hint="eastAsia" w:ascii="仿宋_GB2312" w:hAnsi="黑体" w:eastAsia="仿宋_GB2312" w:cs="宋体"/>
          <w:bCs/>
          <w:kern w:val="0"/>
          <w:sz w:val="32"/>
          <w:szCs w:val="32"/>
        </w:rPr>
        <w:t>办公室、水政科、水利规费科</w:t>
      </w:r>
      <w:r>
        <w:rPr>
          <w:rFonts w:hint="eastAsia" w:ascii="仿宋_GB2312" w:hAnsi="宋体" w:eastAsia="仿宋_GB2312" w:cs="宋体"/>
          <w:kern w:val="0"/>
          <w:sz w:val="32"/>
          <w:szCs w:val="32"/>
        </w:rPr>
        <w:t>。</w:t>
      </w:r>
      <w:bookmarkStart w:id="6" w:name="_Toc3092"/>
      <w:bookmarkStart w:id="7" w:name="_Toc29374"/>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271.67万元，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271.67万元，使用非财政拨款结余0.00万元，年初结转和结余0.00万元。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271.67万元，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271.67万元，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增加10.72万元</w:t>
      </w:r>
      <w:r>
        <w:rPr>
          <w:rFonts w:hint="eastAsia" w:ascii="仿宋_GB2312" w:eastAsia="仿宋_GB2312"/>
          <w:color w:val="auto"/>
          <w:spacing w:val="0"/>
          <w:sz w:val="32"/>
          <w:szCs w:val="32"/>
          <w:highlight w:val="none"/>
          <w:lang w:eastAsia="zh-CN"/>
        </w:rPr>
        <w:t>，增长4.11%，主要原因是：</w:t>
      </w:r>
      <w:r>
        <w:rPr>
          <w:rFonts w:hint="eastAsia" w:ascii="仿宋_GB2312" w:eastAsia="仿宋_GB2312"/>
          <w:sz w:val="32"/>
          <w:szCs w:val="32"/>
        </w:rPr>
        <w:t>人员职称晋升，工资</w:t>
      </w:r>
      <w:r>
        <w:rPr>
          <w:rFonts w:hint="eastAsia" w:ascii="仿宋_GB2312" w:eastAsia="仿宋_GB2312"/>
          <w:sz w:val="32"/>
          <w:szCs w:val="32"/>
          <w:lang w:eastAsia="zh-CN"/>
        </w:rPr>
        <w:t>福利支出增加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271.67</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271.60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本年支出271.67万元，其中：基本支出196.67万元，占72.39%；项目支出75.00万元，占27.61%；上缴上级支出0.00万元，占0.00%；经营支出0.00万元，占0.00%；对附属单位补助支出0.00万元，占0.00%。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271.60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271.60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271.60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271.60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增加10.65万元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增长4.08%,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人员职称晋升，工资</w:t>
      </w:r>
      <w:r>
        <w:rPr>
          <w:rFonts w:hint="eastAsia" w:ascii="仿宋_GB2312" w:eastAsia="仿宋_GB2312"/>
          <w:sz w:val="32"/>
          <w:szCs w:val="32"/>
          <w:lang w:eastAsia="zh-CN"/>
        </w:rPr>
        <w:t>福利支出增加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264.69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271.60</w:t>
      </w:r>
      <w:r>
        <w:rPr>
          <w:rFonts w:hint="eastAsia" w:ascii="仿宋_GB2312" w:eastAsia="仿宋_GB2312"/>
          <w:color w:val="auto"/>
          <w:spacing w:val="0"/>
          <w:sz w:val="32"/>
          <w:szCs w:val="32"/>
          <w:highlight w:val="none"/>
          <w:lang w:eastAsia="zh-CN"/>
        </w:rPr>
        <w:t>万元，预决算差异率2.61%，主要原因是：</w:t>
      </w:r>
      <w:r>
        <w:rPr>
          <w:rFonts w:hint="eastAsia" w:ascii="仿宋_GB2312" w:eastAsia="仿宋_GB2312"/>
          <w:color w:val="auto"/>
          <w:spacing w:val="0"/>
          <w:sz w:val="32"/>
          <w:szCs w:val="32"/>
          <w:highlight w:val="none"/>
          <w:lang w:val="en-US" w:eastAsia="zh-CN"/>
        </w:rPr>
        <w:t>2023年3月下达2023年自治区本级部门单位绩效考核奖励资金、津补贴增资经费</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2023年度一般公共预算财政拨款支出271.60万元，占本年支出合计的</w:t>
      </w:r>
      <w:r>
        <w:rPr>
          <w:rFonts w:hint="eastAsia" w:ascii="仿宋_GB2312" w:eastAsia="仿宋_GB2312"/>
          <w:color w:val="auto"/>
          <w:spacing w:val="0"/>
          <w:sz w:val="32"/>
          <w:szCs w:val="32"/>
          <w:highlight w:val="none"/>
          <w:lang w:val="zh-CN" w:eastAsia="zh-CN"/>
        </w:rPr>
        <w:t>99.97%</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增加10.65万元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增长4.08%,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人员职称晋升，工资</w:t>
      </w:r>
      <w:r>
        <w:rPr>
          <w:rFonts w:hint="eastAsia" w:ascii="仿宋_GB2312" w:eastAsia="仿宋_GB2312"/>
          <w:sz w:val="32"/>
          <w:szCs w:val="32"/>
          <w:lang w:eastAsia="zh-CN"/>
        </w:rPr>
        <w:t>福利支出增加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264.69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271.60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2.61%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2023年3月下达2023年自治区本级部门单位绩效考核奖励资金、津补贴增资经费</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28.00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10.31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8.09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2.98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222.56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81.94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12.94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4.77</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1.卫生健康支出（类）行政事业单位医疗（款）事业单位医疗（项）:支出决算数为8.09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11.86%，主要原因是：</w:t>
      </w:r>
      <w:r>
        <w:rPr>
          <w:rFonts w:hint="eastAsia" w:ascii="仿宋_GB2312" w:eastAsia="仿宋_GB2312"/>
          <w:sz w:val="32"/>
          <w:szCs w:val="32"/>
          <w:highlight w:val="none"/>
        </w:rPr>
        <w:t>新疆</w:t>
      </w:r>
      <w:r>
        <w:rPr>
          <w:rFonts w:hint="eastAsia" w:ascii="仿宋_GB2312" w:eastAsia="仿宋_GB2312"/>
          <w:sz w:val="32"/>
          <w:szCs w:val="32"/>
          <w:highlight w:val="none"/>
          <w:lang w:val="en-US" w:eastAsia="zh-CN"/>
        </w:rPr>
        <w:t>维吾尔</w:t>
      </w:r>
      <w:r>
        <w:rPr>
          <w:rFonts w:hint="eastAsia" w:ascii="仿宋_GB2312" w:eastAsia="仿宋_GB2312"/>
          <w:sz w:val="32"/>
          <w:szCs w:val="32"/>
          <w:highlight w:val="none"/>
        </w:rPr>
        <w:t>自治区调增基础工资和基础绩效奖，全额在职人员社保基数上调，</w:t>
      </w:r>
      <w:r>
        <w:rPr>
          <w:rFonts w:hint="eastAsia" w:ascii="仿宋_GB2312" w:eastAsia="仿宋_GB2312"/>
          <w:sz w:val="32"/>
          <w:szCs w:val="32"/>
          <w:highlight w:val="none"/>
          <w:lang w:eastAsia="zh-CN"/>
        </w:rPr>
        <w:t>医疗保险基数</w:t>
      </w:r>
      <w:r>
        <w:rPr>
          <w:rFonts w:hint="eastAsia" w:ascii="仿宋_GB2312" w:eastAsia="仿宋_GB2312"/>
          <w:sz w:val="32"/>
          <w:szCs w:val="32"/>
          <w:highlight w:val="none"/>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2.住房保障支出（类）住房改革支出（款）住房公积金（项）:支出决算数为12.94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28.89%，主要原因是：</w:t>
      </w:r>
      <w:r>
        <w:rPr>
          <w:rFonts w:hint="eastAsia" w:ascii="仿宋_GB2312" w:eastAsia="仿宋_GB2312"/>
          <w:sz w:val="32"/>
          <w:szCs w:val="32"/>
          <w:highlight w:val="none"/>
        </w:rPr>
        <w:t>新疆</w:t>
      </w:r>
      <w:r>
        <w:rPr>
          <w:rFonts w:hint="eastAsia" w:ascii="仿宋_GB2312" w:eastAsia="仿宋_GB2312"/>
          <w:sz w:val="32"/>
          <w:szCs w:val="32"/>
          <w:highlight w:val="none"/>
          <w:lang w:val="en-US" w:eastAsia="zh-CN"/>
        </w:rPr>
        <w:t>维吾尔</w:t>
      </w:r>
      <w:r>
        <w:rPr>
          <w:rFonts w:hint="eastAsia" w:ascii="仿宋_GB2312" w:eastAsia="仿宋_GB2312"/>
          <w:sz w:val="32"/>
          <w:szCs w:val="32"/>
          <w:highlight w:val="none"/>
        </w:rPr>
        <w:t>自治区调增基础工资和基础绩效奖，全额在职人员社保基数上调，</w:t>
      </w:r>
      <w:r>
        <w:rPr>
          <w:rFonts w:hint="eastAsia" w:ascii="仿宋_GB2312" w:eastAsia="仿宋_GB2312"/>
          <w:sz w:val="32"/>
          <w:szCs w:val="32"/>
          <w:highlight w:val="none"/>
          <w:lang w:eastAsia="zh-CN"/>
        </w:rPr>
        <w:t>住房公积金基数增加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3.社会保障和就业支出（类）行政事业单位养老支出（款）事业单位离退休（项）:支出决算数为10.74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30.61%，主要原因是：按照财政要求收回退休人员医疗费、大额医疗及公务员补助</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4.社会保障和就业支出（类）行政事业单位养老支出（款）机关事业单位基本养老保险缴费支出（项）:支出决算数为17.26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28.89%，主要原因是：</w:t>
      </w:r>
      <w:r>
        <w:rPr>
          <w:rFonts w:hint="eastAsia" w:ascii="仿宋_GB2312" w:eastAsia="仿宋_GB2312"/>
          <w:sz w:val="32"/>
          <w:szCs w:val="32"/>
          <w:highlight w:val="none"/>
        </w:rPr>
        <w:t>新疆</w:t>
      </w:r>
      <w:r>
        <w:rPr>
          <w:rFonts w:hint="eastAsia" w:ascii="仿宋_GB2312" w:eastAsia="仿宋_GB2312"/>
          <w:sz w:val="32"/>
          <w:szCs w:val="32"/>
          <w:highlight w:val="none"/>
          <w:lang w:val="en-US" w:eastAsia="zh-CN"/>
        </w:rPr>
        <w:t>维吾尔</w:t>
      </w:r>
      <w:r>
        <w:rPr>
          <w:rFonts w:hint="eastAsia" w:ascii="仿宋_GB2312" w:eastAsia="仿宋_GB2312"/>
          <w:sz w:val="32"/>
          <w:szCs w:val="32"/>
          <w:highlight w:val="none"/>
        </w:rPr>
        <w:t>自治区调增基础工资和基础绩效奖，全额在职人员社保基数上调，</w:t>
      </w:r>
      <w:r>
        <w:rPr>
          <w:rFonts w:hint="eastAsia" w:ascii="仿宋_GB2312" w:eastAsia="仿宋_GB2312"/>
          <w:sz w:val="32"/>
          <w:szCs w:val="32"/>
          <w:highlight w:val="none"/>
          <w:lang w:eastAsia="zh-CN"/>
        </w:rPr>
        <w:t>养老保险基数</w:t>
      </w:r>
      <w:r>
        <w:rPr>
          <w:rFonts w:hint="eastAsia" w:ascii="仿宋_GB2312" w:eastAsia="仿宋_GB2312"/>
          <w:sz w:val="32"/>
          <w:szCs w:val="32"/>
          <w:highlight w:val="none"/>
        </w:rPr>
        <w:t>增加</w:t>
      </w:r>
      <w:r>
        <w:rPr>
          <w:rFonts w:hint="eastAsia" w:ascii="仿宋_GB2312" w:eastAsia="仿宋_GB2312"/>
          <w:sz w:val="32"/>
          <w:szCs w:val="32"/>
          <w:highlight w:val="none"/>
          <w:lang w:eastAsia="zh-CN"/>
        </w:rPr>
        <w:t>。</w:t>
      </w:r>
    </w:p>
    <w:p>
      <w:pPr>
        <w:ind w:firstLine="640" w:firstLineChars="200"/>
        <w:rPr>
          <w:rFonts w:ascii="仿宋_GB2312" w:eastAsia="仿宋_GB2312"/>
          <w:sz w:val="32"/>
          <w:szCs w:val="32"/>
        </w:rPr>
      </w:pPr>
      <w:r>
        <w:rPr>
          <w:rFonts w:hint="eastAsia" w:ascii="Times New Roman" w:hAnsi="Times New Roman" w:eastAsia="仿宋_GB2312" w:cs="Times New Roman"/>
          <w:color w:val="auto"/>
          <w:kern w:val="2"/>
          <w:sz w:val="32"/>
          <w:szCs w:val="32"/>
          <w:highlight w:val="none"/>
          <w:lang w:val="en-US" w:eastAsia="zh-CN" w:bidi="ar-SA"/>
        </w:rPr>
        <w:t>5.农林水支出（类）水利（款）水利执法监督（项）:支出决算数为147.56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13.39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9.98%，主要原因是：</w:t>
      </w:r>
      <w:r>
        <w:rPr>
          <w:rFonts w:hint="eastAsia" w:ascii="仿宋_GB2312" w:eastAsia="仿宋_GB2312"/>
          <w:sz w:val="32"/>
          <w:szCs w:val="32"/>
        </w:rPr>
        <w:t>因沿塔河四源一干联合</w:t>
      </w:r>
      <w:r>
        <w:rPr>
          <w:rFonts w:hint="eastAsia" w:ascii="仿宋_GB2312" w:eastAsia="仿宋_GB2312"/>
          <w:sz w:val="32"/>
          <w:szCs w:val="32"/>
          <w:lang w:eastAsia="zh-CN"/>
        </w:rPr>
        <w:t>执法工作增加导致</w:t>
      </w:r>
      <w:r>
        <w:rPr>
          <w:rFonts w:hint="eastAsia" w:ascii="仿宋_GB2312" w:eastAsia="仿宋_GB2312"/>
          <w:sz w:val="32"/>
          <w:szCs w:val="32"/>
        </w:rPr>
        <w:t>费用增加。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6.农林水支出（类）水利（款）水土保持（项）:支出决算数为75.00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0.00%，主要原因是：</w:t>
      </w:r>
      <w:r>
        <w:rPr>
          <w:rFonts w:hint="eastAsia" w:eastAsia="仿宋_GB2312" w:cs="Times New Roman"/>
          <w:color w:val="auto"/>
          <w:kern w:val="2"/>
          <w:sz w:val="32"/>
          <w:szCs w:val="32"/>
          <w:highlight w:val="none"/>
          <w:lang w:val="en-US" w:eastAsia="zh-CN" w:bidi="ar-SA"/>
        </w:rPr>
        <w:t>2023年度水土保持项目与上年保持不变</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7.卫生健康支出（类）行政事业单位医疗（款）公务员医疗补助（项）:支出决算数为</w:t>
      </w:r>
      <w:r>
        <w:rPr>
          <w:rFonts w:hint="eastAsia" w:eastAsia="仿宋_GB2312" w:cs="Times New Roman"/>
          <w:color w:val="auto"/>
          <w:kern w:val="2"/>
          <w:sz w:val="32"/>
          <w:szCs w:val="32"/>
          <w:highlight w:val="none"/>
          <w:lang w:val="en-US" w:eastAsia="zh-CN" w:bidi="ar-SA"/>
        </w:rPr>
        <w:t>0.00万元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减少5.62万元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下降100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按照财政要求退回退休人员公务员医疗补助。</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196.60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185.67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10.92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办公费、差旅费、工会经费、福利费、公务用车运行维护费、其他商品和服务支出。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“三公”经费支出2.57万元，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减少5.00万元，</w:t>
      </w:r>
      <w:r>
        <w:rPr>
          <w:rFonts w:hint="eastAsia" w:ascii="仿宋_GB2312" w:eastAsia="仿宋_GB2312"/>
          <w:color w:val="auto"/>
          <w:spacing w:val="0"/>
          <w:sz w:val="32"/>
          <w:szCs w:val="32"/>
          <w:highlight w:val="none"/>
          <w:lang w:val="en-US" w:eastAsia="zh-CN"/>
        </w:rPr>
        <w:t>下降66.05%,</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2023年自治区水利发展专项支出减少公务用车运行维护费5万元</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highlight w:val="none"/>
        </w:rPr>
        <w:t>我单位无因公出国（境）费</w:t>
      </w:r>
      <w:r>
        <w:rPr>
          <w:rFonts w:hint="eastAsia" w:ascii="仿宋_GB2312" w:eastAsia="仿宋_GB2312"/>
          <w:color w:val="auto"/>
          <w:sz w:val="32"/>
          <w:szCs w:val="32"/>
          <w:highlight w:val="none"/>
          <w:lang w:val="zh-CN" w:eastAsia="zh-CN"/>
        </w:rPr>
        <w:t>；公务用车购置及运行维护费支出2.57万元，占100.00%，比上年减少5.00万元，</w:t>
      </w:r>
      <w:r>
        <w:rPr>
          <w:rFonts w:hint="eastAsia" w:ascii="仿宋_GB2312" w:eastAsia="仿宋_GB2312"/>
          <w:color w:val="auto"/>
          <w:spacing w:val="0"/>
          <w:sz w:val="32"/>
          <w:szCs w:val="32"/>
          <w:highlight w:val="none"/>
          <w:lang w:val="en-US" w:eastAsia="zh-CN"/>
        </w:rPr>
        <w:t>下降66.05%,</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2023年自治区水利发展专项支出减少公务用车运行维护费5万元</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highlight w:val="none"/>
        </w:rPr>
        <w:t>我单位无</w:t>
      </w:r>
      <w:r>
        <w:rPr>
          <w:rFonts w:hint="eastAsia" w:ascii="仿宋_GB2312" w:eastAsia="仿宋_GB2312"/>
          <w:sz w:val="32"/>
          <w:szCs w:val="32"/>
          <w:highlight w:val="none"/>
          <w:lang w:eastAsia="zh-CN"/>
        </w:rPr>
        <w:t>公务接待经费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因公出国（境）费支出0.00万元，</w:t>
      </w:r>
      <w:r>
        <w:rPr>
          <w:rFonts w:hint="eastAsia" w:ascii="仿宋_GB2312" w:eastAsia="仿宋_GB2312"/>
          <w:color w:val="auto"/>
          <w:sz w:val="32"/>
          <w:szCs w:val="32"/>
          <w:highlight w:val="none"/>
          <w:lang w:val="en-US" w:eastAsia="zh-CN"/>
        </w:rPr>
        <w:t>开支内容包括无因公出国（境）费支出。单位全年安排的因公出国（境）团组0个，因公出国（境）0人次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公务用车购置及运行维护费2.57万元，其中：公务用车购置费0.00万元，公务用车运行维护费2.57万元。公务用车运行维护费开支内容包括</w:t>
      </w:r>
      <w:r>
        <w:rPr>
          <w:rFonts w:hint="eastAsia" w:ascii="仿宋_GB2312" w:eastAsia="仿宋_GB2312"/>
          <w:sz w:val="32"/>
          <w:szCs w:val="32"/>
          <w:highlight w:val="none"/>
        </w:rPr>
        <w:t>车辆燃油费、过路费、修理费、停车费、检审费</w:t>
      </w:r>
      <w:r>
        <w:rPr>
          <w:rFonts w:hint="eastAsia" w:ascii="仿宋_GB2312" w:eastAsia="仿宋_GB2312"/>
          <w:sz w:val="32"/>
          <w:szCs w:val="32"/>
          <w:highlight w:val="none"/>
          <w:lang w:eastAsia="zh-CN"/>
        </w:rPr>
        <w:t>、保险费</w:t>
      </w:r>
      <w:r>
        <w:rPr>
          <w:rFonts w:hint="eastAsia" w:ascii="仿宋_GB2312" w:eastAsia="仿宋_GB2312"/>
          <w:color w:val="auto"/>
          <w:sz w:val="32"/>
          <w:szCs w:val="32"/>
          <w:highlight w:val="none"/>
          <w:lang w:val="zh-CN" w:eastAsia="zh-CN"/>
        </w:rPr>
        <w:t>。公务用车购置数0辆，公务用车保有量1辆。国有资产占用情况</w:t>
      </w:r>
      <w:r>
        <w:rPr>
          <w:rFonts w:hint="eastAsia" w:ascii="仿宋_GB2312" w:eastAsia="仿宋_GB2312"/>
          <w:color w:val="auto"/>
          <w:sz w:val="32"/>
          <w:szCs w:val="32"/>
          <w:highlight w:val="none"/>
          <w:lang w:val="en-US" w:eastAsia="zh-CN"/>
        </w:rPr>
        <w:t>中固</w:t>
      </w:r>
      <w:bookmarkStart w:id="48" w:name="_GoBack"/>
      <w:bookmarkEnd w:id="48"/>
      <w:r>
        <w:rPr>
          <w:rFonts w:hint="eastAsia" w:ascii="仿宋_GB2312" w:eastAsia="仿宋_GB2312"/>
          <w:color w:val="auto"/>
          <w:sz w:val="32"/>
          <w:szCs w:val="32"/>
          <w:highlight w:val="none"/>
          <w:lang w:val="en-US" w:eastAsia="zh-CN"/>
        </w:rPr>
        <w:t>定资产车辆1</w:t>
      </w:r>
      <w:r>
        <w:rPr>
          <w:rFonts w:hint="eastAsia" w:ascii="仿宋_GB2312" w:eastAsia="仿宋_GB2312"/>
          <w:color w:val="auto"/>
          <w:sz w:val="32"/>
          <w:szCs w:val="32"/>
          <w:highlight w:val="none"/>
          <w:lang w:val="zh-CN" w:eastAsia="zh-CN"/>
        </w:rPr>
        <w:t>辆</w:t>
      </w:r>
      <w:r>
        <w:rPr>
          <w:rFonts w:hint="eastAsia" w:ascii="仿宋_GB2312" w:eastAsia="仿宋_GB2312"/>
          <w:color w:val="auto"/>
          <w:sz w:val="32"/>
          <w:szCs w:val="32"/>
          <w:highlight w:val="none"/>
          <w:lang w:val="en-US" w:eastAsia="zh-CN"/>
        </w:rPr>
        <w:t>,与公务用车保有量差异原因是：无差异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w:t>
      </w:r>
      <w:r>
        <w:rPr>
          <w:rFonts w:hint="eastAsia" w:ascii="仿宋_GB2312" w:eastAsia="仿宋_GB2312"/>
          <w:color w:val="auto"/>
          <w:sz w:val="32"/>
          <w:szCs w:val="32"/>
          <w:highlight w:val="none"/>
          <w:lang w:val="en-US" w:eastAsia="zh-CN"/>
        </w:rPr>
        <w:t>开支内容包括无公务接待支出。单位全年安排的国内公务接待0批次，0人次</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预算数2.57万元，决算数2.57万元，预决算差异率0.00%，主要原因是：</w:t>
      </w:r>
      <w:r>
        <w:rPr>
          <w:rFonts w:hint="eastAsia" w:ascii="仿宋_GB2312" w:eastAsia="仿宋_GB2312"/>
          <w:sz w:val="32"/>
          <w:szCs w:val="32"/>
          <w:highlight w:val="none"/>
        </w:rPr>
        <w:t>本单位严格执行八项规定、厉行节约，</w:t>
      </w:r>
      <w:r>
        <w:rPr>
          <w:rFonts w:hint="eastAsia" w:ascii="仿宋_GB2312" w:eastAsia="仿宋_GB2312"/>
          <w:sz w:val="32"/>
          <w:szCs w:val="32"/>
          <w:highlight w:val="none"/>
          <w:lang w:eastAsia="zh-CN"/>
        </w:rPr>
        <w:t>严格控制</w:t>
      </w:r>
      <w:r>
        <w:rPr>
          <w:rFonts w:hint="eastAsia" w:ascii="仿宋_GB2312" w:eastAsia="仿宋_GB2312"/>
          <w:color w:val="auto"/>
          <w:sz w:val="32"/>
          <w:szCs w:val="32"/>
          <w:highlight w:val="none"/>
          <w:lang w:val="zh-CN" w:eastAsia="zh-CN"/>
        </w:rPr>
        <w:t>“三公”经费支出。其中：因公出国（境）费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预算数2.57万元，决算数2.57万元，预决算差异率0.00%，主要原因是：</w:t>
      </w:r>
      <w:r>
        <w:rPr>
          <w:rFonts w:hint="eastAsia" w:ascii="仿宋_GB2312" w:eastAsia="仿宋_GB2312"/>
          <w:sz w:val="32"/>
          <w:szCs w:val="32"/>
          <w:highlight w:val="none"/>
        </w:rPr>
        <w:t>公务用车运行维护费预算与决算保持一致</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新疆维吾尔自治区塔里木河流域水政监察分队（事业单位）公用经费支出10.92万元，</w:t>
      </w:r>
      <w:r>
        <w:rPr>
          <w:rFonts w:hint="eastAsia" w:ascii="Times New Roman" w:hAnsi="Times New Roman" w:eastAsia="仿宋_GB2312" w:cs="Times New Roman"/>
          <w:color w:val="auto"/>
          <w:sz w:val="32"/>
          <w:szCs w:val="32"/>
          <w:highlight w:val="none"/>
          <w:lang w:val="zh-CN" w:eastAsia="zh-CN"/>
        </w:rPr>
        <w:t>比上年减少0.06万元，下降0.52%，主要原因是：</w:t>
      </w:r>
      <w:r>
        <w:rPr>
          <w:rFonts w:hint="eastAsia" w:eastAsia="仿宋_GB2312" w:cs="Times New Roman"/>
          <w:color w:val="auto"/>
          <w:sz w:val="32"/>
          <w:szCs w:val="32"/>
          <w:highlight w:val="none"/>
          <w:lang w:val="zh-CN" w:eastAsia="zh-CN"/>
        </w:rPr>
        <w:t>压减三公经费</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63.17万元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其中：政府采购货物支出17.80万元、政府采购工程支出0.00万元、政府采购服务支出45.37万元。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授予中小企业合同金额63.17万元，占政府采购支出总额的100.00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，其中：授予小微企业合同金额49.31万元，占政府采购支出总额的78.05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113.37</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屋0.0平方米，价值0.00万元。车辆1辆，价值59.27万元，其中：副部（省）级及以上领导用车0辆、主要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eastAsia="仿宋_GB2312" w:cs="Times New Roman"/>
          <w:color w:val="auto"/>
          <w:sz w:val="32"/>
          <w:szCs w:val="32"/>
          <w:highlight w:val="none"/>
          <w:lang w:val="zh-CN" w:eastAsia="zh-CN"/>
        </w:rPr>
        <w:t>一般公务用车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全年预算数75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全年执行数75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w:t>
      </w:r>
      <w:r>
        <w:rPr>
          <w:rFonts w:ascii="仿宋_GB2312" w:eastAsia="仿宋_GB2312"/>
          <w:sz w:val="32"/>
          <w:szCs w:val="32"/>
        </w:rPr>
        <w:t>组织开展“四源一干”水行政执法、河道采砂专项治理、水资源费征收、水法宣传、水政监察人员培训费等工作，为流域河道安全、水生态环境保护、水利现代化建设及生态输水的顺利实施提供坚强的执纪保障</w:t>
      </w:r>
      <w:r>
        <w:rPr>
          <w:rFonts w:hint="eastAsia" w:ascii="仿宋_GB2312" w:eastAsia="仿宋_GB2312"/>
          <w:color w:val="auto"/>
          <w:sz w:val="32"/>
          <w:szCs w:val="32"/>
          <w:highlight w:val="none"/>
          <w:lang w:eastAsia="zh-CN"/>
        </w:rPr>
        <w:t>；二是</w:t>
      </w:r>
      <w:r>
        <w:rPr>
          <w:rFonts w:ascii="仿宋_GB2312" w:eastAsia="仿宋_GB2312"/>
          <w:sz w:val="32"/>
          <w:szCs w:val="32"/>
        </w:rPr>
        <w:t>组织开展涉河建设项目及水土保持监管和巡查工作，防止滥采乱挖，确保水土保持管理工作有序进行</w:t>
      </w:r>
      <w:r>
        <w:rPr>
          <w:rFonts w:hint="eastAsia" w:ascii="仿宋_GB2312" w:eastAsia="仿宋_GB2312"/>
          <w:color w:val="auto"/>
          <w:sz w:val="32"/>
          <w:szCs w:val="32"/>
          <w:highlight w:val="none"/>
          <w:lang w:eastAsia="zh-CN"/>
        </w:rPr>
        <w:t>。发现的问题及原因：发现的问题及原因：一是</w:t>
      </w:r>
      <w:r>
        <w:rPr>
          <w:rFonts w:ascii="仿宋_GB2312" w:eastAsia="仿宋_GB2312"/>
          <w:sz w:val="32"/>
          <w:szCs w:val="32"/>
          <w:highlight w:val="none"/>
        </w:rPr>
        <w:t>预算编制还需各业务</w:t>
      </w:r>
      <w:r>
        <w:rPr>
          <w:rFonts w:hint="eastAsia" w:ascii="仿宋_GB2312" w:eastAsia="仿宋_GB2312"/>
          <w:sz w:val="32"/>
          <w:szCs w:val="32"/>
          <w:highlight w:val="none"/>
          <w:lang w:eastAsia="zh-CN"/>
        </w:rPr>
        <w:t>科室</w:t>
      </w:r>
      <w:r>
        <w:rPr>
          <w:rFonts w:ascii="仿宋_GB2312" w:eastAsia="仿宋_GB2312"/>
          <w:sz w:val="32"/>
          <w:szCs w:val="32"/>
          <w:highlight w:val="none"/>
        </w:rPr>
        <w:t>相互配合，加强沟通，提高预算编制的</w:t>
      </w:r>
      <w:r>
        <w:rPr>
          <w:rFonts w:hint="eastAsia" w:ascii="仿宋_GB2312" w:eastAsia="仿宋_GB2312"/>
          <w:sz w:val="32"/>
          <w:szCs w:val="32"/>
          <w:highlight w:val="none"/>
          <w:lang w:eastAsia="zh-CN"/>
        </w:rPr>
        <w:t>精确化</w:t>
      </w:r>
      <w:r>
        <w:rPr>
          <w:rFonts w:hint="eastAsia" w:ascii="仿宋_GB2312" w:eastAsia="仿宋_GB2312"/>
          <w:color w:val="auto"/>
          <w:sz w:val="32"/>
          <w:szCs w:val="32"/>
          <w:highlight w:val="none"/>
          <w:lang w:eastAsia="zh-CN"/>
        </w:rPr>
        <w:t>；二是</w:t>
      </w:r>
      <w:r>
        <w:rPr>
          <w:rFonts w:ascii="仿宋_GB2312" w:eastAsia="仿宋_GB2312"/>
          <w:sz w:val="32"/>
          <w:szCs w:val="32"/>
          <w:highlight w:val="none"/>
        </w:rPr>
        <w:t>预算编制</w:t>
      </w:r>
      <w:r>
        <w:rPr>
          <w:rFonts w:hint="eastAsia" w:ascii="仿宋_GB2312" w:eastAsia="仿宋_GB2312"/>
          <w:sz w:val="32"/>
          <w:szCs w:val="32"/>
          <w:highlight w:val="none"/>
          <w:lang w:eastAsia="zh-CN"/>
        </w:rPr>
        <w:t>执行时间节点还需精细划分</w:t>
      </w:r>
      <w:r>
        <w:rPr>
          <w:rFonts w:hint="eastAsia" w:ascii="仿宋_GB2312" w:eastAsia="仿宋_GB2312"/>
          <w:color w:val="auto"/>
          <w:sz w:val="32"/>
          <w:szCs w:val="32"/>
          <w:highlight w:val="none"/>
          <w:lang w:eastAsia="zh-CN"/>
        </w:rPr>
        <w:t>。下一步改进措施：一是</w:t>
      </w:r>
      <w:r>
        <w:rPr>
          <w:rFonts w:ascii="仿宋_GB2312" w:eastAsia="仿宋_GB2312"/>
          <w:sz w:val="32"/>
          <w:szCs w:val="32"/>
          <w:highlight w:val="none"/>
        </w:rPr>
        <w:t>加强与各业务处室的沟通配合、提高预算编制人员的业务水平及能力，确保项目经费的完整性及准确性</w:t>
      </w:r>
      <w:r>
        <w:rPr>
          <w:rFonts w:hint="eastAsia" w:ascii="仿宋_GB2312" w:eastAsia="仿宋_GB2312"/>
          <w:color w:val="auto"/>
          <w:sz w:val="32"/>
          <w:szCs w:val="32"/>
          <w:highlight w:val="none"/>
          <w:lang w:eastAsia="zh-CN"/>
        </w:rPr>
        <w:t>；二是</w:t>
      </w:r>
      <w:r>
        <w:rPr>
          <w:rFonts w:ascii="仿宋_GB2312" w:eastAsia="仿宋_GB2312"/>
          <w:sz w:val="32"/>
          <w:szCs w:val="32"/>
          <w:highlight w:val="none"/>
        </w:rPr>
        <w:t>加快预算执行，提高预算编制完整性，提高项目资金执行率</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Microsoft Uighur">
    <w:panose1 w:val="02000000000000000000"/>
    <w:charset w:val="00"/>
    <w:family w:val="auto"/>
    <w:pitch w:val="default"/>
    <w:sig w:usb0="00002003" w:usb1="80000000" w:usb2="00000008" w:usb3="00000000" w:csb0="00000041" w:csb1="00000000"/>
  </w:font>
  <w:font w:name="Wide Latin">
    <w:altName w:val="Segoe Print"/>
    <w:panose1 w:val="020A0A07050505020404"/>
    <w:charset w:val="00"/>
    <w:family w:val="auto"/>
    <w:pitch w:val="default"/>
    <w:sig w:usb0="00000000" w:usb1="00000000" w:usb2="00000000" w:usb3="00000000" w:csb0="20000001" w:csb1="00000000"/>
  </w:font>
  <w:font w:name="Arial Unicode MS">
    <w:altName w:val="宋体"/>
    <w:panose1 w:val="020B0604020202020204"/>
    <w:charset w:val="86"/>
    <w:family w:val="auto"/>
    <w:pitch w:val="default"/>
    <w:sig w:usb0="00000000" w:usb1="00000000" w:usb2="0000003F" w:usb3="00000000" w:csb0="603F01FF" w:csb1="FFFF0000"/>
  </w:font>
  <w:font w:name="Segoe Print">
    <w:panose1 w:val="02000600000000000000"/>
    <w:charset w:val="00"/>
    <w:family w:val="auto"/>
    <w:pitch w:val="default"/>
    <w:sig w:usb0="0000028F" w:usb1="00000000" w:usb2="00000000" w:usb3="00000000" w:csb0="2000009F" w:csb1="47010000"/>
  </w:font>
  <w:font w:name="等线">
    <w:altName w:val="宋体"/>
    <w:panose1 w:val="02010600030101010101"/>
    <w:charset w:val="86"/>
    <w:family w:val="auto"/>
    <w:pitch w:val="default"/>
    <w:sig w:usb0="00000000" w:usb1="00000000" w:usb2="00000016" w:usb3="00000000" w:csb0="0004000F" w:csb1="00000000"/>
  </w:font>
  <w:font w:name="新宋体">
    <w:panose1 w:val="02010609030101010101"/>
    <w:charset w:val="86"/>
    <w:family w:val="modern"/>
    <w:pitch w:val="default"/>
    <w:sig w:usb0="00000003" w:usb1="288F0000" w:usb2="00000006" w:usb3="00000000" w:csb0="00040001" w:csb1="00000000"/>
  </w:font>
  <w:font w:name="楷体_GB2312">
    <w:panose1 w:val="02010609030101010101"/>
    <w:charset w:val="86"/>
    <w:family w:val="modern"/>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D57AB4"/>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9234EB"/>
    <w:rsid w:val="05D86798"/>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9C3574D"/>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EB35E1E"/>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A560AE"/>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45523"/>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514CC8"/>
    <w:rsid w:val="2FBF7029"/>
    <w:rsid w:val="2FD0187F"/>
    <w:rsid w:val="2FD27414"/>
    <w:rsid w:val="2FFE4BB0"/>
    <w:rsid w:val="300E7B60"/>
    <w:rsid w:val="300F6E18"/>
    <w:rsid w:val="30862F5F"/>
    <w:rsid w:val="314029C9"/>
    <w:rsid w:val="319756DC"/>
    <w:rsid w:val="31C63837"/>
    <w:rsid w:val="31C82E39"/>
    <w:rsid w:val="32601BAD"/>
    <w:rsid w:val="329F6389"/>
    <w:rsid w:val="32B748D6"/>
    <w:rsid w:val="33756D95"/>
    <w:rsid w:val="3389023A"/>
    <w:rsid w:val="33CB74FA"/>
    <w:rsid w:val="343642F2"/>
    <w:rsid w:val="343F3010"/>
    <w:rsid w:val="345D0A00"/>
    <w:rsid w:val="34713BFD"/>
    <w:rsid w:val="34C13589"/>
    <w:rsid w:val="353369E3"/>
    <w:rsid w:val="35E00D72"/>
    <w:rsid w:val="36965B9D"/>
    <w:rsid w:val="36C549FD"/>
    <w:rsid w:val="375534AE"/>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22AB5"/>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25C05"/>
    <w:rsid w:val="3EEC6CEF"/>
    <w:rsid w:val="3F183429"/>
    <w:rsid w:val="3FA1655F"/>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135F8A"/>
    <w:rsid w:val="434E6957"/>
    <w:rsid w:val="43BA0E31"/>
    <w:rsid w:val="43C15147"/>
    <w:rsid w:val="43E14DD2"/>
    <w:rsid w:val="43F800E9"/>
    <w:rsid w:val="443A7E4B"/>
    <w:rsid w:val="44D93919"/>
    <w:rsid w:val="452F5B3A"/>
    <w:rsid w:val="454E7FD2"/>
    <w:rsid w:val="45EA7F90"/>
    <w:rsid w:val="46061BDC"/>
    <w:rsid w:val="461404F8"/>
    <w:rsid w:val="46413018"/>
    <w:rsid w:val="464B7E04"/>
    <w:rsid w:val="468041AA"/>
    <w:rsid w:val="468123C6"/>
    <w:rsid w:val="46901EEE"/>
    <w:rsid w:val="469C74D2"/>
    <w:rsid w:val="46BE346A"/>
    <w:rsid w:val="47445515"/>
    <w:rsid w:val="474B4782"/>
    <w:rsid w:val="47A3169E"/>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713B95"/>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8D092D"/>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B16336"/>
    <w:rsid w:val="5ED44800"/>
    <w:rsid w:val="5F350BDE"/>
    <w:rsid w:val="5F585337"/>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525F62"/>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2854DC"/>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17752E"/>
    <w:rsid w:val="776526CC"/>
    <w:rsid w:val="77A262E1"/>
    <w:rsid w:val="77B13C33"/>
    <w:rsid w:val="77ED6F44"/>
    <w:rsid w:val="77F45548"/>
    <w:rsid w:val="784E7CA6"/>
    <w:rsid w:val="78574801"/>
    <w:rsid w:val="7873527F"/>
    <w:rsid w:val="789D3A9D"/>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4027FC"/>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0">
    <w:name w:val="Strong"/>
    <w:basedOn w:val="9"/>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NormalIndent"/>
    <w:basedOn w:val="1"/>
    <w:next w:val="1"/>
    <w:qFormat/>
    <w:uiPriority w:val="0"/>
    <w:pPr>
      <w:widowControl/>
      <w:ind w:firstLine="420" w:firstLineChars="200"/>
      <w:jc w:val="left"/>
      <w:textAlignment w:val="baseline"/>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6480</Words>
  <Characters>20825</Characters>
  <Lines>0</Lines>
  <Paragraphs>0</Paragraphs>
  <TotalTime>1</TotalTime>
  <ScaleCrop>false</ScaleCrop>
  <LinksUpToDate>false</LinksUpToDate>
  <CharactersWithSpaces>20937</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2024-09-02T04:07:27Z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D624B15633CD43C8BF9435464A96BF70</vt:lpwstr>
  </property>
</Properties>
</file>