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601">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7230EDD7">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6B03EFE2">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新疆维吾尔自治区塔里木河流域干流管理局机关</w:t>
      </w:r>
    </w:p>
    <w:p w14:paraId="4C95CD50">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2023年度</w:t>
      </w:r>
      <w:r>
        <w:rPr>
          <w:rFonts w:hint="default" w:ascii="Times New Roman" w:hAnsi="Times New Roman" w:eastAsia="方正小标宋_GBK" w:cs="Times New Roman"/>
          <w:color w:val="auto"/>
          <w:sz w:val="44"/>
          <w:szCs w:val="44"/>
          <w:highlight w:val="none"/>
        </w:rPr>
        <w:t>部门决算</w:t>
      </w:r>
    </w:p>
    <w:p w14:paraId="1242826E">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370A1164">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4FD9C2D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27DBE0A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3D7888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445259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5413EF7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421315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08588E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7D3A06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1D7129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14FFC3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160F40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2C1578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3E6F71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34552DDE">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142ED2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56DEACC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4BB5E39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01BA865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3085E6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7CFB49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3B0B015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2F359F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5D10DD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7F76E1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7057F1B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2AC6D4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6218D2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70578F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7B6B2C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46C86D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0A5080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43DD90DD">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54745A39">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569386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24028"/>
      <w:bookmarkStart w:id="1" w:name="_Toc32314"/>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17A3D2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14:paraId="0207BA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sz w:val="32"/>
          <w:szCs w:val="32"/>
        </w:rPr>
      </w:pPr>
      <w:bookmarkStart w:id="4" w:name="_Toc31238"/>
      <w:bookmarkStart w:id="5" w:name="_Toc2151"/>
      <w:r>
        <w:rPr>
          <w:rFonts w:hint="default" w:ascii="Times New Roman" w:hAnsi="Times New Roman" w:eastAsia="仿宋_GB2312" w:cs="Times New Roman"/>
          <w:sz w:val="32"/>
          <w:szCs w:val="32"/>
        </w:rPr>
        <w:t>塔里木河流域干流管理局的主要工作职</w:t>
      </w:r>
      <w:r>
        <w:rPr>
          <w:rFonts w:hint="eastAsia" w:eastAsia="仿宋_GB2312" w:cs="Times New Roman"/>
          <w:sz w:val="32"/>
          <w:szCs w:val="32"/>
          <w:lang w:val="en-US" w:eastAsia="zh-CN"/>
        </w:rPr>
        <w:t>能是：为合理配置水资源，维护塔里木河干流</w:t>
      </w:r>
      <w:r>
        <w:rPr>
          <w:rFonts w:hint="default" w:ascii="Times New Roman" w:hAnsi="Times New Roman" w:eastAsia="仿宋_GB2312" w:cs="Times New Roman"/>
          <w:sz w:val="32"/>
          <w:szCs w:val="32"/>
        </w:rPr>
        <w:t>生态提供管理服务</w:t>
      </w:r>
      <w:r>
        <w:rPr>
          <w:rFonts w:hint="eastAsia" w:eastAsia="仿宋_GB2312" w:cs="Times New Roman"/>
          <w:sz w:val="32"/>
          <w:szCs w:val="32"/>
          <w:lang w:eastAsia="zh-CN"/>
        </w:rPr>
        <w:t>。</w:t>
      </w:r>
      <w:r>
        <w:rPr>
          <w:rFonts w:hint="eastAsia" w:eastAsia="仿宋_GB2312" w:cs="Times New Roman"/>
          <w:sz w:val="32"/>
          <w:szCs w:val="32"/>
          <w:lang w:val="en-US" w:eastAsia="zh-CN"/>
        </w:rPr>
        <w:t>塔里木河干流水资源管理、流域综合治理和监督</w:t>
      </w:r>
      <w:r>
        <w:rPr>
          <w:rFonts w:hint="default" w:ascii="Times New Roman" w:hAnsi="Times New Roman" w:eastAsia="仿宋_GB2312" w:cs="Times New Roman"/>
          <w:sz w:val="32"/>
          <w:szCs w:val="32"/>
        </w:rPr>
        <w:t>。</w:t>
      </w:r>
    </w:p>
    <w:p w14:paraId="2668F2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4AF2C7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新疆维吾尔自治区塔里木河流域干流管理局机关</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28</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23</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5</w:t>
      </w:r>
      <w:r>
        <w:rPr>
          <w:rFonts w:hint="default" w:ascii="Times New Roman" w:hAnsi="Times New Roman" w:eastAsia="仿宋_GB2312" w:cs="Times New Roman"/>
          <w:color w:val="auto"/>
          <w:sz w:val="32"/>
          <w:szCs w:val="32"/>
          <w:highlight w:val="none"/>
        </w:rPr>
        <w:t>人。</w:t>
      </w:r>
    </w:p>
    <w:p w14:paraId="6BA7D63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lang w:val="en-US" w:eastAsia="zh-CN"/>
        </w:rPr>
        <w:t>新疆维吾尔自治区塔里木河流域干流管理局机关</w:t>
      </w:r>
      <w:r>
        <w:rPr>
          <w:rFonts w:hint="default" w:ascii="Times New Roman" w:hAnsi="Times New Roman" w:eastAsia="仿宋_GB2312" w:cs="Times New Roman"/>
          <w:bCs/>
          <w:color w:val="auto"/>
          <w:kern w:val="0"/>
          <w:sz w:val="32"/>
          <w:szCs w:val="32"/>
          <w:highlight w:val="none"/>
        </w:rPr>
        <w:t>无下属预算单位，</w:t>
      </w:r>
      <w:r>
        <w:rPr>
          <w:rFonts w:hint="default" w:ascii="Times New Roman" w:hAnsi="Times New Roman" w:eastAsia="仿宋_GB2312" w:cs="Times New Roman"/>
          <w:bCs/>
          <w:kern w:val="0"/>
          <w:sz w:val="32"/>
          <w:szCs w:val="32"/>
        </w:rPr>
        <w:t>下设</w:t>
      </w:r>
      <w:r>
        <w:rPr>
          <w:rFonts w:hint="default" w:ascii="Times New Roman" w:hAnsi="Times New Roman" w:eastAsia="仿宋_GB2312" w:cs="Times New Roman"/>
          <w:sz w:val="32"/>
          <w:szCs w:val="32"/>
        </w:rPr>
        <w:t>9</w:t>
      </w:r>
      <w:r>
        <w:rPr>
          <w:rFonts w:hint="default" w:ascii="Times New Roman" w:hAnsi="Times New Roman" w:eastAsia="仿宋_GB2312" w:cs="Times New Roman"/>
          <w:bCs/>
          <w:kern w:val="0"/>
          <w:sz w:val="32"/>
          <w:szCs w:val="32"/>
        </w:rPr>
        <w:t>个处室，分别是：办公室、组织人事科、机关服务中心、财务审计科、水量调度信息科、规划与建设管理科（安监科）、纪检监察室、水政水资源科、工会</w:t>
      </w:r>
      <w:r>
        <w:rPr>
          <w:rFonts w:hint="default" w:ascii="Times New Roman" w:hAnsi="Times New Roman" w:eastAsia="仿宋_GB2312" w:cs="Times New Roman"/>
          <w:kern w:val="0"/>
          <w:sz w:val="32"/>
          <w:szCs w:val="32"/>
        </w:rPr>
        <w:t>。</w:t>
      </w:r>
    </w:p>
    <w:p w14:paraId="2072DE1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71E248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5C7F80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0C32DB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3,125.09万元，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3,125.09万元，使用非财政拨款结余0.00万元，年初结转和结余0.00万元。</w:t>
      </w:r>
    </w:p>
    <w:p w14:paraId="222922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3,125.09万元，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3,125.09万元，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0.00万元，年末结转和结余0.00万元。</w:t>
      </w:r>
    </w:p>
    <w:p w14:paraId="559B2A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减少816.00万元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下降20.70%</w:t>
      </w:r>
      <w:r>
        <w:rPr>
          <w:rFonts w:hint="default" w:ascii="Times New Roman" w:hAnsi="Times New Roman" w:eastAsia="仿宋_GB2312" w:cs="Times New Roman"/>
          <w:color w:val="auto"/>
          <w:spacing w:val="0"/>
          <w:sz w:val="32"/>
          <w:szCs w:val="32"/>
          <w:highlight w:val="none"/>
          <w:lang w:eastAsia="zh-CN"/>
        </w:rPr>
        <w:t>，主要原因是：2022年综合经营收入是2483.87万元，2023年综合经营收入是1464万元，减少了1019.87万元。</w:t>
      </w:r>
    </w:p>
    <w:p w14:paraId="290CC4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4EA0D0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3,125.09</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1,661.09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53.15</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1,464.00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46.85</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018313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1D6F0F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本年支出3,125.09万元，其中：基本支出588.09万元，占18.82%；项目支出1,073.00万元，占34.33%；上缴上级支出0.00万元，占0.00%；经营支出1,464.00万元，占46.85%；对附属单位补助支出0.00万元，占0.00%。</w:t>
      </w:r>
    </w:p>
    <w:p w14:paraId="3216AE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006FA3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1,661.09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1,661.09</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1,661.09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1,661.09</w:t>
      </w:r>
      <w:r>
        <w:rPr>
          <w:rFonts w:hint="default" w:ascii="Times New Roman" w:hAnsi="Times New Roman" w:eastAsia="仿宋_GB2312" w:cs="Times New Roman"/>
          <w:color w:val="auto"/>
          <w:spacing w:val="0"/>
          <w:sz w:val="32"/>
          <w:szCs w:val="32"/>
          <w:highlight w:val="none"/>
          <w:lang w:eastAsia="zh-CN"/>
        </w:rPr>
        <w:t>万元。</w:t>
      </w:r>
    </w:p>
    <w:p w14:paraId="0FBD1DA8">
      <w:pPr>
        <w:ind w:left="0" w:leftChars="0" w:firstLine="640" w:firstLineChars="0"/>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增加203.87万元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增长13.99%，</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1.</w:t>
      </w:r>
      <w:r>
        <w:rPr>
          <w:rFonts w:hint="default" w:ascii="Times New Roman" w:hAnsi="Times New Roman" w:eastAsia="仿宋_GB2312" w:cs="Times New Roman"/>
          <w:color w:val="auto"/>
          <w:sz w:val="32"/>
          <w:szCs w:val="32"/>
          <w:lang w:val="en-US" w:eastAsia="zh-CN"/>
        </w:rPr>
        <w:t>项目支出上年度为990万元，本年度为1073万元，比上年增加83万元，增加原因是：2023年项目支出较2022年增加两个项目（</w:t>
      </w:r>
      <w:r>
        <w:rPr>
          <w:rFonts w:hint="default" w:ascii="Times New Roman" w:hAnsi="Times New Roman" w:eastAsia="仿宋_GB2312" w:cs="Times New Roman"/>
          <w:sz w:val="32"/>
          <w:szCs w:val="32"/>
          <w:highlight w:val="none"/>
          <w:lang w:val="en-US" w:eastAsia="zh-CN"/>
        </w:rPr>
        <w:t>水利技术推广30万元、防汛资金50万元</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基本支出上年度为467.22万元，本年度为588.09万元，比上年增加120.87万元，增加原因是工资正常晋升调增、提高基础性绩效和基本工资调整，</w:t>
      </w:r>
      <w:r>
        <w:rPr>
          <w:rFonts w:hint="default" w:ascii="Times New Roman" w:hAnsi="Times New Roman" w:eastAsia="仿宋_GB2312" w:cs="Times New Roman"/>
          <w:sz w:val="32"/>
          <w:szCs w:val="32"/>
          <w:highlight w:val="none"/>
          <w:lang w:val="en-US" w:eastAsia="zh-CN"/>
        </w:rPr>
        <w:t>追加职业年金缴费。</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599.03</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1,661.09</w:t>
      </w:r>
      <w:r>
        <w:rPr>
          <w:rFonts w:hint="default" w:ascii="Times New Roman" w:hAnsi="Times New Roman" w:eastAsia="仿宋_GB2312" w:cs="Times New Roman"/>
          <w:color w:val="auto"/>
          <w:spacing w:val="0"/>
          <w:sz w:val="32"/>
          <w:szCs w:val="32"/>
          <w:highlight w:val="none"/>
          <w:lang w:eastAsia="zh-CN"/>
        </w:rPr>
        <w:t>万元，预决算差异率177.30%，主要原因是：</w:t>
      </w:r>
      <w:r>
        <w:rPr>
          <w:rFonts w:hint="default" w:ascii="Times New Roman" w:hAnsi="Times New Roman" w:eastAsia="仿宋_GB2312" w:cs="Times New Roman"/>
          <w:sz w:val="32"/>
          <w:szCs w:val="32"/>
          <w:highlight w:val="none"/>
          <w:lang w:val="en-US" w:eastAsia="zh-CN"/>
        </w:rPr>
        <w:t>1.2023年项目支出调增预算水利发展专项二次分配893万元、水利技术推广30万元、防汛资金50万元。2.基本支出</w:t>
      </w:r>
      <w:r>
        <w:rPr>
          <w:rFonts w:hint="default" w:ascii="Times New Roman" w:hAnsi="Times New Roman" w:eastAsia="仿宋_GB2312" w:cs="Times New Roman"/>
          <w:color w:val="auto"/>
          <w:spacing w:val="0"/>
          <w:sz w:val="32"/>
          <w:szCs w:val="32"/>
          <w:highlight w:val="none"/>
          <w:lang w:val="en-US" w:eastAsia="zh-CN"/>
        </w:rPr>
        <w:t>2023年</w:t>
      </w:r>
      <w:r>
        <w:rPr>
          <w:rFonts w:hint="default" w:ascii="Times New Roman" w:hAnsi="Times New Roman" w:eastAsia="仿宋_GB2312" w:cs="Times New Roman"/>
          <w:color w:val="auto"/>
          <w:spacing w:val="0"/>
          <w:sz w:val="32"/>
          <w:szCs w:val="32"/>
          <w:highlight w:val="none"/>
          <w:lang w:eastAsia="zh-CN"/>
        </w:rPr>
        <w:t>追加2022年职业年金缴费20.32万元，</w:t>
      </w:r>
      <w:r>
        <w:rPr>
          <w:rFonts w:hint="default" w:ascii="Times New Roman" w:hAnsi="Times New Roman" w:eastAsia="仿宋_GB2312" w:cs="Times New Roman"/>
          <w:sz w:val="32"/>
          <w:szCs w:val="32"/>
          <w:highlight w:val="none"/>
          <w:lang w:val="en-US" w:eastAsia="zh-CN"/>
        </w:rPr>
        <w:t>2022年度考核奖19.78万元，2022年提高基础绩效23.62万元，增资工资30万元，调增退休人员提高基础绩效1.25万元。</w:t>
      </w:r>
    </w:p>
    <w:p w14:paraId="5E833D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5B6888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707C5C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2023年度一般公共预算财政拨款支出1,661.09万元，占本年支出合计的</w:t>
      </w:r>
      <w:r>
        <w:rPr>
          <w:rFonts w:hint="default" w:ascii="Times New Roman" w:hAnsi="Times New Roman" w:eastAsia="仿宋_GB2312" w:cs="Times New Roman"/>
          <w:color w:val="auto"/>
          <w:spacing w:val="0"/>
          <w:sz w:val="32"/>
          <w:szCs w:val="32"/>
          <w:highlight w:val="none"/>
          <w:lang w:val="zh-CN" w:eastAsia="zh-CN"/>
        </w:rPr>
        <w:t>53.15%</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增加203.87万元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增长13.99%，</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1.</w:t>
      </w:r>
      <w:r>
        <w:rPr>
          <w:rFonts w:hint="default" w:ascii="Times New Roman" w:hAnsi="Times New Roman" w:eastAsia="仿宋_GB2312" w:cs="Times New Roman"/>
          <w:color w:val="auto"/>
          <w:sz w:val="32"/>
          <w:szCs w:val="32"/>
          <w:lang w:val="en-US" w:eastAsia="zh-CN"/>
        </w:rPr>
        <w:t>项目支出上年度为990万元，本年度为1073万元，比上年增加83万元，增加原因是：2023年项目支出较2022年增加两个项目（</w:t>
      </w:r>
      <w:r>
        <w:rPr>
          <w:rFonts w:hint="default" w:ascii="Times New Roman" w:hAnsi="Times New Roman" w:eastAsia="仿宋_GB2312" w:cs="Times New Roman"/>
          <w:sz w:val="32"/>
          <w:szCs w:val="32"/>
          <w:highlight w:val="none"/>
          <w:lang w:val="en-US" w:eastAsia="zh-CN"/>
        </w:rPr>
        <w:t>水利技术推广30万元、防汛资金50万元</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基本支出上年度为467.22万元，本年度为588.09万元，比上年增加120.87万元，增加原因是工资正常晋升调增、提高基础性绩效和基本工资调整，</w:t>
      </w:r>
      <w:r>
        <w:rPr>
          <w:rFonts w:hint="default" w:ascii="Times New Roman" w:hAnsi="Times New Roman" w:eastAsia="仿宋_GB2312" w:cs="Times New Roman"/>
          <w:sz w:val="32"/>
          <w:szCs w:val="32"/>
          <w:highlight w:val="none"/>
          <w:lang w:val="en-US" w:eastAsia="zh-CN"/>
        </w:rPr>
        <w:t>追加职业年金缴费。</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599.03</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1,661.09</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177.30%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highlight w:val="none"/>
          <w:lang w:val="en-US" w:eastAsia="zh-CN"/>
        </w:rPr>
        <w:t>1.2023年项目支出调增预算水利发展专项二次分配893万元、水利技术推广30万元、防汛资金50万元。2.基本支出追加2022年职业年金缴费20.32万元，2022年度考核奖19.78万元，2022年提高基础绩效23.62万元，增资工资30万元，调增退休人员提高基础绩效1.25万元</w:t>
      </w:r>
      <w:r>
        <w:rPr>
          <w:rFonts w:hint="default" w:ascii="Times New Roman" w:hAnsi="Times New Roman" w:eastAsia="仿宋_GB2312" w:cs="Times New Roman"/>
          <w:color w:val="auto"/>
          <w:spacing w:val="0"/>
          <w:sz w:val="32"/>
          <w:szCs w:val="32"/>
          <w:highlight w:val="none"/>
          <w:lang w:eastAsia="zh-CN"/>
        </w:rPr>
        <w:t>。</w:t>
      </w:r>
    </w:p>
    <w:p w14:paraId="6CDEF7A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7112B0B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社会保障和就业支出（类）76.56万元，占4.61%；</w:t>
      </w:r>
    </w:p>
    <w:p w14:paraId="6D9A2B3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卫生健康支出（类）43.49万元，占2.62%；</w:t>
      </w:r>
    </w:p>
    <w:p w14:paraId="73997B4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农林水支出（类）1,505.05万元，占90.61%；</w:t>
      </w:r>
    </w:p>
    <w:p w14:paraId="794364E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住房保障支出（类）35.99万元，占2.17%；</w:t>
      </w:r>
    </w:p>
    <w:p w14:paraId="2DD6EE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1F66A6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1.农林水支出（类）水利（款）防汛（项）:支出决算数为50.00万元，比上年决算增加50.00万元，增长100%，主要原因是：2023年追加了项目支出</w:t>
      </w:r>
      <w:r>
        <w:rPr>
          <w:rFonts w:hint="default" w:ascii="Times New Roman" w:hAnsi="Times New Roman" w:eastAsia="仿宋_GB2312" w:cs="Times New Roman"/>
          <w:sz w:val="32"/>
          <w:szCs w:val="32"/>
          <w:highlight w:val="none"/>
          <w:lang w:val="en-US" w:eastAsia="zh-CN"/>
        </w:rPr>
        <w:t>防汛资金50万元</w:t>
      </w:r>
      <w:r>
        <w:rPr>
          <w:rFonts w:hint="default" w:ascii="Times New Roman" w:hAnsi="Times New Roman" w:eastAsia="仿宋_GB2312" w:cs="Times New Roman"/>
          <w:color w:val="auto"/>
          <w:kern w:val="2"/>
          <w:sz w:val="32"/>
          <w:szCs w:val="32"/>
          <w:highlight w:val="none"/>
          <w:lang w:val="zh-CN" w:eastAsia="zh-CN" w:bidi="ar-SA"/>
        </w:rPr>
        <w:t>。</w:t>
      </w:r>
    </w:p>
    <w:p w14:paraId="1CB3EC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2.卫生健康支出（类）行政事业单位医疗（款）事业单位医疗（项）:支出决算数为22.49万元，比上年决算增加4.03万元，增长21.84%，主要原因是：因</w:t>
      </w:r>
      <w:r>
        <w:rPr>
          <w:rFonts w:hint="default" w:ascii="Times New Roman" w:hAnsi="Times New Roman" w:eastAsia="仿宋_GB2312" w:cs="Times New Roman"/>
          <w:sz w:val="32"/>
          <w:szCs w:val="32"/>
          <w:lang w:val="en-US" w:eastAsia="zh-CN"/>
        </w:rPr>
        <w:t>单位人员</w:t>
      </w:r>
      <w:r>
        <w:rPr>
          <w:rFonts w:hint="default" w:ascii="Times New Roman" w:hAnsi="Times New Roman" w:eastAsia="仿宋_GB2312" w:cs="Times New Roman"/>
          <w:sz w:val="32"/>
          <w:szCs w:val="32"/>
        </w:rPr>
        <w:t>岗位晋升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工资津补贴按年度正常调增</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调增</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基础绩效奖</w:t>
      </w:r>
      <w:r>
        <w:rPr>
          <w:rFonts w:hint="default" w:ascii="Times New Roman" w:hAnsi="Times New Roman" w:eastAsia="仿宋_GB2312" w:cs="Times New Roman"/>
          <w:sz w:val="32"/>
          <w:szCs w:val="32"/>
          <w:lang w:val="en-US" w:eastAsia="zh-CN"/>
        </w:rPr>
        <w:t>，社会保障缴费基数增加，导致事业单位医疗费缴费增加。</w:t>
      </w:r>
    </w:p>
    <w:p w14:paraId="754979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3.卫生健康支出（类）行政事业单位医疗（款）公务员医疗补助（项）:支出决算数为20.99万元，比上年决算增加6.64万元，增长46.2</w:t>
      </w:r>
      <w:r>
        <w:rPr>
          <w:rFonts w:hint="eastAsia" w:eastAsia="仿宋_GB2312" w:cs="Times New Roman"/>
          <w:color w:val="auto"/>
          <w:kern w:val="2"/>
          <w:sz w:val="32"/>
          <w:szCs w:val="32"/>
          <w:highlight w:val="none"/>
          <w:lang w:val="en-US" w:eastAsia="zh-CN" w:bidi="ar-SA"/>
        </w:rPr>
        <w:t>7</w:t>
      </w:r>
      <w:r>
        <w:rPr>
          <w:rFonts w:hint="default" w:ascii="Times New Roman" w:hAnsi="Times New Roman" w:eastAsia="仿宋_GB2312" w:cs="Times New Roman"/>
          <w:color w:val="auto"/>
          <w:kern w:val="2"/>
          <w:sz w:val="32"/>
          <w:szCs w:val="32"/>
          <w:highlight w:val="none"/>
          <w:lang w:val="en-US" w:eastAsia="zh-CN" w:bidi="ar-SA"/>
        </w:rPr>
        <w:t>%，主要原因是：因</w:t>
      </w:r>
      <w:r>
        <w:rPr>
          <w:rFonts w:hint="default" w:ascii="Times New Roman" w:hAnsi="Times New Roman" w:eastAsia="仿宋_GB2312" w:cs="Times New Roman"/>
          <w:sz w:val="32"/>
          <w:szCs w:val="32"/>
          <w:lang w:val="en-US" w:eastAsia="zh-CN"/>
        </w:rPr>
        <w:t>单位人员</w:t>
      </w:r>
      <w:r>
        <w:rPr>
          <w:rFonts w:hint="default" w:ascii="Times New Roman" w:hAnsi="Times New Roman" w:eastAsia="仿宋_GB2312" w:cs="Times New Roman"/>
          <w:sz w:val="32"/>
          <w:szCs w:val="32"/>
        </w:rPr>
        <w:t>岗位晋升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工资津补贴按年度正常调增</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调增</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基础绩效奖</w:t>
      </w:r>
      <w:r>
        <w:rPr>
          <w:rFonts w:hint="default" w:ascii="Times New Roman" w:hAnsi="Times New Roman" w:eastAsia="仿宋_GB2312" w:cs="Times New Roman"/>
          <w:sz w:val="32"/>
          <w:szCs w:val="32"/>
          <w:lang w:val="en-US" w:eastAsia="zh-CN"/>
        </w:rPr>
        <w:t>，社会保障缴费基数增加，导致公务员医疗补助缴费增加</w:t>
      </w:r>
      <w:r>
        <w:rPr>
          <w:rFonts w:hint="default" w:ascii="Times New Roman" w:hAnsi="Times New Roman" w:eastAsia="仿宋_GB2312" w:cs="Times New Roman"/>
          <w:color w:val="auto"/>
          <w:kern w:val="2"/>
          <w:sz w:val="32"/>
          <w:szCs w:val="32"/>
          <w:highlight w:val="none"/>
          <w:lang w:val="zh-CN" w:eastAsia="zh-CN" w:bidi="ar-SA"/>
        </w:rPr>
        <w:t>。</w:t>
      </w:r>
    </w:p>
    <w:p w14:paraId="5874E7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4.住房保障支出（类）住房改革支出（款）住房公积金（项）:支出决算数为35.99万元，比上年决算增加10.47万元，增长41.04%，主要原因是：因</w:t>
      </w:r>
      <w:r>
        <w:rPr>
          <w:rFonts w:hint="default" w:ascii="Times New Roman" w:hAnsi="Times New Roman" w:eastAsia="仿宋_GB2312" w:cs="Times New Roman"/>
          <w:sz w:val="32"/>
          <w:szCs w:val="32"/>
          <w:lang w:val="en-US" w:eastAsia="zh-CN"/>
        </w:rPr>
        <w:t>单位人员</w:t>
      </w:r>
      <w:r>
        <w:rPr>
          <w:rFonts w:hint="default" w:ascii="Times New Roman" w:hAnsi="Times New Roman" w:eastAsia="仿宋_GB2312" w:cs="Times New Roman"/>
          <w:sz w:val="32"/>
          <w:szCs w:val="32"/>
        </w:rPr>
        <w:t>岗位晋升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工资津补贴按年度正常调增</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调增</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基础绩效奖</w:t>
      </w:r>
      <w:r>
        <w:rPr>
          <w:rFonts w:hint="default" w:ascii="Times New Roman" w:hAnsi="Times New Roman" w:eastAsia="仿宋_GB2312" w:cs="Times New Roman"/>
          <w:sz w:val="32"/>
          <w:szCs w:val="32"/>
          <w:lang w:val="en-US" w:eastAsia="zh-CN"/>
        </w:rPr>
        <w:t>，住房公积金缴费基数增加，导致住房公积金缴费增加</w:t>
      </w:r>
      <w:r>
        <w:rPr>
          <w:rFonts w:hint="default" w:ascii="Times New Roman" w:hAnsi="Times New Roman" w:eastAsia="仿宋_GB2312" w:cs="Times New Roman"/>
          <w:color w:val="auto"/>
          <w:kern w:val="2"/>
          <w:sz w:val="32"/>
          <w:szCs w:val="32"/>
          <w:highlight w:val="none"/>
          <w:lang w:val="zh-CN" w:eastAsia="zh-CN" w:bidi="ar-SA"/>
        </w:rPr>
        <w:t>。</w:t>
      </w:r>
    </w:p>
    <w:p w14:paraId="7C4BC3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5.农林水支出（类）水利（款）水利工程运行与维护（项）:支出决算数为532.05万元，比上年决算减少820.92万元，下降60.68%，主要原因是：</w:t>
      </w:r>
      <w:r>
        <w:rPr>
          <w:rFonts w:hint="default" w:ascii="Times New Roman" w:hAnsi="Times New Roman" w:eastAsia="仿宋_GB2312" w:cs="Times New Roman"/>
          <w:sz w:val="32"/>
          <w:szCs w:val="32"/>
          <w:highlight w:val="none"/>
          <w:lang w:val="en-US" w:eastAsia="zh-CN"/>
        </w:rPr>
        <w:t>2023年项目支出调增预算水利发展专项二次分配893万元，由上年的</w:t>
      </w:r>
      <w:r>
        <w:rPr>
          <w:rFonts w:hint="default" w:ascii="Times New Roman" w:hAnsi="Times New Roman" w:eastAsia="仿宋_GB2312" w:cs="Times New Roman"/>
          <w:color w:val="auto"/>
          <w:kern w:val="2"/>
          <w:sz w:val="32"/>
          <w:szCs w:val="32"/>
          <w:highlight w:val="none"/>
          <w:lang w:val="en-US" w:eastAsia="zh-CN" w:bidi="ar-SA"/>
        </w:rPr>
        <w:t>农林水支出（类）水利（款）水利工程运行与维护（项）调整为农林水支出（类）水利（款）水资源节约管理与保护（项）</w:t>
      </w:r>
      <w:r>
        <w:rPr>
          <w:rFonts w:hint="default" w:ascii="Times New Roman" w:hAnsi="Times New Roman" w:eastAsia="仿宋_GB2312" w:cs="Times New Roman"/>
          <w:color w:val="auto"/>
          <w:kern w:val="2"/>
          <w:sz w:val="32"/>
          <w:szCs w:val="32"/>
          <w:highlight w:val="none"/>
          <w:lang w:val="zh-CN" w:eastAsia="zh-CN" w:bidi="ar-SA"/>
        </w:rPr>
        <w:t>。</w:t>
      </w:r>
    </w:p>
    <w:p w14:paraId="032F7D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6.农林水支出（类）水利（款）水利技术推广（项）:支出决算数为30.00万元，比上年决算增加30.00万元，增长100%，主要原因是：2023年追加项目支出</w:t>
      </w:r>
      <w:r>
        <w:rPr>
          <w:rFonts w:hint="default" w:ascii="Times New Roman" w:hAnsi="Times New Roman" w:eastAsia="仿宋_GB2312" w:cs="Times New Roman"/>
          <w:sz w:val="32"/>
          <w:szCs w:val="32"/>
          <w:highlight w:val="none"/>
          <w:lang w:val="en-US" w:eastAsia="zh-CN"/>
        </w:rPr>
        <w:t>水利技术推广30万元</w:t>
      </w:r>
      <w:r>
        <w:rPr>
          <w:rFonts w:hint="default" w:ascii="Times New Roman" w:hAnsi="Times New Roman" w:eastAsia="仿宋_GB2312" w:cs="Times New Roman"/>
          <w:color w:val="auto"/>
          <w:kern w:val="2"/>
          <w:sz w:val="32"/>
          <w:szCs w:val="32"/>
          <w:highlight w:val="none"/>
          <w:lang w:val="zh-CN" w:eastAsia="zh-CN" w:bidi="ar-SA"/>
        </w:rPr>
        <w:t>。</w:t>
      </w:r>
    </w:p>
    <w:p w14:paraId="788B8B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7.社会保障和就业支出（类）行政事业单位养老支出（款）事业单位离退休（项）:支出决算数为8.26万元，比上年决算减少3.64万元，下降30.57%，主要原因是：根据自治区财政厅要求，2023年</w:t>
      </w:r>
      <w:r>
        <w:rPr>
          <w:rFonts w:hint="default" w:ascii="Times New Roman" w:hAnsi="Times New Roman" w:eastAsia="仿宋" w:cs="Times New Roman"/>
          <w:sz w:val="32"/>
          <w:szCs w:val="32"/>
          <w:highlight w:val="none"/>
          <w:lang w:val="en-US" w:eastAsia="zh-CN"/>
        </w:rPr>
        <w:t>退休人员医疗费退回国库，故较上年有所减少</w:t>
      </w:r>
      <w:r>
        <w:rPr>
          <w:rFonts w:hint="default" w:ascii="Times New Roman" w:hAnsi="Times New Roman" w:eastAsia="仿宋_GB2312" w:cs="Times New Roman"/>
          <w:color w:val="auto"/>
          <w:kern w:val="2"/>
          <w:sz w:val="32"/>
          <w:szCs w:val="32"/>
          <w:highlight w:val="none"/>
          <w:lang w:val="zh-CN" w:eastAsia="zh-CN" w:bidi="ar-SA"/>
        </w:rPr>
        <w:t>。</w:t>
      </w:r>
    </w:p>
    <w:p w14:paraId="70DAE4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8.农林水支出（类）水利（款）水资源节约管理与保护（项）:支出决算数为893.00万元，比上年决算增加893.00万元，增长100%，主要原因是：</w:t>
      </w:r>
      <w:r>
        <w:rPr>
          <w:rFonts w:hint="default" w:ascii="Times New Roman" w:hAnsi="Times New Roman" w:eastAsia="仿宋_GB2312" w:cs="Times New Roman"/>
          <w:sz w:val="32"/>
          <w:szCs w:val="32"/>
          <w:highlight w:val="none"/>
          <w:lang w:val="en-US" w:eastAsia="zh-CN"/>
        </w:rPr>
        <w:t>2023年项目支出调增预算水利发展专项二次分配893万元，由上年的</w:t>
      </w:r>
      <w:r>
        <w:rPr>
          <w:rFonts w:hint="default" w:ascii="Times New Roman" w:hAnsi="Times New Roman" w:eastAsia="仿宋_GB2312" w:cs="Times New Roman"/>
          <w:color w:val="auto"/>
          <w:kern w:val="2"/>
          <w:sz w:val="32"/>
          <w:szCs w:val="32"/>
          <w:highlight w:val="none"/>
          <w:lang w:val="en-US" w:eastAsia="zh-CN" w:bidi="ar-SA"/>
        </w:rPr>
        <w:t>农林水支出（类）水利（款）水利工程运行与维护（项）调整为农林水支出（类）水利（款）水资源节约管理与保护（项）</w:t>
      </w:r>
      <w:r>
        <w:rPr>
          <w:rFonts w:hint="default" w:ascii="Times New Roman" w:hAnsi="Times New Roman" w:eastAsia="仿宋_GB2312" w:cs="Times New Roman"/>
          <w:color w:val="auto"/>
          <w:kern w:val="2"/>
          <w:sz w:val="32"/>
          <w:szCs w:val="32"/>
          <w:highlight w:val="none"/>
          <w:lang w:val="zh-CN" w:eastAsia="zh-CN" w:bidi="ar-SA"/>
        </w:rPr>
        <w:t>。</w:t>
      </w:r>
    </w:p>
    <w:p w14:paraId="2BFA50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9.社会保障和就业支出（类）行政事业单位养老支出（款）机关事业单位职业年金缴费支出（项）:支出决算数为20.32万元，比上年决算增加20.32万元，增长100%，主要原因是：2023年度，</w:t>
      </w:r>
      <w:r>
        <w:rPr>
          <w:rFonts w:hint="default" w:ascii="Times New Roman" w:hAnsi="Times New Roman" w:eastAsia="仿宋_GB2312" w:cs="Times New Roman"/>
          <w:sz w:val="32"/>
          <w:szCs w:val="32"/>
          <w:highlight w:val="none"/>
          <w:lang w:val="en-US" w:eastAsia="zh-CN"/>
        </w:rPr>
        <w:t>基本支出追加2022年职业年金缴费20.32万元</w:t>
      </w:r>
      <w:r>
        <w:rPr>
          <w:rFonts w:hint="default" w:ascii="Times New Roman" w:hAnsi="Times New Roman" w:eastAsia="仿宋_GB2312" w:cs="Times New Roman"/>
          <w:color w:val="auto"/>
          <w:kern w:val="2"/>
          <w:sz w:val="32"/>
          <w:szCs w:val="32"/>
          <w:highlight w:val="none"/>
          <w:lang w:val="zh-CN" w:eastAsia="zh-CN" w:bidi="ar-SA"/>
        </w:rPr>
        <w:t>。</w:t>
      </w:r>
    </w:p>
    <w:p w14:paraId="008239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10.社会保障和就业支出（类）行政事业单位养老支出（款）机关事业单位基本养老保险缴费支出（项）:支出决算数为47.99万元，比上年决算增加13.96万元，增长41.04%，主要原因是：因</w:t>
      </w:r>
      <w:r>
        <w:rPr>
          <w:rFonts w:hint="default" w:ascii="Times New Roman" w:hAnsi="Times New Roman" w:eastAsia="仿宋_GB2312" w:cs="Times New Roman"/>
          <w:sz w:val="32"/>
          <w:szCs w:val="32"/>
          <w:lang w:val="en-US" w:eastAsia="zh-CN"/>
        </w:rPr>
        <w:t>单位人员</w:t>
      </w:r>
      <w:r>
        <w:rPr>
          <w:rFonts w:hint="default" w:ascii="Times New Roman" w:hAnsi="Times New Roman" w:eastAsia="仿宋_GB2312" w:cs="Times New Roman"/>
          <w:sz w:val="32"/>
          <w:szCs w:val="32"/>
        </w:rPr>
        <w:t>岗位晋升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工资津补贴按年度正常调增</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调增</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基础绩效奖</w:t>
      </w:r>
      <w:r>
        <w:rPr>
          <w:rFonts w:hint="default" w:ascii="Times New Roman" w:hAnsi="Times New Roman" w:eastAsia="仿宋_GB2312" w:cs="Times New Roman"/>
          <w:sz w:val="32"/>
          <w:szCs w:val="32"/>
          <w:lang w:val="en-US" w:eastAsia="zh-CN"/>
        </w:rPr>
        <w:t>，社会保障缴费基数增加，导致</w:t>
      </w:r>
      <w:r>
        <w:rPr>
          <w:rFonts w:hint="default" w:ascii="Times New Roman" w:hAnsi="Times New Roman" w:eastAsia="仿宋_GB2312" w:cs="Times New Roman"/>
          <w:color w:val="auto"/>
          <w:kern w:val="2"/>
          <w:sz w:val="32"/>
          <w:szCs w:val="32"/>
          <w:highlight w:val="none"/>
          <w:lang w:val="en-US" w:eastAsia="zh-CN" w:bidi="ar-SA"/>
        </w:rPr>
        <w:t>机关事业单位基本养老保险缴费</w:t>
      </w:r>
      <w:r>
        <w:rPr>
          <w:rFonts w:hint="default" w:ascii="Times New Roman" w:hAnsi="Times New Roman" w:eastAsia="仿宋_GB2312" w:cs="Times New Roman"/>
          <w:sz w:val="32"/>
          <w:szCs w:val="32"/>
          <w:lang w:val="en-US" w:eastAsia="zh-CN"/>
        </w:rPr>
        <w:t>增加</w:t>
      </w:r>
      <w:r>
        <w:rPr>
          <w:rFonts w:hint="default" w:ascii="Times New Roman" w:hAnsi="Times New Roman" w:eastAsia="仿宋_GB2312" w:cs="Times New Roman"/>
          <w:color w:val="auto"/>
          <w:kern w:val="2"/>
          <w:sz w:val="32"/>
          <w:szCs w:val="32"/>
          <w:highlight w:val="none"/>
          <w:lang w:val="zh-CN" w:eastAsia="zh-CN" w:bidi="ar-SA"/>
        </w:rPr>
        <w:t>。</w:t>
      </w:r>
    </w:p>
    <w:p w14:paraId="525523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4ABD002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588.09</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549.57</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72D6BDA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38.52</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办公费、水费、电费、取暖费、差旅费、公务接待费、工会经费、福利费、公务用车运行维护费、其他商品和服务支出。</w:t>
      </w:r>
    </w:p>
    <w:p w14:paraId="7BD6EA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73452DF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“三公”经费支出3.29万元，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增加0.16万元，增长</w:t>
      </w:r>
      <w:r>
        <w:rPr>
          <w:rFonts w:hint="eastAsia" w:eastAsia="仿宋_GB2312" w:cs="Times New Roman"/>
          <w:color w:val="auto"/>
          <w:sz w:val="32"/>
          <w:szCs w:val="32"/>
          <w:highlight w:val="none"/>
          <w:lang w:val="en-US" w:eastAsia="zh-CN"/>
        </w:rPr>
        <w:t>5.11</w:t>
      </w:r>
      <w:r>
        <w:rPr>
          <w:rFonts w:hint="default" w:ascii="Times New Roman" w:hAnsi="Times New Roman" w:eastAsia="仿宋_GB2312" w:cs="Times New Roman"/>
          <w:color w:val="auto"/>
          <w:sz w:val="32"/>
          <w:szCs w:val="32"/>
          <w:highlight w:val="none"/>
          <w:lang w:val="zh-CN" w:eastAsia="zh-CN"/>
        </w:rPr>
        <w:t>%，主要原因是：公务接待费支出</w:t>
      </w:r>
      <w:r>
        <w:rPr>
          <w:rFonts w:hint="default" w:ascii="Times New Roman" w:hAnsi="Times New Roman" w:eastAsia="仿宋_GB2312" w:cs="Times New Roman"/>
          <w:color w:val="auto"/>
          <w:sz w:val="32"/>
          <w:szCs w:val="32"/>
          <w:highlight w:val="none"/>
          <w:lang w:val="en-US" w:eastAsia="zh-CN"/>
        </w:rPr>
        <w:t>比上年增加0.16万元</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。其中：因公出国（境）费支出0.00万元，占0.00%，比上年增加0.00万元，增长0.00%，主要原因是：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；公务用车购置及运行维护费支出2.86万元，占86.</w:t>
      </w:r>
      <w:r>
        <w:rPr>
          <w:rFonts w:hint="eastAsia" w:eastAsia="仿宋_GB2312" w:cs="Times New Roman"/>
          <w:color w:val="auto"/>
          <w:sz w:val="32"/>
          <w:szCs w:val="32"/>
          <w:highlight w:val="none"/>
          <w:lang w:val="en-US" w:eastAsia="zh-CN"/>
        </w:rPr>
        <w:t>93</w:t>
      </w:r>
      <w:r>
        <w:rPr>
          <w:rFonts w:hint="default" w:ascii="Times New Roman" w:hAnsi="Times New Roman" w:eastAsia="仿宋_GB2312" w:cs="Times New Roman"/>
          <w:color w:val="auto"/>
          <w:sz w:val="32"/>
          <w:szCs w:val="32"/>
          <w:highlight w:val="none"/>
          <w:lang w:val="zh-CN" w:eastAsia="zh-CN"/>
        </w:rPr>
        <w:t>%，比上年增加0.00万元，增长0.00%，主要原因是：</w:t>
      </w:r>
      <w:r>
        <w:rPr>
          <w:rFonts w:hint="default" w:ascii="Times New Roman" w:hAnsi="Times New Roman" w:eastAsia="仿宋_GB2312" w:cs="Times New Roman"/>
          <w:sz w:val="32"/>
          <w:szCs w:val="32"/>
        </w:rPr>
        <w:t>公务用车运行维护费与上年一致，无差</w:t>
      </w:r>
      <w:r>
        <w:rPr>
          <w:rFonts w:hint="eastAsia" w:ascii="Times New Roman" w:hAnsi="Times New Roman" w:eastAsia="仿宋_GB2312" w:cs="Times New Roman"/>
          <w:sz w:val="32"/>
          <w:szCs w:val="32"/>
          <w:lang w:val="en-US" w:eastAsia="zh-CN"/>
        </w:rPr>
        <w:t>异</w:t>
      </w:r>
      <w:r>
        <w:rPr>
          <w:rFonts w:hint="default" w:ascii="Times New Roman" w:hAnsi="Times New Roman" w:eastAsia="仿宋_GB2312" w:cs="Times New Roman"/>
          <w:color w:val="auto"/>
          <w:sz w:val="32"/>
          <w:szCs w:val="32"/>
          <w:highlight w:val="none"/>
          <w:lang w:val="zh-CN" w:eastAsia="zh-CN"/>
        </w:rPr>
        <w:t>；公务接待费支出0.43万元，占13.</w:t>
      </w:r>
      <w:r>
        <w:rPr>
          <w:rFonts w:hint="eastAsia" w:eastAsia="仿宋_GB2312" w:cs="Times New Roman"/>
          <w:color w:val="auto"/>
          <w:sz w:val="32"/>
          <w:szCs w:val="32"/>
          <w:highlight w:val="none"/>
          <w:lang w:val="en-US" w:eastAsia="zh-CN"/>
        </w:rPr>
        <w:t>07</w:t>
      </w:r>
      <w:r>
        <w:rPr>
          <w:rFonts w:hint="default" w:ascii="Times New Roman" w:hAnsi="Times New Roman" w:eastAsia="仿宋_GB2312" w:cs="Times New Roman"/>
          <w:color w:val="auto"/>
          <w:sz w:val="32"/>
          <w:szCs w:val="32"/>
          <w:highlight w:val="none"/>
          <w:lang w:val="zh-CN" w:eastAsia="zh-CN"/>
        </w:rPr>
        <w:t>%，比上年增加0.16万元，增长</w:t>
      </w:r>
      <w:r>
        <w:rPr>
          <w:rFonts w:hint="eastAsia" w:eastAsia="仿宋_GB2312" w:cs="Times New Roman"/>
          <w:color w:val="auto"/>
          <w:sz w:val="32"/>
          <w:szCs w:val="32"/>
          <w:highlight w:val="none"/>
          <w:lang w:val="en-US" w:eastAsia="zh-CN"/>
        </w:rPr>
        <w:t>59.26</w:t>
      </w:r>
      <w:bookmarkStart w:id="48" w:name="_GoBack"/>
      <w:bookmarkEnd w:id="48"/>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2023年塔河向下游生态输水效果显著，新闻报道宣传团队和科研课题团队来访增加，导致公务接待费支出略增</w:t>
      </w:r>
      <w:r>
        <w:rPr>
          <w:rFonts w:hint="eastAsia" w:eastAsia="仿宋_GB2312" w:cs="Times New Roman"/>
          <w:color w:val="auto"/>
          <w:sz w:val="32"/>
          <w:szCs w:val="32"/>
          <w:highlight w:val="none"/>
          <w:lang w:val="en-US" w:eastAsia="zh-CN"/>
        </w:rPr>
        <w:t>，</w:t>
      </w:r>
      <w:r>
        <w:rPr>
          <w:rFonts w:hint="eastAsia" w:ascii="仿宋_GB2312" w:eastAsia="仿宋_GB2312"/>
          <w:color w:val="auto"/>
          <w:sz w:val="32"/>
          <w:szCs w:val="32"/>
          <w:highlight w:val="none"/>
          <w:lang w:val="zh-CN" w:eastAsia="zh-CN"/>
        </w:rPr>
        <w:t>未超预算</w:t>
      </w:r>
      <w:r>
        <w:rPr>
          <w:rFonts w:hint="default" w:ascii="Times New Roman" w:hAnsi="Times New Roman" w:eastAsia="仿宋_GB2312" w:cs="Times New Roman"/>
          <w:color w:val="auto"/>
          <w:sz w:val="32"/>
          <w:szCs w:val="32"/>
          <w:highlight w:val="none"/>
          <w:lang w:val="en-US" w:eastAsia="zh-CN"/>
        </w:rPr>
        <w:t>。</w:t>
      </w:r>
    </w:p>
    <w:p w14:paraId="323BBDF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14:paraId="078C12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单位全年安排的因公出国（境）团组0个，因公出国（境）0人次。</w:t>
      </w:r>
    </w:p>
    <w:p w14:paraId="0B21F48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公务用车购置及运行维护费2.86万元，其中：公务用车购置费0.00万元，公务用车运行维护费2.86万元。公务用车运行维护费开支内容包括</w:t>
      </w:r>
      <w:r>
        <w:rPr>
          <w:rFonts w:hint="default" w:ascii="Times New Roman" w:hAnsi="Times New Roman" w:eastAsia="仿宋_GB2312" w:cs="Times New Roman"/>
          <w:sz w:val="32"/>
          <w:szCs w:val="32"/>
        </w:rPr>
        <w:t>公务用车发生</w:t>
      </w:r>
      <w:r>
        <w:rPr>
          <w:rFonts w:hint="eastAsia" w:eastAsia="仿宋_GB2312" w:cs="Times New Roman"/>
          <w:sz w:val="32"/>
          <w:szCs w:val="32"/>
          <w:lang w:val="en-US" w:eastAsia="zh-CN"/>
        </w:rPr>
        <w:t>的</w:t>
      </w:r>
      <w:r>
        <w:rPr>
          <w:rFonts w:hint="default" w:ascii="Times New Roman" w:hAnsi="Times New Roman" w:eastAsia="仿宋_GB2312" w:cs="Times New Roman"/>
          <w:sz w:val="32"/>
          <w:szCs w:val="32"/>
        </w:rPr>
        <w:t>燃料费、维修费、过路过桥费、保险费</w:t>
      </w:r>
      <w:r>
        <w:rPr>
          <w:rFonts w:hint="default" w:ascii="Times New Roman" w:hAnsi="Times New Roman" w:eastAsia="仿宋_GB2312" w:cs="Times New Roman"/>
          <w:sz w:val="32"/>
          <w:szCs w:val="32"/>
          <w:lang w:val="en-US" w:eastAsia="zh-CN"/>
        </w:rPr>
        <w:t>等</w:t>
      </w:r>
      <w:r>
        <w:rPr>
          <w:rFonts w:hint="default" w:ascii="Times New Roman" w:hAnsi="Times New Roman" w:eastAsia="仿宋_GB2312" w:cs="Times New Roman"/>
          <w:color w:val="auto"/>
          <w:sz w:val="32"/>
          <w:szCs w:val="32"/>
          <w:highlight w:val="none"/>
          <w:lang w:val="zh-CN" w:eastAsia="zh-CN"/>
        </w:rPr>
        <w:t>。公务用车购置数0辆，公务用车保有量3辆。国有资产占用情况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0辆，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公务用车保有量3辆车为自有资金购买的车辆，不在公务用车购置数中列示</w:t>
      </w:r>
      <w:r>
        <w:rPr>
          <w:rFonts w:hint="default" w:ascii="Times New Roman" w:hAnsi="Times New Roman" w:eastAsia="仿宋_GB2312" w:cs="Times New Roman"/>
          <w:color w:val="auto"/>
          <w:sz w:val="32"/>
          <w:szCs w:val="32"/>
          <w:highlight w:val="none"/>
          <w:lang w:val="zh-CN" w:eastAsia="zh-CN"/>
        </w:rPr>
        <w:t>。</w:t>
      </w:r>
    </w:p>
    <w:p w14:paraId="6E2F73B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公务接待费0.43万元，开支内容包括</w:t>
      </w:r>
      <w:r>
        <w:rPr>
          <w:rFonts w:hint="default" w:ascii="Times New Roman" w:hAnsi="Times New Roman" w:eastAsia="仿宋_GB2312" w:cs="Times New Roman"/>
          <w:sz w:val="32"/>
          <w:szCs w:val="32"/>
        </w:rPr>
        <w:t>接待上级检查指导工作餐费</w:t>
      </w:r>
      <w:r>
        <w:rPr>
          <w:rFonts w:hint="default" w:ascii="Times New Roman" w:hAnsi="Times New Roman" w:eastAsia="仿宋_GB2312" w:cs="Times New Roman"/>
          <w:color w:val="auto"/>
          <w:sz w:val="32"/>
          <w:szCs w:val="32"/>
          <w:highlight w:val="none"/>
          <w:lang w:val="zh-CN" w:eastAsia="zh-CN"/>
        </w:rPr>
        <w:t>。单位全年安排的国内公务接待3批次，55人次。</w:t>
      </w:r>
    </w:p>
    <w:p w14:paraId="0735BA0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预算数3.29万元，决算数3.29万元，预决算差异率0.00%，主要原因是：</w:t>
      </w:r>
      <w:r>
        <w:rPr>
          <w:rFonts w:hint="default" w:ascii="Times New Roman" w:hAnsi="Times New Roman" w:eastAsia="仿宋_GB2312" w:cs="Times New Roman"/>
          <w:sz w:val="32"/>
          <w:szCs w:val="32"/>
        </w:rPr>
        <w:t>“三公”经费预决算一致，无差异</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我单位无公务用车购置费</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预算数2.86万元，决算数2.86万元，预决算差异率0.00%，主要原因是：</w:t>
      </w:r>
      <w:r>
        <w:rPr>
          <w:rFonts w:hint="default" w:ascii="Times New Roman" w:hAnsi="Times New Roman" w:eastAsia="仿宋_GB2312" w:cs="Times New Roman"/>
          <w:sz w:val="32"/>
          <w:szCs w:val="32"/>
        </w:rPr>
        <w:t>公务用车运行费预决算一致，无差异</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预算数0.43万元，决算数0.43万元，预决算差异率0.00%，主要原因是：</w:t>
      </w:r>
      <w:r>
        <w:rPr>
          <w:rFonts w:hint="default" w:ascii="Times New Roman" w:hAnsi="Times New Roman" w:eastAsia="仿宋_GB2312" w:cs="Times New Roman"/>
          <w:sz w:val="32"/>
          <w:szCs w:val="32"/>
        </w:rPr>
        <w:t>公务接待费预决算一致，无差异。</w:t>
      </w:r>
    </w:p>
    <w:p w14:paraId="0F62EC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35980E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1CD1A3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21A927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3B78FB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1A7AD2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7CBA37E4">
      <w:pPr>
        <w:ind w:firstLine="640" w:firstLineChars="200"/>
        <w:rPr>
          <w:rFonts w:hint="default" w:ascii="Times New Roman" w:hAnsi="Times New Roman" w:eastAsia="仿宋_GB2312" w:cs="Times New Roman"/>
          <w:color w:val="auto"/>
          <w:sz w:val="32"/>
          <w:szCs w:val="32"/>
          <w:highlight w:val="none"/>
          <w:lang w:val="zh-CN"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新疆维吾尔自治区塔里木河流域干流管理局机关</w:t>
      </w:r>
      <w:r>
        <w:rPr>
          <w:rFonts w:hint="default" w:ascii="Times New Roman" w:hAnsi="Times New Roman" w:eastAsia="仿宋_GB2312" w:cs="Times New Roman"/>
          <w:color w:val="auto"/>
          <w:sz w:val="32"/>
          <w:szCs w:val="32"/>
          <w:highlight w:val="none"/>
          <w:lang w:val="zh-CN" w:eastAsia="zh-CN"/>
        </w:rPr>
        <w:t>（事业单位）公用经费支出38.52万元，比上年减少8.78万元，下降18.56%，主要原因是：</w:t>
      </w:r>
      <w:r>
        <w:rPr>
          <w:rFonts w:hint="default" w:ascii="Times New Roman" w:hAnsi="Times New Roman" w:eastAsia="仿宋_GB2312" w:cs="Times New Roman"/>
          <w:color w:val="auto"/>
          <w:sz w:val="32"/>
          <w:szCs w:val="32"/>
          <w:highlight w:val="none"/>
          <w:lang w:val="en-US" w:eastAsia="zh-CN"/>
        </w:rPr>
        <w:t>1.单位在职人员减少1人；2.我单位全面落实“过紧日子”要求，厉行勤俭节约，压减</w:t>
      </w:r>
      <w:r>
        <w:rPr>
          <w:rFonts w:hint="default" w:ascii="Times New Roman" w:hAnsi="Times New Roman" w:eastAsia="仿宋_GB2312" w:cs="Times New Roman"/>
          <w:color w:val="auto"/>
          <w:sz w:val="32"/>
          <w:szCs w:val="32"/>
          <w:highlight w:val="none"/>
          <w:lang w:val="zh-CN" w:eastAsia="zh-CN"/>
        </w:rPr>
        <w:t>公用经费支出</w:t>
      </w:r>
      <w:r>
        <w:rPr>
          <w:rFonts w:hint="default" w:ascii="Times New Roman" w:hAnsi="Times New Roman" w:eastAsia="仿宋_GB2312" w:cs="Times New Roman"/>
          <w:color w:val="auto"/>
          <w:sz w:val="32"/>
          <w:szCs w:val="32"/>
          <w:highlight w:val="none"/>
          <w:lang w:val="en-US" w:eastAsia="zh-CN"/>
        </w:rPr>
        <w:t>。</w:t>
      </w:r>
    </w:p>
    <w:p w14:paraId="1D3544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236433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4,106.84万元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其中：政府采购货物支出448.19万元、政府采购工程支出2,229.71万元、政府采购服务支出1,428.95万元。</w:t>
      </w:r>
    </w:p>
    <w:p w14:paraId="56B09A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授予中小企业合同金额4,003.09万元，占政府采购支出总额的97.47%，其中：授予小微企业合同金额2,368.86万元，占政府采购支出总额的57.68%</w:t>
      </w:r>
      <w:r>
        <w:rPr>
          <w:rFonts w:hint="default" w:ascii="Times New Roman" w:hAnsi="Times New Roman" w:eastAsia="仿宋_GB2312" w:cs="Times New Roman"/>
          <w:color w:val="auto"/>
          <w:sz w:val="32"/>
          <w:szCs w:val="32"/>
          <w:highlight w:val="none"/>
          <w:lang w:val="en-US" w:eastAsia="zh-CN"/>
        </w:rPr>
        <w:t>。</w:t>
      </w:r>
    </w:p>
    <w:p w14:paraId="3089E6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8391"/>
      <w:bookmarkStart w:id="27" w:name="_Toc45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5A0CD7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1,405.96</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屋5336.53平方米，价值1,235.85万元。车辆0辆，价值0.00万元，其中：副部（省）级及以上领导用车0辆、主要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用车0辆、其他用车0辆，其他用车主要是：</w:t>
      </w:r>
      <w:r>
        <w:rPr>
          <w:rFonts w:hint="default" w:ascii="Times New Roman" w:hAnsi="Times New Roman" w:eastAsia="仿宋_GB2312" w:cs="Times New Roman"/>
          <w:color w:val="auto"/>
          <w:sz w:val="32"/>
          <w:szCs w:val="32"/>
          <w:highlight w:val="none"/>
          <w:lang w:val="en-US" w:eastAsia="zh-CN"/>
        </w:rPr>
        <w:t>我单位无其他用车</w:t>
      </w:r>
      <w:r>
        <w:rPr>
          <w:rFonts w:hint="default" w:ascii="Times New Roman" w:hAnsi="Times New Roman" w:eastAsia="仿宋_GB2312" w:cs="Times New Roman"/>
          <w:color w:val="auto"/>
          <w:sz w:val="32"/>
          <w:szCs w:val="32"/>
          <w:highlight w:val="none"/>
          <w:lang w:val="zh-CN" w:eastAsia="zh-CN"/>
        </w:rPr>
        <w:t>；单价100万元（含）以上设备（不含车辆）0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4F1C3B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74BF35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万元，我单位整体支出绩效自评表由主管部门编报并公开；</w:t>
      </w:r>
      <w:r>
        <w:rPr>
          <w:rFonts w:hint="default" w:ascii="Times New Roman" w:hAnsi="Times New Roman" w:eastAsia="仿宋_GB2312" w:cs="Times New Roman"/>
          <w:color w:val="auto"/>
          <w:sz w:val="32"/>
          <w:szCs w:val="32"/>
          <w:highlight w:val="none"/>
          <w:lang w:eastAsia="zh-CN"/>
        </w:rPr>
        <w:t>预算绩效评价项目</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1564</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1564</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严格落实安全生产责任制，积极构建查找、研判、预警、防范、处置和责任等风险管控“六项机制”，开展专项检查20次，闭环完成隐患整改。坚持抓早抓实抓细各项防御措施，完成9处险工险段除险加固工程，封堵5处跑水口。汛期及时启动洪水灾害应急响应，充分挖掘现有水利工程调蓄能力和水库蓄水潜力，排除险情4处，为塔河干流战洪峰、防洪灾、保安全、保灌溉提供坚强保障；二是贯彻落实自治区党委、塔管局党委对水利工作各项部署要求，不断提高水资源节约集约利用水平，加强河湖治理保护，健全生态输水工作机制，进一步巩固生态治理成效；抓好水利工程标准化管理和基层管理站“十个一”标准化创建，补齐水利工程短板和弱项；水生态环境不断改善。水利工程建设和标准化管理持续推进，完成塔河干流6处取水口在线监测工程建设，完成塔河干流4处视频监测点和车尔臣河入台特玛湖视频监测点项目。按照水利工程标准化关于信息化建设的工作要求，开展网络信息化整改和安全加固工作，完成年度信息化系统巡检维护，持续推进信息化与水利业务的深度融合。发现的问题及原因：</w:t>
      </w:r>
      <w:r>
        <w:rPr>
          <w:rFonts w:ascii="仿宋_GB2312" w:eastAsia="仿宋_GB2312"/>
          <w:sz w:val="32"/>
          <w:szCs w:val="32"/>
        </w:rPr>
        <w:t>一是相关绩效管理方面专业知识的系统性学习有待加强</w:t>
      </w:r>
      <w:r>
        <w:rPr>
          <w:rFonts w:hint="eastAsia" w:ascii="仿宋_GB2312" w:eastAsia="仿宋_GB2312"/>
          <w:sz w:val="32"/>
          <w:szCs w:val="32"/>
          <w:lang w:eastAsia="zh-CN"/>
        </w:rPr>
        <w:t>，</w:t>
      </w:r>
      <w:r>
        <w:rPr>
          <w:rFonts w:ascii="仿宋_GB2312" w:eastAsia="仿宋_GB2312"/>
          <w:sz w:val="32"/>
          <w:szCs w:val="32"/>
        </w:rPr>
        <w:t>各项指标的设置要进一步优化、完善，主要在细化、量化上改进</w:t>
      </w:r>
      <w:r>
        <w:rPr>
          <w:rFonts w:hint="eastAsia" w:ascii="仿宋_GB2312" w:eastAsia="仿宋_GB2312"/>
          <w:sz w:val="32"/>
          <w:szCs w:val="32"/>
          <w:lang w:eastAsia="zh-CN"/>
        </w:rPr>
        <w:t>。</w:t>
      </w:r>
      <w:r>
        <w:rPr>
          <w:rFonts w:hint="eastAsia" w:ascii="仿宋_GB2312" w:eastAsia="仿宋_GB2312"/>
          <w:sz w:val="32"/>
          <w:szCs w:val="32"/>
          <w:lang w:val="en-US" w:eastAsia="zh-CN"/>
        </w:rPr>
        <w:t>二是</w:t>
      </w:r>
      <w:r>
        <w:rPr>
          <w:rFonts w:ascii="仿宋_GB2312" w:eastAsia="仿宋_GB2312"/>
          <w:sz w:val="32"/>
          <w:szCs w:val="32"/>
        </w:rPr>
        <w:t>在绩效自评过程中，由于部分人员缺乏相关绩效管理专业知识，自评价工作还存在自查审定的局限性</w:t>
      </w:r>
      <w:r>
        <w:rPr>
          <w:rFonts w:hint="default" w:ascii="Times New Roman" w:hAnsi="Times New Roman" w:eastAsia="仿宋_GB2312" w:cs="Times New Roman"/>
          <w:color w:val="auto"/>
          <w:sz w:val="32"/>
          <w:szCs w:val="32"/>
          <w:highlight w:val="none"/>
          <w:lang w:eastAsia="zh-CN"/>
        </w:rPr>
        <w:t>。下一步改进措施：</w:t>
      </w:r>
      <w:r>
        <w:rPr>
          <w:rFonts w:ascii="仿宋_GB2312" w:eastAsia="仿宋_GB2312"/>
          <w:sz w:val="32"/>
          <w:szCs w:val="32"/>
        </w:rPr>
        <w:t>一是多进行有关绩效管理工作方面的培训</w:t>
      </w:r>
      <w:r>
        <w:rPr>
          <w:rFonts w:hint="eastAsia" w:ascii="仿宋_GB2312" w:eastAsia="仿宋_GB2312"/>
          <w:sz w:val="32"/>
          <w:szCs w:val="32"/>
          <w:lang w:eastAsia="zh-CN"/>
        </w:rPr>
        <w:t>，</w:t>
      </w:r>
      <w:r>
        <w:rPr>
          <w:rFonts w:ascii="仿宋_GB2312" w:eastAsia="仿宋_GB2312"/>
          <w:sz w:val="32"/>
          <w:szCs w:val="32"/>
        </w:rPr>
        <w:t>进一步夯实业务基础，提高单位绩效</w:t>
      </w:r>
      <w:r>
        <w:rPr>
          <w:rFonts w:hint="eastAsia" w:ascii="仿宋_GB2312" w:eastAsia="仿宋_GB2312"/>
          <w:sz w:val="32"/>
          <w:szCs w:val="32"/>
          <w:lang w:val="en-US" w:eastAsia="zh-CN"/>
        </w:rPr>
        <w:t>管理</w:t>
      </w:r>
      <w:r>
        <w:rPr>
          <w:rFonts w:ascii="仿宋_GB2312" w:eastAsia="仿宋_GB2312"/>
          <w:sz w:val="32"/>
          <w:szCs w:val="32"/>
        </w:rPr>
        <w:t>人员水平；二是进一步加强对绩效管理工作的组织领导，提高对预算绩效管理工作重要性的认识，总结经验查找问题，抓紧研究制定更全面更完善的绩效评价管理办法</w:t>
      </w:r>
      <w:r>
        <w:rPr>
          <w:rFonts w:hint="eastAsia" w:ascii="仿宋_GB2312" w:eastAsia="仿宋_GB2312"/>
          <w:sz w:val="32"/>
          <w:szCs w:val="32"/>
          <w:lang w:eastAsia="zh-CN"/>
        </w:rPr>
        <w:t>，</w:t>
      </w:r>
      <w:r>
        <w:rPr>
          <w:rFonts w:ascii="仿宋_GB2312" w:eastAsia="仿宋_GB2312"/>
          <w:sz w:val="32"/>
          <w:szCs w:val="32"/>
        </w:rPr>
        <w:t>加大全局对全面实施预算绩效管理和绩效管理工作的学习力度，让“花钱必问效，无效必问责”的理念深入工作每个环节</w:t>
      </w:r>
      <w:r>
        <w:rPr>
          <w:rFonts w:hint="eastAsia" w:ascii="仿宋_GB2312" w:eastAsia="仿宋_GB2312"/>
          <w:sz w:val="32"/>
          <w:szCs w:val="32"/>
        </w:rPr>
        <w:t>。</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279F04C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2E4A98E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kern w:val="0"/>
          <w:sz w:val="32"/>
          <w:szCs w:val="32"/>
          <w:highlight w:val="none"/>
          <w:lang w:val="en-US" w:eastAsia="zh-CN"/>
        </w:rPr>
        <w:t>本单位无其他需说明事项</w:t>
      </w:r>
      <w:bookmarkStart w:id="30" w:name="_Toc3250"/>
      <w:bookmarkStart w:id="31" w:name="_Toc24143"/>
      <w:r>
        <w:rPr>
          <w:rFonts w:hint="eastAsia" w:eastAsia="仿宋_GB2312" w:cs="Times New Roman"/>
          <w:color w:val="auto"/>
          <w:kern w:val="0"/>
          <w:sz w:val="32"/>
          <w:szCs w:val="32"/>
          <w:highlight w:val="none"/>
          <w:lang w:val="en-US" w:eastAsia="zh-CN"/>
        </w:rPr>
        <w:t>。</w:t>
      </w:r>
      <w:r>
        <w:rPr>
          <w:rFonts w:hint="default" w:ascii="Times New Roman" w:hAnsi="Times New Roman" w:eastAsia="黑体" w:cs="Times New Roman"/>
          <w:color w:val="auto"/>
          <w:sz w:val="32"/>
          <w:szCs w:val="32"/>
          <w:highlight w:val="none"/>
        </w:rPr>
        <w:br w:type="page"/>
      </w:r>
    </w:p>
    <w:p w14:paraId="3F4D6F5B">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328D286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71B2A2D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22AF32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1926990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672DF7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47794F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61F9DA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FDAD9A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8E8F7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4672FAC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1009C02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0DAF8C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6A746D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1D5C3E9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1E631A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4265A3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2371E5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14:paraId="2DB765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14:paraId="4BFF22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338451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7752A2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5E8931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386714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5C380E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276AC73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7B8D6D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F9A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D3EDA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2D3EDA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MzgzODgyMmVhZDY3MzEyOTJlMWY2MGNkOTFiY2UifQ=="/>
    <w:docVar w:name="KSO_WPS_MARK_KEY" w:val="41ee2a61-2d54-4f93-83be-afdb9a40d732"/>
  </w:docVars>
  <w:rsids>
    <w:rsidRoot w:val="00000000"/>
    <w:rsid w:val="000C1FF9"/>
    <w:rsid w:val="00213C59"/>
    <w:rsid w:val="003210CE"/>
    <w:rsid w:val="008953F8"/>
    <w:rsid w:val="00B70D59"/>
    <w:rsid w:val="00F52A8D"/>
    <w:rsid w:val="019404F8"/>
    <w:rsid w:val="02092C94"/>
    <w:rsid w:val="02BD3108"/>
    <w:rsid w:val="02F23728"/>
    <w:rsid w:val="02F73D26"/>
    <w:rsid w:val="034D4FEF"/>
    <w:rsid w:val="035D1785"/>
    <w:rsid w:val="039F47CE"/>
    <w:rsid w:val="03E05CE8"/>
    <w:rsid w:val="03F973EE"/>
    <w:rsid w:val="043E5B56"/>
    <w:rsid w:val="045B39AD"/>
    <w:rsid w:val="04C04386"/>
    <w:rsid w:val="04FA68C4"/>
    <w:rsid w:val="053A15DC"/>
    <w:rsid w:val="053F5AE6"/>
    <w:rsid w:val="057C0B0F"/>
    <w:rsid w:val="05A01219"/>
    <w:rsid w:val="05DE1D42"/>
    <w:rsid w:val="05EF4B48"/>
    <w:rsid w:val="05F76ECA"/>
    <w:rsid w:val="06792773"/>
    <w:rsid w:val="07093795"/>
    <w:rsid w:val="07804730"/>
    <w:rsid w:val="079052BE"/>
    <w:rsid w:val="08145C21"/>
    <w:rsid w:val="08422688"/>
    <w:rsid w:val="084A350F"/>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9D2956"/>
    <w:rsid w:val="0CA52EE8"/>
    <w:rsid w:val="0CAF61E6"/>
    <w:rsid w:val="0CBD6988"/>
    <w:rsid w:val="0CD208AC"/>
    <w:rsid w:val="0D4903E8"/>
    <w:rsid w:val="0D735465"/>
    <w:rsid w:val="0D7A4A46"/>
    <w:rsid w:val="0DC45CC1"/>
    <w:rsid w:val="0DD67FE3"/>
    <w:rsid w:val="0E1C5AFD"/>
    <w:rsid w:val="0E640559"/>
    <w:rsid w:val="0F1113DA"/>
    <w:rsid w:val="0F78534A"/>
    <w:rsid w:val="0F89358A"/>
    <w:rsid w:val="0F8C6D51"/>
    <w:rsid w:val="105B0B5E"/>
    <w:rsid w:val="112E58D0"/>
    <w:rsid w:val="11731CAC"/>
    <w:rsid w:val="119500A0"/>
    <w:rsid w:val="11C0733B"/>
    <w:rsid w:val="11D50D17"/>
    <w:rsid w:val="11D51063"/>
    <w:rsid w:val="120E0809"/>
    <w:rsid w:val="127F665A"/>
    <w:rsid w:val="12F7068C"/>
    <w:rsid w:val="14207DC0"/>
    <w:rsid w:val="1496580B"/>
    <w:rsid w:val="14B932DA"/>
    <w:rsid w:val="14C34F24"/>
    <w:rsid w:val="150A66AF"/>
    <w:rsid w:val="154C1139"/>
    <w:rsid w:val="155618F4"/>
    <w:rsid w:val="158C5B77"/>
    <w:rsid w:val="15A54D74"/>
    <w:rsid w:val="160D1149"/>
    <w:rsid w:val="163563C0"/>
    <w:rsid w:val="164315EF"/>
    <w:rsid w:val="16557DFE"/>
    <w:rsid w:val="167268FB"/>
    <w:rsid w:val="16D50C50"/>
    <w:rsid w:val="16E120E1"/>
    <w:rsid w:val="17385A05"/>
    <w:rsid w:val="173B3901"/>
    <w:rsid w:val="176747F9"/>
    <w:rsid w:val="17954A6E"/>
    <w:rsid w:val="180059E9"/>
    <w:rsid w:val="18137F71"/>
    <w:rsid w:val="184510FD"/>
    <w:rsid w:val="18564F55"/>
    <w:rsid w:val="190648B0"/>
    <w:rsid w:val="19071D6C"/>
    <w:rsid w:val="19D26CD4"/>
    <w:rsid w:val="19E60D19"/>
    <w:rsid w:val="1A175511"/>
    <w:rsid w:val="1A3E3450"/>
    <w:rsid w:val="1ABF618E"/>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896D6A"/>
    <w:rsid w:val="1FA15E62"/>
    <w:rsid w:val="1FED69B6"/>
    <w:rsid w:val="2064678E"/>
    <w:rsid w:val="20DC1AB9"/>
    <w:rsid w:val="20DD6197"/>
    <w:rsid w:val="20E77795"/>
    <w:rsid w:val="212631E0"/>
    <w:rsid w:val="219263AA"/>
    <w:rsid w:val="21975EAE"/>
    <w:rsid w:val="21A53757"/>
    <w:rsid w:val="221236C6"/>
    <w:rsid w:val="221F7512"/>
    <w:rsid w:val="22552F34"/>
    <w:rsid w:val="22D7662C"/>
    <w:rsid w:val="23326B7F"/>
    <w:rsid w:val="235C6C70"/>
    <w:rsid w:val="2380045B"/>
    <w:rsid w:val="23BC04D2"/>
    <w:rsid w:val="23EF1892"/>
    <w:rsid w:val="240A3547"/>
    <w:rsid w:val="2483647E"/>
    <w:rsid w:val="24A32D55"/>
    <w:rsid w:val="25292727"/>
    <w:rsid w:val="252E5CA9"/>
    <w:rsid w:val="256F7692"/>
    <w:rsid w:val="25BA2154"/>
    <w:rsid w:val="25C8773F"/>
    <w:rsid w:val="25CD5C03"/>
    <w:rsid w:val="264A7253"/>
    <w:rsid w:val="26755E2C"/>
    <w:rsid w:val="26F0170C"/>
    <w:rsid w:val="27201D62"/>
    <w:rsid w:val="27286E73"/>
    <w:rsid w:val="27CF2642"/>
    <w:rsid w:val="27E777F5"/>
    <w:rsid w:val="27EA1D4C"/>
    <w:rsid w:val="27EA2E41"/>
    <w:rsid w:val="282459E2"/>
    <w:rsid w:val="283A7FE5"/>
    <w:rsid w:val="285F51FF"/>
    <w:rsid w:val="28DF2665"/>
    <w:rsid w:val="28FB65E3"/>
    <w:rsid w:val="29072599"/>
    <w:rsid w:val="291029F3"/>
    <w:rsid w:val="297A7E50"/>
    <w:rsid w:val="29CB58F0"/>
    <w:rsid w:val="2A053397"/>
    <w:rsid w:val="2A145E96"/>
    <w:rsid w:val="2AD45722"/>
    <w:rsid w:val="2AF5378F"/>
    <w:rsid w:val="2B663E0D"/>
    <w:rsid w:val="2B823170"/>
    <w:rsid w:val="2BB94DBF"/>
    <w:rsid w:val="2C6F314E"/>
    <w:rsid w:val="2CC206BE"/>
    <w:rsid w:val="2CC34E10"/>
    <w:rsid w:val="2D1136DF"/>
    <w:rsid w:val="2D20606D"/>
    <w:rsid w:val="2D5B3AF4"/>
    <w:rsid w:val="2DB87198"/>
    <w:rsid w:val="2DB93C54"/>
    <w:rsid w:val="2E3D144C"/>
    <w:rsid w:val="2E891204"/>
    <w:rsid w:val="2F3F0A28"/>
    <w:rsid w:val="2F414F6C"/>
    <w:rsid w:val="2FBF7029"/>
    <w:rsid w:val="2FD0187F"/>
    <w:rsid w:val="2FD27414"/>
    <w:rsid w:val="2FF02C11"/>
    <w:rsid w:val="2FFE4BB0"/>
    <w:rsid w:val="300E7B60"/>
    <w:rsid w:val="300F6E18"/>
    <w:rsid w:val="306D28DE"/>
    <w:rsid w:val="30862F5F"/>
    <w:rsid w:val="312F7772"/>
    <w:rsid w:val="314029C9"/>
    <w:rsid w:val="31C63837"/>
    <w:rsid w:val="31C82E39"/>
    <w:rsid w:val="32601BAD"/>
    <w:rsid w:val="326A2A2B"/>
    <w:rsid w:val="329F6389"/>
    <w:rsid w:val="3389023A"/>
    <w:rsid w:val="33CB74FA"/>
    <w:rsid w:val="343642F2"/>
    <w:rsid w:val="343F3010"/>
    <w:rsid w:val="345D0A00"/>
    <w:rsid w:val="34713BFD"/>
    <w:rsid w:val="34C13589"/>
    <w:rsid w:val="353369E3"/>
    <w:rsid w:val="35B0680E"/>
    <w:rsid w:val="35E00D72"/>
    <w:rsid w:val="36965B9D"/>
    <w:rsid w:val="36C549FD"/>
    <w:rsid w:val="36C7044C"/>
    <w:rsid w:val="37A755DD"/>
    <w:rsid w:val="37F94FA0"/>
    <w:rsid w:val="380D3381"/>
    <w:rsid w:val="38115B1F"/>
    <w:rsid w:val="385E3AC3"/>
    <w:rsid w:val="387D6B9E"/>
    <w:rsid w:val="387E0FDF"/>
    <w:rsid w:val="38B75FF0"/>
    <w:rsid w:val="38D45016"/>
    <w:rsid w:val="38D90432"/>
    <w:rsid w:val="3914510A"/>
    <w:rsid w:val="3926770B"/>
    <w:rsid w:val="396E3348"/>
    <w:rsid w:val="398D3668"/>
    <w:rsid w:val="39DA0497"/>
    <w:rsid w:val="39EB67B1"/>
    <w:rsid w:val="3A893816"/>
    <w:rsid w:val="3A893B6D"/>
    <w:rsid w:val="3AD1763A"/>
    <w:rsid w:val="3B6716E3"/>
    <w:rsid w:val="3B6C6B2D"/>
    <w:rsid w:val="3C242659"/>
    <w:rsid w:val="3C4D31A2"/>
    <w:rsid w:val="3C96719C"/>
    <w:rsid w:val="3C9E39FD"/>
    <w:rsid w:val="3CA72BE8"/>
    <w:rsid w:val="3CF37F8C"/>
    <w:rsid w:val="3D137554"/>
    <w:rsid w:val="3D251C58"/>
    <w:rsid w:val="3D5275AC"/>
    <w:rsid w:val="3DCC2473"/>
    <w:rsid w:val="3DEB0883"/>
    <w:rsid w:val="3DFA425E"/>
    <w:rsid w:val="3E2527BF"/>
    <w:rsid w:val="3E5C147A"/>
    <w:rsid w:val="3E731662"/>
    <w:rsid w:val="3E8168DD"/>
    <w:rsid w:val="3EA7725F"/>
    <w:rsid w:val="3EB03713"/>
    <w:rsid w:val="3EBF1A11"/>
    <w:rsid w:val="3EC52607"/>
    <w:rsid w:val="3EEC6CEF"/>
    <w:rsid w:val="3F183429"/>
    <w:rsid w:val="3FB05F21"/>
    <w:rsid w:val="3FB77A1D"/>
    <w:rsid w:val="3FC624D0"/>
    <w:rsid w:val="3FDC3674"/>
    <w:rsid w:val="3FED7F8A"/>
    <w:rsid w:val="40094AEF"/>
    <w:rsid w:val="405470BD"/>
    <w:rsid w:val="40794A29"/>
    <w:rsid w:val="40834692"/>
    <w:rsid w:val="40FE0F0E"/>
    <w:rsid w:val="41431AD5"/>
    <w:rsid w:val="414B3C0F"/>
    <w:rsid w:val="417C1CE7"/>
    <w:rsid w:val="41900018"/>
    <w:rsid w:val="41944406"/>
    <w:rsid w:val="41CE128F"/>
    <w:rsid w:val="41DA6F12"/>
    <w:rsid w:val="41F06AA9"/>
    <w:rsid w:val="42171FB1"/>
    <w:rsid w:val="42F62B8D"/>
    <w:rsid w:val="434E6957"/>
    <w:rsid w:val="43BA0E31"/>
    <w:rsid w:val="43C15147"/>
    <w:rsid w:val="43E14DD2"/>
    <w:rsid w:val="43F800E9"/>
    <w:rsid w:val="443A7E4B"/>
    <w:rsid w:val="44890AEF"/>
    <w:rsid w:val="452F5B3A"/>
    <w:rsid w:val="454E7FD2"/>
    <w:rsid w:val="46061BDC"/>
    <w:rsid w:val="461404F8"/>
    <w:rsid w:val="46413018"/>
    <w:rsid w:val="464B7E04"/>
    <w:rsid w:val="465670F7"/>
    <w:rsid w:val="468041AA"/>
    <w:rsid w:val="468123C6"/>
    <w:rsid w:val="46901EEE"/>
    <w:rsid w:val="469C74D2"/>
    <w:rsid w:val="46AC31BB"/>
    <w:rsid w:val="46E93AC7"/>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91EEB"/>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145B08"/>
    <w:rsid w:val="4F334479"/>
    <w:rsid w:val="4F663C87"/>
    <w:rsid w:val="4F7C7BCE"/>
    <w:rsid w:val="4F7E29A8"/>
    <w:rsid w:val="4F9E1FFC"/>
    <w:rsid w:val="4FE631DE"/>
    <w:rsid w:val="50447CC2"/>
    <w:rsid w:val="50874A7C"/>
    <w:rsid w:val="50895EE7"/>
    <w:rsid w:val="50921B9D"/>
    <w:rsid w:val="50C7131D"/>
    <w:rsid w:val="50D16158"/>
    <w:rsid w:val="50DB5F45"/>
    <w:rsid w:val="51025EB1"/>
    <w:rsid w:val="51141503"/>
    <w:rsid w:val="518D0ED5"/>
    <w:rsid w:val="525C687F"/>
    <w:rsid w:val="529D3B81"/>
    <w:rsid w:val="52C8312A"/>
    <w:rsid w:val="52F647F7"/>
    <w:rsid w:val="52F92565"/>
    <w:rsid w:val="53083527"/>
    <w:rsid w:val="53D03877"/>
    <w:rsid w:val="542F73CA"/>
    <w:rsid w:val="5430786D"/>
    <w:rsid w:val="54C811C0"/>
    <w:rsid w:val="556A442D"/>
    <w:rsid w:val="5587107B"/>
    <w:rsid w:val="55DA564E"/>
    <w:rsid w:val="5604127D"/>
    <w:rsid w:val="56166703"/>
    <w:rsid w:val="564E7DEA"/>
    <w:rsid w:val="56510474"/>
    <w:rsid w:val="56861525"/>
    <w:rsid w:val="56A93273"/>
    <w:rsid w:val="56BD550C"/>
    <w:rsid w:val="56E07045"/>
    <w:rsid w:val="56EE27E4"/>
    <w:rsid w:val="56FF28AF"/>
    <w:rsid w:val="57540E7D"/>
    <w:rsid w:val="577B4878"/>
    <w:rsid w:val="57926973"/>
    <w:rsid w:val="58175352"/>
    <w:rsid w:val="581F2200"/>
    <w:rsid w:val="5827444F"/>
    <w:rsid w:val="583059FA"/>
    <w:rsid w:val="584A0929"/>
    <w:rsid w:val="58CD2491"/>
    <w:rsid w:val="591B41B2"/>
    <w:rsid w:val="59254A26"/>
    <w:rsid w:val="59326325"/>
    <w:rsid w:val="595C505B"/>
    <w:rsid w:val="595E55C3"/>
    <w:rsid w:val="596E7E20"/>
    <w:rsid w:val="59DD02DD"/>
    <w:rsid w:val="59E44CEE"/>
    <w:rsid w:val="5A60780B"/>
    <w:rsid w:val="5A8C0EE1"/>
    <w:rsid w:val="5AB34579"/>
    <w:rsid w:val="5AFC6609"/>
    <w:rsid w:val="5B113480"/>
    <w:rsid w:val="5B61411C"/>
    <w:rsid w:val="5BD456CE"/>
    <w:rsid w:val="5C0D1F49"/>
    <w:rsid w:val="5CBB0CE2"/>
    <w:rsid w:val="5CC17177"/>
    <w:rsid w:val="5CF306BC"/>
    <w:rsid w:val="5D3F3D64"/>
    <w:rsid w:val="5D833043"/>
    <w:rsid w:val="5DD92690"/>
    <w:rsid w:val="5DDB1CFD"/>
    <w:rsid w:val="5E7E6D93"/>
    <w:rsid w:val="5ED44800"/>
    <w:rsid w:val="5F350BDE"/>
    <w:rsid w:val="5F61632C"/>
    <w:rsid w:val="5FA17648"/>
    <w:rsid w:val="5FCB425A"/>
    <w:rsid w:val="5FE705CB"/>
    <w:rsid w:val="603D5080"/>
    <w:rsid w:val="60D0261B"/>
    <w:rsid w:val="61642270"/>
    <w:rsid w:val="618E3791"/>
    <w:rsid w:val="61947DCA"/>
    <w:rsid w:val="619A05C2"/>
    <w:rsid w:val="61A46A97"/>
    <w:rsid w:val="61D1382F"/>
    <w:rsid w:val="61DE64C6"/>
    <w:rsid w:val="61F114A2"/>
    <w:rsid w:val="62512BB4"/>
    <w:rsid w:val="625D7D1A"/>
    <w:rsid w:val="62BD2580"/>
    <w:rsid w:val="62DD7D21"/>
    <w:rsid w:val="637D586B"/>
    <w:rsid w:val="63A5560B"/>
    <w:rsid w:val="63E9091F"/>
    <w:rsid w:val="64322AF9"/>
    <w:rsid w:val="64946690"/>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270753"/>
    <w:rsid w:val="693748F0"/>
    <w:rsid w:val="69846A0E"/>
    <w:rsid w:val="69AD798C"/>
    <w:rsid w:val="69D005C0"/>
    <w:rsid w:val="69D80B96"/>
    <w:rsid w:val="6B150BE5"/>
    <w:rsid w:val="6B68175F"/>
    <w:rsid w:val="6BFD799F"/>
    <w:rsid w:val="6C3F5DB4"/>
    <w:rsid w:val="6C4A2E5A"/>
    <w:rsid w:val="6C8138D0"/>
    <w:rsid w:val="6CEF0725"/>
    <w:rsid w:val="6D036DE1"/>
    <w:rsid w:val="6D4B2604"/>
    <w:rsid w:val="6D8030E4"/>
    <w:rsid w:val="6E0E35C4"/>
    <w:rsid w:val="6E0F7A08"/>
    <w:rsid w:val="6E3947F5"/>
    <w:rsid w:val="6E9C74ED"/>
    <w:rsid w:val="6EF72976"/>
    <w:rsid w:val="6F795A80"/>
    <w:rsid w:val="6F7C1D2E"/>
    <w:rsid w:val="6F8E0407"/>
    <w:rsid w:val="6FDD069F"/>
    <w:rsid w:val="702B4D16"/>
    <w:rsid w:val="707149AA"/>
    <w:rsid w:val="70983CE4"/>
    <w:rsid w:val="70AA6621"/>
    <w:rsid w:val="70C90342"/>
    <w:rsid w:val="70DA42FD"/>
    <w:rsid w:val="7111480F"/>
    <w:rsid w:val="71261F49"/>
    <w:rsid w:val="712E6956"/>
    <w:rsid w:val="71473612"/>
    <w:rsid w:val="71504F32"/>
    <w:rsid w:val="7152309F"/>
    <w:rsid w:val="718F7F65"/>
    <w:rsid w:val="71A5490B"/>
    <w:rsid w:val="727B234E"/>
    <w:rsid w:val="72D068C7"/>
    <w:rsid w:val="72E42ED8"/>
    <w:rsid w:val="73171838"/>
    <w:rsid w:val="735F4CB9"/>
    <w:rsid w:val="73674C62"/>
    <w:rsid w:val="73845865"/>
    <w:rsid w:val="739B6D9E"/>
    <w:rsid w:val="73BC1D76"/>
    <w:rsid w:val="73FB6630"/>
    <w:rsid w:val="740B40F1"/>
    <w:rsid w:val="748D790E"/>
    <w:rsid w:val="749820CC"/>
    <w:rsid w:val="74CE04EC"/>
    <w:rsid w:val="74E76DCD"/>
    <w:rsid w:val="750A291C"/>
    <w:rsid w:val="751D7C0A"/>
    <w:rsid w:val="75722D56"/>
    <w:rsid w:val="75D67789"/>
    <w:rsid w:val="75DB5477"/>
    <w:rsid w:val="75FC6AC3"/>
    <w:rsid w:val="7616619B"/>
    <w:rsid w:val="765B5EE0"/>
    <w:rsid w:val="76660D7C"/>
    <w:rsid w:val="766C5968"/>
    <w:rsid w:val="76BE0C8F"/>
    <w:rsid w:val="76CC0B8C"/>
    <w:rsid w:val="76CD53B2"/>
    <w:rsid w:val="770719AC"/>
    <w:rsid w:val="776526CC"/>
    <w:rsid w:val="776963DA"/>
    <w:rsid w:val="77A262E1"/>
    <w:rsid w:val="77B13C33"/>
    <w:rsid w:val="77ED6F44"/>
    <w:rsid w:val="77F45548"/>
    <w:rsid w:val="784E7CA6"/>
    <w:rsid w:val="78574801"/>
    <w:rsid w:val="7873527F"/>
    <w:rsid w:val="78880AE2"/>
    <w:rsid w:val="790A6425"/>
    <w:rsid w:val="790E2D96"/>
    <w:rsid w:val="791B1956"/>
    <w:rsid w:val="791B54B2"/>
    <w:rsid w:val="795A0A34"/>
    <w:rsid w:val="797339C3"/>
    <w:rsid w:val="79D57D57"/>
    <w:rsid w:val="79F00650"/>
    <w:rsid w:val="7A3E58FC"/>
    <w:rsid w:val="7A6242BF"/>
    <w:rsid w:val="7A794513"/>
    <w:rsid w:val="7AD604F6"/>
    <w:rsid w:val="7AE952D2"/>
    <w:rsid w:val="7C976D69"/>
    <w:rsid w:val="7CD752DA"/>
    <w:rsid w:val="7CDE40AB"/>
    <w:rsid w:val="7CF057E2"/>
    <w:rsid w:val="7D1548B5"/>
    <w:rsid w:val="7DD65E4C"/>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6696</Words>
  <Characters>7620</Characters>
  <Lines>0</Lines>
  <Paragraphs>0</Paragraphs>
  <TotalTime>0</TotalTime>
  <ScaleCrop>false</ScaleCrop>
  <LinksUpToDate>false</LinksUpToDate>
  <CharactersWithSpaces>7631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竹酒＊</cp:lastModifiedBy>
  <dcterms:modified xsi:type="dcterms:W3CDTF">2024-09-02T08:10:36Z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D624B15633CD43C8BF9435464A96BF70</vt:lpwstr>
  </property>
</Properties>
</file>