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558F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6B800E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B8AF05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新疆维吾尔自治区塔里木河流域干流管理局中游管理处</w:t>
      </w:r>
    </w:p>
    <w:p w14:paraId="07B8A0A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4E5C6E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AEECBB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91976F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3A047E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D13B9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250B48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90A2E6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824BD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81FA1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C706E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15734B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43AC72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AD4010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C175D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CF050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7BD311B">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84F2A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77986F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099EEA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EFF821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22E74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A2C4D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B8985A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F58BC0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E8B74E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E467A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E0323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11DA5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7C625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DC61F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F57DC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CF140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38A26D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232A907">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7B71E12">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5C894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E3BD3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465226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Times New Roman"/>
          <w:sz w:val="32"/>
          <w:szCs w:val="32"/>
          <w:lang w:val="en-US" w:eastAsia="zh-CN"/>
        </w:rPr>
      </w:pPr>
      <w:bookmarkStart w:id="4" w:name="_Toc31238"/>
      <w:bookmarkStart w:id="5" w:name="_Toc2151"/>
      <w:r>
        <w:rPr>
          <w:rFonts w:hint="default" w:ascii="Times New Roman" w:hAnsi="Times New Roman" w:eastAsia="仿宋_GB2312" w:cs="Times New Roman"/>
          <w:sz w:val="32"/>
          <w:szCs w:val="32"/>
        </w:rPr>
        <w:t>塔里木河流域干流管理局中游管理处的主要工作职能是：</w:t>
      </w:r>
      <w:r>
        <w:rPr>
          <w:rFonts w:hint="eastAsia" w:ascii="Times New Roman" w:hAnsi="Times New Roman" w:eastAsia="仿宋_GB2312" w:cs="Times New Roman"/>
          <w:sz w:val="32"/>
          <w:szCs w:val="32"/>
          <w:lang w:val="en-US" w:eastAsia="zh-CN"/>
        </w:rPr>
        <w:t>为塔里木河干流中游水利工程提供管理保障。塔里木河英巴扎至恰拉河段水资源管理、河道管理、水利工程的运行管理、协调水事关系、干流中游水量调配。</w:t>
      </w:r>
    </w:p>
    <w:p w14:paraId="7C856B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4EE72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新疆维吾尔自治区塔里木河流域干流管理局中游管理处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14:paraId="4AD54D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14:paraId="180D83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98FEF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D1D51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44AB7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DCE21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F497B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3D54A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7C41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F486E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E5869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99574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6F1B3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A4E02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08E893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941.52万元，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941.52万元，使用非财政拨款结余0.00万元，年初结转和结余0.00万元。</w:t>
      </w:r>
    </w:p>
    <w:p w14:paraId="2B450A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941.52万元，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941.52万元，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18CB36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增加121.45万元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增长14.81%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年较2022年人员正常晋升、核增工资、职称</w:t>
      </w:r>
      <w:r>
        <w:rPr>
          <w:rFonts w:hint="eastAsia" w:ascii="仿宋_GB2312" w:eastAsia="仿宋_GB2312"/>
          <w:color w:val="auto"/>
          <w:spacing w:val="0"/>
          <w:sz w:val="32"/>
          <w:szCs w:val="32"/>
          <w:highlight w:val="none"/>
          <w:lang w:val="en-US" w:eastAsia="zh-CN"/>
        </w:rPr>
        <w:t>提高导致人员工资和公用支出</w:t>
      </w:r>
      <w:r>
        <w:rPr>
          <w:rFonts w:hint="eastAsia" w:ascii="仿宋_GB2312" w:eastAsia="仿宋_GB2312"/>
          <w:color w:val="auto"/>
          <w:spacing w:val="0"/>
          <w:sz w:val="32"/>
          <w:szCs w:val="32"/>
          <w:highlight w:val="none"/>
          <w:lang w:eastAsia="zh-CN"/>
        </w:rPr>
        <w:t>均有所增加。</w:t>
      </w:r>
    </w:p>
    <w:p w14:paraId="357147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EF271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941.52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941.52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A4D1D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EDB7F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本年支出941.52万元，其中：基本支出941.52万元，占100.00%；项目支出0.00万元，占0.00%；上缴上级支出0.00万元，占0.00%；经营支出0.00万元，占0.00%；对附属单位补助支出0.00万元，占0.00%。</w:t>
      </w:r>
    </w:p>
    <w:p w14:paraId="61031B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E4D4A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941.52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941.52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941.52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941.52</w:t>
      </w:r>
      <w:r>
        <w:rPr>
          <w:rFonts w:hint="eastAsia" w:ascii="仿宋_GB2312" w:eastAsia="仿宋_GB2312"/>
          <w:color w:val="auto"/>
          <w:spacing w:val="0"/>
          <w:sz w:val="32"/>
          <w:szCs w:val="32"/>
          <w:highlight w:val="none"/>
          <w:lang w:eastAsia="zh-CN"/>
        </w:rPr>
        <w:t>万元。</w:t>
      </w:r>
    </w:p>
    <w:p w14:paraId="580111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olor w:val="auto"/>
          <w:sz w:val="32"/>
          <w:szCs w:val="32"/>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增加121.45万元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增长14.81%，</w:t>
      </w:r>
      <w:r>
        <w:rPr>
          <w:rFonts w:hint="eastAsia" w:ascii="仿宋_GB2312" w:eastAsia="仿宋_GB2312"/>
          <w:color w:val="auto"/>
          <w:spacing w:val="0"/>
          <w:sz w:val="32"/>
          <w:szCs w:val="32"/>
          <w:highlight w:val="none"/>
          <w:lang w:eastAsia="zh-CN"/>
        </w:rPr>
        <w:t>主要原因是：职称</w:t>
      </w:r>
      <w:r>
        <w:rPr>
          <w:rFonts w:hint="eastAsia" w:ascii="仿宋_GB2312" w:eastAsia="仿宋_GB2312"/>
          <w:color w:val="auto"/>
          <w:spacing w:val="0"/>
          <w:sz w:val="32"/>
          <w:szCs w:val="32"/>
          <w:highlight w:val="none"/>
          <w:lang w:val="en-US" w:eastAsia="zh-CN"/>
        </w:rPr>
        <w:t>提高导致人员工资和公用支出</w:t>
      </w:r>
      <w:r>
        <w:rPr>
          <w:rFonts w:hint="eastAsia" w:ascii="仿宋_GB2312" w:eastAsia="仿宋_GB2312"/>
          <w:color w:val="auto"/>
          <w:spacing w:val="0"/>
          <w:sz w:val="32"/>
          <w:szCs w:val="32"/>
          <w:highlight w:val="none"/>
          <w:lang w:eastAsia="zh-CN"/>
        </w:rPr>
        <w:t>均有所增加。与年初预算相比，年初预算数</w:t>
      </w:r>
      <w:r>
        <w:rPr>
          <w:rFonts w:hint="eastAsia" w:ascii="仿宋_GB2312" w:eastAsia="仿宋_GB2312"/>
          <w:color w:val="auto"/>
          <w:spacing w:val="0"/>
          <w:sz w:val="32"/>
          <w:szCs w:val="32"/>
          <w:highlight w:val="none"/>
          <w:lang w:val="zh-CN" w:eastAsia="zh-CN"/>
        </w:rPr>
        <w:t>948.03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941.52</w:t>
      </w:r>
      <w:r>
        <w:rPr>
          <w:rFonts w:hint="eastAsia" w:ascii="仿宋_GB2312" w:eastAsia="仿宋_GB2312"/>
          <w:color w:val="auto"/>
          <w:spacing w:val="0"/>
          <w:sz w:val="32"/>
          <w:szCs w:val="32"/>
          <w:highlight w:val="none"/>
          <w:lang w:eastAsia="zh-CN"/>
        </w:rPr>
        <w:t>万元，预决算差异率-0.69%，主要原因是</w:t>
      </w:r>
      <w:r>
        <w:rPr>
          <w:rFonts w:hint="eastAsia" w:ascii="仿宋_GB2312" w:hAnsi="仿宋" w:eastAsia="仿宋_GB2312" w:cs="Times New Roman"/>
          <w:kern w:val="2"/>
          <w:sz w:val="32"/>
          <w:szCs w:val="32"/>
          <w:lang w:val="en-US" w:eastAsia="zh-CN" w:bidi="ar-SA"/>
        </w:rPr>
        <w:t>：</w:t>
      </w:r>
      <w:r>
        <w:rPr>
          <w:rFonts w:hint="eastAsia" w:ascii="仿宋_GB2312" w:hAnsi="仿宋" w:eastAsia="仿宋_GB2312" w:cs="Times New Roman"/>
          <w:color w:val="auto"/>
          <w:sz w:val="32"/>
          <w:szCs w:val="32"/>
          <w:lang w:val="en-US" w:eastAsia="zh-CN"/>
        </w:rPr>
        <w:t>公务接待资金未执行完毕及财政收回离退休人员基本医疗保险单位缴费部分资金。</w:t>
      </w:r>
    </w:p>
    <w:p w14:paraId="170355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28403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8F23B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2023年度一般公共预算财政拨款支出941.52万元，占本年支出合计的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增加121.45万元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增长14.81%，</w:t>
      </w:r>
      <w:r>
        <w:rPr>
          <w:rFonts w:hint="eastAsia" w:ascii="仿宋_GB2312" w:eastAsia="仿宋_GB2312"/>
          <w:color w:val="auto"/>
          <w:spacing w:val="0"/>
          <w:sz w:val="32"/>
          <w:szCs w:val="32"/>
          <w:highlight w:val="none"/>
          <w:lang w:eastAsia="zh-CN"/>
        </w:rPr>
        <w:t>主要原因是：职称</w:t>
      </w:r>
      <w:r>
        <w:rPr>
          <w:rFonts w:hint="eastAsia" w:ascii="仿宋_GB2312" w:eastAsia="仿宋_GB2312"/>
          <w:color w:val="auto"/>
          <w:spacing w:val="0"/>
          <w:sz w:val="32"/>
          <w:szCs w:val="32"/>
          <w:highlight w:val="none"/>
          <w:lang w:val="en-US" w:eastAsia="zh-CN"/>
        </w:rPr>
        <w:t>提高导致人员工资和公用支出</w:t>
      </w:r>
      <w:r>
        <w:rPr>
          <w:rFonts w:hint="eastAsia" w:ascii="仿宋_GB2312" w:eastAsia="仿宋_GB2312"/>
          <w:color w:val="auto"/>
          <w:spacing w:val="0"/>
          <w:sz w:val="32"/>
          <w:szCs w:val="32"/>
          <w:highlight w:val="none"/>
          <w:lang w:eastAsia="zh-CN"/>
        </w:rPr>
        <w:t>均有所增加，</w:t>
      </w:r>
      <w:r>
        <w:rPr>
          <w:rFonts w:hint="eastAsia" w:ascii="仿宋_GB2312" w:eastAsia="仿宋_GB2312"/>
          <w:color w:val="auto"/>
          <w:spacing w:val="0"/>
          <w:sz w:val="32"/>
          <w:szCs w:val="32"/>
          <w:highlight w:val="none"/>
          <w:lang w:val="en-US" w:eastAsia="zh-CN"/>
        </w:rPr>
        <w:t>所以一般公共预算财政拨款支出有所增长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948.03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941.52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-0.69%</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lang w:val="en-US" w:eastAsia="zh-CN"/>
        </w:rPr>
        <w:t>公务接待资金未执行完毕及财政收回离退休人员基本医疗保险单位缴费部分资金。</w:t>
      </w:r>
    </w:p>
    <w:p w14:paraId="58718C5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2FCF97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101.63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10.79</w:t>
      </w:r>
      <w:r>
        <w:rPr>
          <w:rFonts w:hint="default" w:ascii="仿宋_GB2312" w:hAnsi="Times New Roman" w:eastAsia="仿宋_GB2312" w:cs="Times New Roman"/>
          <w:color w:val="auto"/>
          <w:spacing w:val="0"/>
          <w:kern w:val="2"/>
          <w:sz w:val="32"/>
          <w:szCs w:val="32"/>
          <w:highlight w:val="none"/>
          <w:lang w:val="zh-CN" w:eastAsia="zh-CN" w:bidi="ar-SA"/>
        </w:rPr>
        <w:t>%；</w:t>
      </w:r>
    </w:p>
    <w:p w14:paraId="5428AB6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84.93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9.02</w:t>
      </w:r>
      <w:r>
        <w:rPr>
          <w:rFonts w:hint="default" w:ascii="仿宋_GB2312" w:hAnsi="Times New Roman" w:eastAsia="仿宋_GB2312" w:cs="Times New Roman"/>
          <w:color w:val="auto"/>
          <w:spacing w:val="0"/>
          <w:kern w:val="2"/>
          <w:sz w:val="32"/>
          <w:szCs w:val="32"/>
          <w:highlight w:val="none"/>
          <w:lang w:val="zh-CN" w:eastAsia="zh-CN" w:bidi="ar-SA"/>
        </w:rPr>
        <w:t>%；</w:t>
      </w:r>
    </w:p>
    <w:p w14:paraId="44DA66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684.67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72.72</w:t>
      </w:r>
      <w:r>
        <w:rPr>
          <w:rFonts w:hint="default" w:ascii="仿宋_GB2312" w:hAnsi="Times New Roman" w:eastAsia="仿宋_GB2312" w:cs="Times New Roman"/>
          <w:color w:val="auto"/>
          <w:spacing w:val="0"/>
          <w:kern w:val="2"/>
          <w:sz w:val="32"/>
          <w:szCs w:val="32"/>
          <w:highlight w:val="none"/>
          <w:lang w:val="zh-CN" w:eastAsia="zh-CN" w:bidi="ar-SA"/>
        </w:rPr>
        <w:t>%；</w:t>
      </w:r>
    </w:p>
    <w:p w14:paraId="09E90A0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70.29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7.47</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349E12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635E9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1.卫生健康支出（类）行政事业单位医疗（款）事业单位医疗（项）:支出决算数为43.93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：与上年支出决算数一致，无变化。</w:t>
      </w:r>
    </w:p>
    <w:p w14:paraId="6C071E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20.01%，主要原因是：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，社会保障缴费基数增加，导致公务员医疗补助缴费增加</w:t>
      </w:r>
      <w:r>
        <w:rPr>
          <w:rFonts w:hint="eastAsia" w:eastAsia="仿宋_GB2312" w:cs="Times New Roman"/>
          <w:color w:val="auto"/>
          <w:kern w:val="2"/>
          <w:sz w:val="32"/>
          <w:szCs w:val="32"/>
          <w:highlight w:val="none"/>
          <w:lang w:val="zh-CN" w:eastAsia="zh-CN" w:bidi="ar-SA"/>
        </w:rPr>
        <w:t>。</w:t>
      </w:r>
    </w:p>
    <w:p w14:paraId="227D4D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3.住房保障支出（类）住房改革支出（款）住房公积金（项）:支出决算数为70.29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15.89%，主要原因是：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，住房公积金缴费基数增加，导致住房公积金缴费增加</w:t>
      </w:r>
      <w:r>
        <w:rPr>
          <w:rFonts w:hint="eastAsia" w:eastAsia="仿宋_GB2312" w:cs="Times New Roman"/>
          <w:color w:val="auto"/>
          <w:kern w:val="2"/>
          <w:sz w:val="32"/>
          <w:szCs w:val="32"/>
          <w:highlight w:val="none"/>
          <w:lang w:val="zh-CN" w:eastAsia="zh-CN" w:bidi="ar-SA"/>
        </w:rPr>
        <w:t>。</w:t>
      </w:r>
    </w:p>
    <w:p w14:paraId="676266C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4.农林水支出（类）水利（款）水利工程运行与维护（项）:支出决算数为684.67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90.38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15.21%，主要原因是：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，导致工资、社保住房公积金缴费增加</w:t>
      </w:r>
      <w:r>
        <w:rPr>
          <w:rFonts w:hint="eastAsia" w:eastAsia="仿宋_GB2312" w:cs="Times New Roman"/>
          <w:color w:val="auto"/>
          <w:kern w:val="2"/>
          <w:sz w:val="32"/>
          <w:szCs w:val="32"/>
          <w:highlight w:val="none"/>
          <w:lang w:val="zh-CN" w:eastAsia="zh-CN" w:bidi="ar-SA"/>
        </w:rPr>
        <w:t>。</w:t>
      </w:r>
    </w:p>
    <w:p w14:paraId="0D7DAA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5.社会保障和就业支出（类）行政事业单位养老支出（款）事业单位离退休（项）:支出决算数为7.91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因</w:t>
      </w:r>
      <w:r>
        <w:rPr>
          <w:rFonts w:hint="eastAsia" w:ascii="Times New Roman" w:hAnsi="Times New Roman" w:eastAsia="仿宋_GB2312" w:cs="Times New Roman"/>
          <w:color w:val="auto"/>
          <w:kern w:val="2"/>
          <w:sz w:val="32"/>
          <w:szCs w:val="32"/>
          <w:highlight w:val="none"/>
          <w:lang w:val="en-US" w:eastAsia="zh-CN" w:bidi="ar-SA"/>
        </w:rPr>
        <w:t>离退休人</w:t>
      </w:r>
      <w:r>
        <w:rPr>
          <w:rFonts w:hint="eastAsia" w:eastAsia="仿宋_GB2312" w:cs="Times New Roman"/>
          <w:color w:val="auto"/>
          <w:kern w:val="2"/>
          <w:sz w:val="32"/>
          <w:szCs w:val="32"/>
          <w:highlight w:val="none"/>
          <w:lang w:val="en-US" w:eastAsia="zh-CN" w:bidi="ar-SA"/>
        </w:rPr>
        <w:t>员</w:t>
      </w:r>
      <w:r>
        <w:rPr>
          <w:rFonts w:hint="eastAsia" w:ascii="Times New Roman" w:hAnsi="Times New Roman" w:eastAsia="仿宋_GB2312" w:cs="Times New Roman"/>
          <w:color w:val="auto"/>
          <w:kern w:val="2"/>
          <w:sz w:val="32"/>
          <w:szCs w:val="32"/>
          <w:highlight w:val="none"/>
          <w:lang w:val="en-US" w:eastAsia="zh-CN" w:bidi="ar-SA"/>
        </w:rPr>
        <w:t>绩效奖增加，导致事业单位离退休费用增加</w:t>
      </w:r>
      <w:r>
        <w:rPr>
          <w:rFonts w:hint="eastAsia" w:eastAsia="仿宋_GB2312" w:cs="Times New Roman"/>
          <w:color w:val="auto"/>
          <w:kern w:val="2"/>
          <w:sz w:val="32"/>
          <w:szCs w:val="32"/>
          <w:highlight w:val="none"/>
          <w:lang w:val="zh-CN" w:eastAsia="zh-CN" w:bidi="ar-SA"/>
        </w:rPr>
        <w:t>。</w:t>
      </w:r>
    </w:p>
    <w:p w14:paraId="73F23E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6.社会保障和就业支出（类）行政事业单位养老支出（款）机关事业单位基本养老保险缴费支出（项）:支出决算数为93.72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15.89%，主要原因是：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14:paraId="143CDF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57598C7">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941.52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882.20</w:t>
      </w:r>
      <w:r>
        <w:rPr>
          <w:rFonts w:hint="eastAsia" w:ascii="仿宋_GB2312" w:eastAsia="仿宋_GB2312"/>
          <w:color w:val="auto"/>
          <w:sz w:val="32"/>
          <w:szCs w:val="32"/>
          <w:highlight w:val="none"/>
        </w:rPr>
        <w:t>万元，</w:t>
      </w:r>
      <w:r>
        <w:rPr>
          <w:rFonts w:hint="eastAsia" w:ascii="仿宋_GB2312" w:eastAsia="仿宋_GB2312"/>
          <w:sz w:val="32"/>
          <w:szCs w:val="32"/>
        </w:rPr>
        <w:t>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72D6BDA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59.32</w:t>
      </w:r>
      <w:r>
        <w:rPr>
          <w:rFonts w:hint="eastAsia" w:ascii="仿宋_GB2312" w:eastAsia="仿宋_GB2312"/>
          <w:color w:val="auto"/>
          <w:sz w:val="32"/>
          <w:szCs w:val="32"/>
          <w:highlight w:val="none"/>
        </w:rPr>
        <w:t>万元，</w:t>
      </w:r>
      <w:r>
        <w:rPr>
          <w:rFonts w:hint="eastAsia" w:ascii="仿宋_GB2312" w:eastAsia="仿宋_GB2312"/>
          <w:sz w:val="32"/>
          <w:szCs w:val="32"/>
        </w:rPr>
        <w:t>包括：</w:t>
      </w:r>
      <w:r>
        <w:rPr>
          <w:rFonts w:hint="default" w:ascii="Times New Roman" w:hAnsi="Times New Roman" w:eastAsia="仿宋_GB2312" w:cs="Times New Roman"/>
          <w:color w:val="auto"/>
          <w:sz w:val="32"/>
          <w:szCs w:val="32"/>
          <w:highlight w:val="none"/>
          <w:lang w:val="en-US" w:eastAsia="zh-CN"/>
        </w:rPr>
        <w:t>办公费、水费、电费、取暖费、差旅费、公务接待费、工会经费、福利费、公务用车运行维护费、其他商品和服务支出。</w:t>
      </w:r>
    </w:p>
    <w:p w14:paraId="5FB6623B">
      <w:pPr>
        <w:ind w:firstLine="640" w:firstLineChars="200"/>
        <w:rPr>
          <w:rFonts w:hint="default" w:ascii="仿宋_GB2312" w:eastAsia="仿宋_GB2312"/>
          <w:color w:val="auto"/>
          <w:sz w:val="32"/>
          <w:szCs w:val="32"/>
          <w:highlight w:val="red"/>
          <w:lang w:val="en-US" w:eastAsia="zh-CN"/>
        </w:rPr>
      </w:pPr>
    </w:p>
    <w:p w14:paraId="589FA1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9D5273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“三公”经费支出1.73万元，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增加0.10万元，增长6.</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lang w:val="zh-CN" w:eastAsia="zh-CN"/>
        </w:rPr>
        <w:t>%，主要原因是：按工作实际支出，公务接待较上年有所增加，未超预算。其中：因公出国（境）费支出0.00万元，占0.00%，比上年增加0.00万元，增长0.00%，主要原因是：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；公务用车购置及运行维护费支出1.43万元，占82.</w:t>
      </w:r>
      <w:r>
        <w:rPr>
          <w:rFonts w:hint="eastAsia" w:ascii="仿宋_GB2312" w:eastAsia="仿宋_GB2312"/>
          <w:color w:val="auto"/>
          <w:sz w:val="32"/>
          <w:szCs w:val="32"/>
          <w:highlight w:val="none"/>
          <w:lang w:val="en-US" w:eastAsia="zh-CN"/>
        </w:rPr>
        <w:t>66</w:t>
      </w:r>
      <w:r>
        <w:rPr>
          <w:rFonts w:hint="eastAsia" w:ascii="仿宋_GB2312" w:eastAsia="仿宋_GB2312"/>
          <w:color w:val="auto"/>
          <w:sz w:val="32"/>
          <w:szCs w:val="32"/>
          <w:highlight w:val="none"/>
          <w:lang w:val="zh-CN" w:eastAsia="zh-CN"/>
        </w:rPr>
        <w:t>%，比上年增加0.00万元，增长0.00%，主要原因是：</w:t>
      </w:r>
      <w:r>
        <w:rPr>
          <w:rFonts w:ascii="仿宋_GB2312" w:eastAsia="仿宋_GB2312"/>
          <w:sz w:val="32"/>
          <w:szCs w:val="32"/>
        </w:rPr>
        <w:t>公务用车运行维护费与上年一致，无差异</w:t>
      </w:r>
      <w:r>
        <w:rPr>
          <w:rFonts w:hint="eastAsia" w:ascii="仿宋_GB2312" w:eastAsia="仿宋_GB2312"/>
          <w:color w:val="auto"/>
          <w:sz w:val="32"/>
          <w:szCs w:val="32"/>
          <w:highlight w:val="none"/>
          <w:lang w:val="zh-CN" w:eastAsia="zh-CN"/>
        </w:rPr>
        <w:t>；公务接待费支出0.30万元，占17.</w:t>
      </w:r>
      <w:r>
        <w:rPr>
          <w:rFonts w:hint="eastAsia" w:ascii="仿宋_GB2312" w:eastAsia="仿宋_GB2312"/>
          <w:color w:val="auto"/>
          <w:sz w:val="32"/>
          <w:szCs w:val="32"/>
          <w:highlight w:val="none"/>
          <w:lang w:val="en-US" w:eastAsia="zh-CN"/>
        </w:rPr>
        <w:t>34</w:t>
      </w:r>
      <w:r>
        <w:rPr>
          <w:rFonts w:hint="eastAsia" w:ascii="仿宋_GB2312" w:eastAsia="仿宋_GB2312"/>
          <w:color w:val="auto"/>
          <w:sz w:val="32"/>
          <w:szCs w:val="32"/>
          <w:highlight w:val="none"/>
          <w:lang w:val="zh-CN" w:eastAsia="zh-CN"/>
        </w:rPr>
        <w:t>%，比上年增加0.10万元，增长5</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.00%，主要原因是：</w:t>
      </w:r>
      <w:r>
        <w:rPr>
          <w:rFonts w:hint="default" w:ascii="Times New Roman" w:hAnsi="Times New Roman" w:eastAsia="仿宋_GB2312" w:cs="Times New Roman"/>
          <w:color w:val="auto"/>
          <w:sz w:val="32"/>
          <w:szCs w:val="32"/>
          <w:highlight w:val="none"/>
          <w:lang w:val="en-US" w:eastAsia="zh-CN"/>
        </w:rPr>
        <w:t>2023年塔河向下游生态输水效果显著，新闻报道宣传团队和科研课题团队来访增加，导致公务接待费支出略增</w:t>
      </w:r>
      <w:r>
        <w:rPr>
          <w:rFonts w:hint="eastAsia" w:ascii="仿宋_GB2312" w:eastAsia="仿宋_GB2312"/>
          <w:color w:val="auto"/>
          <w:sz w:val="32"/>
          <w:szCs w:val="32"/>
          <w:highlight w:val="none"/>
          <w:lang w:val="zh-CN" w:eastAsia="zh-CN"/>
        </w:rPr>
        <w:t>，未超预算。</w:t>
      </w:r>
    </w:p>
    <w:p w14:paraId="4395C78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AB07F6A">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7655FFD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公务用车购置及运行维护费1.43万元，其中：公务用车购置费0.00万元，公务用车运行维护费1.43万元。</w:t>
      </w:r>
      <w:r>
        <w:rPr>
          <w:rFonts w:hint="eastAsia" w:ascii="仿宋_GB2312" w:eastAsia="仿宋_GB2312"/>
          <w:sz w:val="32"/>
          <w:szCs w:val="32"/>
        </w:rPr>
        <w:t>公务用车运行维护费开支内容包括202</w:t>
      </w:r>
      <w:r>
        <w:rPr>
          <w:rFonts w:hint="eastAsia" w:ascii="仿宋_GB2312" w:eastAsia="仿宋_GB2312"/>
          <w:sz w:val="32"/>
          <w:szCs w:val="32"/>
          <w:lang w:val="en-US" w:eastAsia="zh-CN"/>
        </w:rPr>
        <w:t>3</w:t>
      </w:r>
      <w:r>
        <w:rPr>
          <w:rFonts w:hint="eastAsia" w:ascii="仿宋_GB2312" w:eastAsia="仿宋_GB2312"/>
          <w:sz w:val="32"/>
          <w:szCs w:val="32"/>
        </w:rPr>
        <w:t>年公务用车燃料费、维修费、过路过桥费、保险费</w:t>
      </w:r>
      <w:r>
        <w:rPr>
          <w:rFonts w:hint="eastAsia" w:ascii="仿宋_GB2312" w:eastAsia="仿宋_GB2312"/>
          <w:sz w:val="32"/>
          <w:szCs w:val="32"/>
          <w:lang w:val="en-US" w:eastAsia="zh-CN"/>
        </w:rPr>
        <w:t>等</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公务用车保有量4辆车为自有资金购买的车辆，未在</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中固定资产车辆列示</w:t>
      </w:r>
      <w:r>
        <w:rPr>
          <w:rFonts w:hint="eastAsia" w:ascii="仿宋_GB2312" w:eastAsia="仿宋_GB2312"/>
          <w:color w:val="auto"/>
          <w:sz w:val="32"/>
          <w:szCs w:val="32"/>
          <w:highlight w:val="none"/>
          <w:lang w:val="zh-CN" w:eastAsia="zh-CN"/>
        </w:rPr>
        <w:t>。</w:t>
      </w:r>
    </w:p>
    <w:p w14:paraId="64590EA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公务接待费0.30万元，</w:t>
      </w:r>
      <w:r>
        <w:rPr>
          <w:rFonts w:hint="eastAsia" w:ascii="仿宋_GB2312" w:eastAsia="仿宋_GB2312"/>
          <w:sz w:val="32"/>
          <w:szCs w:val="32"/>
        </w:rPr>
        <w:t>开支内容包括接待上级单位及业务往来单位就餐费。</w:t>
      </w:r>
      <w:r>
        <w:rPr>
          <w:rFonts w:hint="eastAsia" w:ascii="仿宋_GB2312" w:eastAsia="仿宋_GB2312"/>
          <w:color w:val="auto"/>
          <w:sz w:val="32"/>
          <w:szCs w:val="32"/>
          <w:highlight w:val="none"/>
          <w:lang w:val="zh-CN" w:eastAsia="zh-CN"/>
        </w:rPr>
        <w:t>单位全年安排的国内公务接待2批次，38人次。</w:t>
      </w:r>
    </w:p>
    <w:p w14:paraId="5DAD03E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预算数1.73万元，决算数1.73万元，预决算差异率0.00%，主要原因是：</w:t>
      </w:r>
      <w:r>
        <w:rPr>
          <w:rFonts w:hint="eastAsia" w:ascii="仿宋_GB2312" w:eastAsia="仿宋_GB2312"/>
          <w:sz w:val="32"/>
          <w:szCs w:val="32"/>
        </w:rPr>
        <w:t>“三公”经费预决算一致，无差异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预算数1.43万元，决算数1.43万元，预决算差异率0.00%，主要原因是：</w:t>
      </w:r>
      <w:r>
        <w:rPr>
          <w:rFonts w:hint="eastAsia" w:ascii="仿宋_GB2312" w:eastAsia="仿宋_GB2312"/>
          <w:sz w:val="32"/>
          <w:szCs w:val="32"/>
        </w:rPr>
        <w:t>公务用车运行费预决算一致，无差异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预算数0.30万元，决算数0.30万元，预决算差异率0.00%，主要原因是：</w:t>
      </w:r>
      <w:r>
        <w:rPr>
          <w:rFonts w:hint="eastAsia" w:ascii="仿宋_GB2312" w:eastAsia="仿宋_GB2312"/>
          <w:sz w:val="32"/>
          <w:szCs w:val="32"/>
        </w:rPr>
        <w:t>公务接待费预决算一致，无差异</w:t>
      </w:r>
      <w:r>
        <w:rPr>
          <w:rFonts w:hint="eastAsia" w:ascii="仿宋_GB2312" w:eastAsia="仿宋_GB2312"/>
          <w:color w:val="auto"/>
          <w:sz w:val="32"/>
          <w:szCs w:val="32"/>
          <w:highlight w:val="none"/>
          <w:lang w:val="zh-CN" w:eastAsia="zh-CN"/>
        </w:rPr>
        <w:t>。</w:t>
      </w:r>
    </w:p>
    <w:p w14:paraId="4E82E4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0B8AFB2">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6FB5A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0889631">
      <w:pPr>
        <w:ind w:firstLine="640" w:firstLineChars="200"/>
        <w:rPr>
          <w:rFonts w:ascii="仿宋_GB2312" w:eastAsia="仿宋_GB2312"/>
          <w:sz w:val="32"/>
          <w:szCs w:val="32"/>
        </w:rPr>
      </w:pPr>
      <w:bookmarkStart w:id="48" w:name="_GoBack"/>
      <w:bookmarkEnd w:id="48"/>
      <w:bookmarkStart w:id="20" w:name="_Toc7314"/>
      <w:bookmarkStart w:id="21" w:name="_Toc1235"/>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8D9C3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6AFF0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2C00766">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新疆维吾尔自治区塔里木河流域干流管理局中游管理处</w:t>
      </w:r>
      <w:r>
        <w:rPr>
          <w:rFonts w:hint="eastAsia" w:ascii="Times New Roman" w:hAnsi="Times New Roman" w:eastAsia="仿宋_GB2312" w:cs="Times New Roman"/>
          <w:color w:val="auto"/>
          <w:sz w:val="32"/>
          <w:szCs w:val="32"/>
          <w:highlight w:val="none"/>
          <w:lang w:val="zh-CN" w:eastAsia="zh-CN"/>
        </w:rPr>
        <w:t>（事业单位）公用经费支出59.32万元，比上年减少0.85万元，下降1.42%，主要原因是：</w:t>
      </w:r>
      <w:r>
        <w:rPr>
          <w:rFonts w:hint="eastAsia" w:eastAsia="仿宋_GB2312" w:cs="Times New Roman"/>
          <w:color w:val="auto"/>
          <w:sz w:val="32"/>
          <w:szCs w:val="32"/>
          <w:highlight w:val="none"/>
          <w:lang w:val="en-US" w:eastAsia="zh-CN"/>
        </w:rPr>
        <w:t>1.</w:t>
      </w:r>
      <w:r>
        <w:rPr>
          <w:rFonts w:hint="eastAsia" w:ascii="仿宋_GB2312" w:eastAsia="仿宋_GB2312"/>
          <w:sz w:val="32"/>
          <w:szCs w:val="32"/>
          <w:lang w:val="en-US" w:eastAsia="zh-CN"/>
        </w:rPr>
        <w:t>因在职人员人数有所减少；2.</w:t>
      </w:r>
      <w:r>
        <w:rPr>
          <w:rFonts w:hint="default" w:ascii="Times New Roman" w:hAnsi="Times New Roman" w:eastAsia="仿宋_GB2312" w:cs="Times New Roman"/>
          <w:color w:val="auto"/>
          <w:sz w:val="32"/>
          <w:szCs w:val="32"/>
          <w:highlight w:val="none"/>
          <w:lang w:val="en-US" w:eastAsia="zh-CN"/>
        </w:rPr>
        <w:t>我单位全面落实“过紧日子”要求，厉行勤俭节约，压减</w:t>
      </w:r>
      <w:r>
        <w:rPr>
          <w:rFonts w:hint="default" w:ascii="Times New Roman" w:hAnsi="Times New Roman" w:eastAsia="仿宋_GB2312" w:cs="Times New Roman"/>
          <w:color w:val="auto"/>
          <w:sz w:val="32"/>
          <w:szCs w:val="32"/>
          <w:highlight w:val="none"/>
          <w:lang w:val="zh-CN" w:eastAsia="zh-CN"/>
        </w:rPr>
        <w:t>公用经费支出</w:t>
      </w:r>
      <w:r>
        <w:rPr>
          <w:rFonts w:hint="default" w:ascii="Times New Roman" w:hAnsi="Times New Roman" w:eastAsia="仿宋_GB2312" w:cs="Times New Roman"/>
          <w:color w:val="auto"/>
          <w:sz w:val="32"/>
          <w:szCs w:val="32"/>
          <w:highlight w:val="none"/>
          <w:lang w:val="en-US" w:eastAsia="zh-CN"/>
        </w:rPr>
        <w:t>。</w:t>
      </w:r>
    </w:p>
    <w:p w14:paraId="432E49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2AAD2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33.19万元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其中：政府采购货物支出14.48万元、政府采购工程支出0.00万元、政府采购服务支出18.71万元。</w:t>
      </w:r>
    </w:p>
    <w:p w14:paraId="4DBDCA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授予中小企业合同金额31.49万元，占政府采购支出总额的94.88</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，其中：授予小微企业合同金额28.12万元，占政府采购支出总额的84.71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0F673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6C546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14C97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3AAAF42">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年度开展预算绩效评价项目</w:t>
      </w:r>
      <w:r>
        <w:rPr>
          <w:rFonts w:ascii="仿宋_GB2312" w:eastAsia="仿宋_GB2312"/>
          <w:sz w:val="32"/>
          <w:szCs w:val="32"/>
        </w:rPr>
        <w:t>0</w:t>
      </w:r>
      <w:r>
        <w:rPr>
          <w:rFonts w:hint="eastAsia" w:ascii="仿宋_GB2312" w:eastAsia="仿宋_GB2312"/>
          <w:sz w:val="32"/>
          <w:szCs w:val="32"/>
        </w:rPr>
        <w:t>个，全年预算数0.00万元，全年执行数0.00万元，我单位整体支出绩效自评表由主管部门编报并公开。预算绩效管理取得的成效：</w:t>
      </w:r>
      <w:r>
        <w:rPr>
          <w:rFonts w:ascii="仿宋_GB2312" w:eastAsia="仿宋_GB2312"/>
          <w:sz w:val="32"/>
          <w:szCs w:val="32"/>
        </w:rPr>
        <w:t>干流管理局中游管理处无项目支出，无预算绩效自评</w:t>
      </w:r>
      <w:r>
        <w:rPr>
          <w:rFonts w:hint="eastAsia" w:ascii="仿宋_GB2312" w:eastAsia="仿宋_GB2312"/>
          <w:sz w:val="32"/>
          <w:szCs w:val="32"/>
        </w:rPr>
        <w:t>。发现的问题及原因：</w:t>
      </w:r>
      <w:r>
        <w:rPr>
          <w:rFonts w:ascii="仿宋_GB2312" w:eastAsia="仿宋_GB2312"/>
          <w:sz w:val="32"/>
          <w:szCs w:val="32"/>
        </w:rPr>
        <w:t>干流管理局中游管理处无项目支出，无预算绩效自评</w:t>
      </w:r>
      <w:r>
        <w:rPr>
          <w:rFonts w:hint="eastAsia" w:ascii="仿宋_GB2312" w:eastAsia="仿宋_GB2312"/>
          <w:sz w:val="32"/>
          <w:szCs w:val="32"/>
        </w:rPr>
        <w:t>。下一步改进措施：</w:t>
      </w:r>
      <w:r>
        <w:rPr>
          <w:rFonts w:ascii="仿宋_GB2312" w:eastAsia="仿宋_GB2312"/>
          <w:sz w:val="32"/>
          <w:szCs w:val="32"/>
        </w:rPr>
        <w:t>干流管理局中游管理处无项目支出，无预算绩效自评</w:t>
      </w:r>
      <w:r>
        <w:rPr>
          <w:rFonts w:hint="eastAsia" w:ascii="仿宋_GB2312" w:eastAsia="仿宋_GB2312"/>
          <w:sz w:val="32"/>
          <w:szCs w:val="32"/>
        </w:rPr>
        <w:t>。</w:t>
      </w:r>
    </w:p>
    <w:p w14:paraId="5388D58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C4C8FD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w:t>
      </w:r>
    </w:p>
    <w:p w14:paraId="1E5A8538">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2F9E3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ABC333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812437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381F75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08A88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0E745E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2A4406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F23A7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787A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4022D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60698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58970F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FE55A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02FDAED">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1B197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D3BBF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09B208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485D35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DDA1B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194E9C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D6644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90B94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78B0C7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C66BD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CE387C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B532F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BFFD27-4550-45EC-970B-9B594114CF1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61FD224-C75B-4414-9B7F-41DFB810D595}"/>
  </w:font>
  <w:font w:name="仿宋_GB2312">
    <w:panose1 w:val="02010609030101010101"/>
    <w:charset w:val="86"/>
    <w:family w:val="modern"/>
    <w:pitch w:val="default"/>
    <w:sig w:usb0="00000001" w:usb1="080E0000" w:usb2="00000000" w:usb3="00000000" w:csb0="00040000" w:csb1="00000000"/>
    <w:embedRegular r:id="rId3" w:fontKey="{4FFF2FF4-DA99-4F02-A895-B91B3B3A509F}"/>
  </w:font>
  <w:font w:name="仿宋">
    <w:panose1 w:val="02010609060101010101"/>
    <w:charset w:val="86"/>
    <w:family w:val="auto"/>
    <w:pitch w:val="default"/>
    <w:sig w:usb0="800002BF" w:usb1="38CF7CFA" w:usb2="00000016" w:usb3="00000000" w:csb0="00040001" w:csb1="00000000"/>
    <w:embedRegular r:id="rId4" w:fontKey="{41B90F61-B49E-4453-81C3-0650DA2E6F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4618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D9585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FD9585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MzgzODgyMmVhZDY3MzEyOTJlMWY2MGNkOTFiY2U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67442D"/>
    <w:rsid w:val="06792773"/>
    <w:rsid w:val="07093795"/>
    <w:rsid w:val="074454CF"/>
    <w:rsid w:val="0777317C"/>
    <w:rsid w:val="07804730"/>
    <w:rsid w:val="079052BE"/>
    <w:rsid w:val="08145C21"/>
    <w:rsid w:val="08422688"/>
    <w:rsid w:val="085854ED"/>
    <w:rsid w:val="0879188F"/>
    <w:rsid w:val="089B7553"/>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C0133B"/>
    <w:rsid w:val="112E58D0"/>
    <w:rsid w:val="11731CAC"/>
    <w:rsid w:val="119500A0"/>
    <w:rsid w:val="11C0733B"/>
    <w:rsid w:val="11D50D17"/>
    <w:rsid w:val="120E0809"/>
    <w:rsid w:val="127F665A"/>
    <w:rsid w:val="12F7068C"/>
    <w:rsid w:val="137D5290"/>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CD7B87"/>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455111"/>
    <w:rsid w:val="1FA15E62"/>
    <w:rsid w:val="1FED69B6"/>
    <w:rsid w:val="2064678E"/>
    <w:rsid w:val="20DC1AB9"/>
    <w:rsid w:val="20DD6197"/>
    <w:rsid w:val="212631E0"/>
    <w:rsid w:val="21A53757"/>
    <w:rsid w:val="220932F7"/>
    <w:rsid w:val="221236C6"/>
    <w:rsid w:val="22D7662C"/>
    <w:rsid w:val="23326B7F"/>
    <w:rsid w:val="2380045B"/>
    <w:rsid w:val="23BC04D2"/>
    <w:rsid w:val="23EF1892"/>
    <w:rsid w:val="2483647E"/>
    <w:rsid w:val="24A32D55"/>
    <w:rsid w:val="25292727"/>
    <w:rsid w:val="252E5CA9"/>
    <w:rsid w:val="256F7692"/>
    <w:rsid w:val="25BA2154"/>
    <w:rsid w:val="25C8773F"/>
    <w:rsid w:val="25EC3BA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104399"/>
    <w:rsid w:val="29CB58F0"/>
    <w:rsid w:val="2A053397"/>
    <w:rsid w:val="2A145E96"/>
    <w:rsid w:val="2AF5378F"/>
    <w:rsid w:val="2B683CD8"/>
    <w:rsid w:val="2BB94DBF"/>
    <w:rsid w:val="2C6F314E"/>
    <w:rsid w:val="2CC206BE"/>
    <w:rsid w:val="2CD0356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514B48"/>
    <w:rsid w:val="35E00D72"/>
    <w:rsid w:val="36965B9D"/>
    <w:rsid w:val="36C549FD"/>
    <w:rsid w:val="375515B4"/>
    <w:rsid w:val="378B4C6E"/>
    <w:rsid w:val="37A755DD"/>
    <w:rsid w:val="37EF5949"/>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8579DB"/>
    <w:rsid w:val="3EA7725F"/>
    <w:rsid w:val="3EB03713"/>
    <w:rsid w:val="3EBC7034"/>
    <w:rsid w:val="3EBF1A11"/>
    <w:rsid w:val="3EC52607"/>
    <w:rsid w:val="3EEC6CEF"/>
    <w:rsid w:val="3F183429"/>
    <w:rsid w:val="3FB77A1D"/>
    <w:rsid w:val="3FDC3674"/>
    <w:rsid w:val="3FED7F8A"/>
    <w:rsid w:val="40094AEF"/>
    <w:rsid w:val="405470BD"/>
    <w:rsid w:val="40794A29"/>
    <w:rsid w:val="40834692"/>
    <w:rsid w:val="410447B3"/>
    <w:rsid w:val="41431AD5"/>
    <w:rsid w:val="414B3C0F"/>
    <w:rsid w:val="417C1CE7"/>
    <w:rsid w:val="418D1865"/>
    <w:rsid w:val="41900018"/>
    <w:rsid w:val="41944406"/>
    <w:rsid w:val="41CE128F"/>
    <w:rsid w:val="41DA6F12"/>
    <w:rsid w:val="42171FB1"/>
    <w:rsid w:val="434E6957"/>
    <w:rsid w:val="43B4441E"/>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B21E4A"/>
    <w:rsid w:val="46B84F4F"/>
    <w:rsid w:val="47445515"/>
    <w:rsid w:val="474B4782"/>
    <w:rsid w:val="47D90D14"/>
    <w:rsid w:val="48292E4F"/>
    <w:rsid w:val="48387FB0"/>
    <w:rsid w:val="483A6114"/>
    <w:rsid w:val="488727DB"/>
    <w:rsid w:val="48B82268"/>
    <w:rsid w:val="48C354B3"/>
    <w:rsid w:val="493D58B5"/>
    <w:rsid w:val="494A7A04"/>
    <w:rsid w:val="49C626D2"/>
    <w:rsid w:val="4A0A26D2"/>
    <w:rsid w:val="4A2019A5"/>
    <w:rsid w:val="4A241A0B"/>
    <w:rsid w:val="4A7B2875"/>
    <w:rsid w:val="4A934476"/>
    <w:rsid w:val="4AAA220A"/>
    <w:rsid w:val="4AE12E67"/>
    <w:rsid w:val="4B094072"/>
    <w:rsid w:val="4B4C0111"/>
    <w:rsid w:val="4B8553A9"/>
    <w:rsid w:val="4BDB3730"/>
    <w:rsid w:val="4C200F7A"/>
    <w:rsid w:val="4CCF19B1"/>
    <w:rsid w:val="4CEE3180"/>
    <w:rsid w:val="4D0F4AF6"/>
    <w:rsid w:val="4DC938C2"/>
    <w:rsid w:val="4DD21759"/>
    <w:rsid w:val="4DF94F37"/>
    <w:rsid w:val="4E0A1DD5"/>
    <w:rsid w:val="4E3160E5"/>
    <w:rsid w:val="4E4D37AF"/>
    <w:rsid w:val="4E8C6496"/>
    <w:rsid w:val="4E9B6A63"/>
    <w:rsid w:val="4EFD18DE"/>
    <w:rsid w:val="4F144236"/>
    <w:rsid w:val="4F663C87"/>
    <w:rsid w:val="4F7E29A8"/>
    <w:rsid w:val="4F9E1FFC"/>
    <w:rsid w:val="4FCF0C9F"/>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8515EA"/>
    <w:rsid w:val="57926973"/>
    <w:rsid w:val="58175352"/>
    <w:rsid w:val="581F2200"/>
    <w:rsid w:val="583059FA"/>
    <w:rsid w:val="584A0929"/>
    <w:rsid w:val="58CD2491"/>
    <w:rsid w:val="591B41B2"/>
    <w:rsid w:val="59254A26"/>
    <w:rsid w:val="59326325"/>
    <w:rsid w:val="595C505B"/>
    <w:rsid w:val="595E55C3"/>
    <w:rsid w:val="596E7E20"/>
    <w:rsid w:val="5A60780B"/>
    <w:rsid w:val="5A8D3912"/>
    <w:rsid w:val="5AA3206A"/>
    <w:rsid w:val="5AB34579"/>
    <w:rsid w:val="5AFC6609"/>
    <w:rsid w:val="5B113480"/>
    <w:rsid w:val="5BD456CE"/>
    <w:rsid w:val="5C0D1F49"/>
    <w:rsid w:val="5CBB0CE2"/>
    <w:rsid w:val="5CC17177"/>
    <w:rsid w:val="5CF306BC"/>
    <w:rsid w:val="5D3F3D64"/>
    <w:rsid w:val="5D833043"/>
    <w:rsid w:val="5DD92690"/>
    <w:rsid w:val="5DDB1CFD"/>
    <w:rsid w:val="5E7E6D93"/>
    <w:rsid w:val="5EA22A81"/>
    <w:rsid w:val="5ED44800"/>
    <w:rsid w:val="5F350BDE"/>
    <w:rsid w:val="5F61632C"/>
    <w:rsid w:val="5FA17648"/>
    <w:rsid w:val="5FE705CB"/>
    <w:rsid w:val="603D5080"/>
    <w:rsid w:val="60D0261B"/>
    <w:rsid w:val="60E752BE"/>
    <w:rsid w:val="618E3791"/>
    <w:rsid w:val="61947DCA"/>
    <w:rsid w:val="61A46A97"/>
    <w:rsid w:val="61D1382F"/>
    <w:rsid w:val="61F114A2"/>
    <w:rsid w:val="62512BB4"/>
    <w:rsid w:val="625D7D1A"/>
    <w:rsid w:val="62DD7D21"/>
    <w:rsid w:val="637D586B"/>
    <w:rsid w:val="63A5560B"/>
    <w:rsid w:val="63E9091F"/>
    <w:rsid w:val="64322AF9"/>
    <w:rsid w:val="6496380B"/>
    <w:rsid w:val="64D6010D"/>
    <w:rsid w:val="64D82665"/>
    <w:rsid w:val="64E47C96"/>
    <w:rsid w:val="651E5741"/>
    <w:rsid w:val="658A4877"/>
    <w:rsid w:val="65A00902"/>
    <w:rsid w:val="65AC6EDD"/>
    <w:rsid w:val="65D97752"/>
    <w:rsid w:val="66085536"/>
    <w:rsid w:val="66105BF7"/>
    <w:rsid w:val="66150023"/>
    <w:rsid w:val="6628010D"/>
    <w:rsid w:val="66872F15"/>
    <w:rsid w:val="669B4528"/>
    <w:rsid w:val="66CC12D7"/>
    <w:rsid w:val="67134CEF"/>
    <w:rsid w:val="671F1ABD"/>
    <w:rsid w:val="67521A59"/>
    <w:rsid w:val="67C304AB"/>
    <w:rsid w:val="683F0658"/>
    <w:rsid w:val="689C6793"/>
    <w:rsid w:val="68DB0208"/>
    <w:rsid w:val="68FB170C"/>
    <w:rsid w:val="6900361E"/>
    <w:rsid w:val="691B3D98"/>
    <w:rsid w:val="693748F0"/>
    <w:rsid w:val="69846A0E"/>
    <w:rsid w:val="69AD798C"/>
    <w:rsid w:val="69D005C0"/>
    <w:rsid w:val="69D80B96"/>
    <w:rsid w:val="6B5F343C"/>
    <w:rsid w:val="6B68175F"/>
    <w:rsid w:val="6BBC238C"/>
    <w:rsid w:val="6BFD799F"/>
    <w:rsid w:val="6C4A2E5A"/>
    <w:rsid w:val="6C4F762D"/>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D678C"/>
    <w:rsid w:val="74CE04EC"/>
    <w:rsid w:val="74E76DCD"/>
    <w:rsid w:val="751D7C0A"/>
    <w:rsid w:val="75722D56"/>
    <w:rsid w:val="75DB5477"/>
    <w:rsid w:val="75FC6AC3"/>
    <w:rsid w:val="7616619B"/>
    <w:rsid w:val="76465F91"/>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2C211A"/>
    <w:rsid w:val="7C976D69"/>
    <w:rsid w:val="7CD752DA"/>
    <w:rsid w:val="7CDE40AB"/>
    <w:rsid w:val="7CF057E2"/>
    <w:rsid w:val="7D1548B5"/>
    <w:rsid w:val="7D3F0A80"/>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5212</Words>
  <Characters>5836</Characters>
  <Lines>0</Lines>
  <Paragraphs>0</Paragraphs>
  <TotalTime>0</TotalTime>
  <ScaleCrop>false</ScaleCrop>
  <LinksUpToDate>false</LinksUpToDate>
  <CharactersWithSpaces>5847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竹酒＊</cp:lastModifiedBy>
  <dcterms:modified xsi:type="dcterms:W3CDTF">2024-09-02T08:19:14Z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D624B15633CD43C8BF9435464A96BF70</vt:lpwstr>
  </property>
</Properties>
</file>