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新疆维吾尔自治区塔里木河流域干流管理局下游管理处</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567"/>
      <w:bookmarkStart w:id="3" w:name="_Toc30738"/>
      <w:r>
        <w:rPr>
          <w:rFonts w:hint="eastAsia" w:ascii="黑体" w:hAnsi="黑体" w:eastAsia="黑体" w:cs="宋体"/>
          <w:bCs/>
          <w:color w:val="auto"/>
          <w:kern w:val="0"/>
          <w:sz w:val="32"/>
          <w:szCs w:val="32"/>
          <w:highlight w:val="none"/>
        </w:rPr>
        <w:t>一、主要职能</w:t>
      </w:r>
      <w:bookmarkEnd w:id="2"/>
      <w:bookmarkEnd w:id="3"/>
    </w:p>
    <w:p>
      <w:pPr>
        <w:ind w:firstLine="640" w:firstLineChars="200"/>
        <w:rPr>
          <w:rFonts w:hint="default" w:ascii="黑体" w:hAnsi="黑体" w:eastAsia="仿宋_GB2312" w:cs="宋体"/>
          <w:bCs/>
          <w:kern w:val="0"/>
          <w:sz w:val="32"/>
          <w:szCs w:val="32"/>
          <w:lang w:val="en-US" w:eastAsia="zh-CN"/>
        </w:rPr>
      </w:pPr>
      <w:bookmarkStart w:id="4" w:name="_Toc31238"/>
      <w:bookmarkStart w:id="5" w:name="_Toc2151"/>
      <w:r>
        <w:rPr>
          <w:rFonts w:ascii="仿宋_GB2312" w:eastAsia="仿宋_GB2312"/>
          <w:sz w:val="32"/>
          <w:szCs w:val="32"/>
        </w:rPr>
        <w:t>塔里木河流域干流管理局</w:t>
      </w:r>
      <w:r>
        <w:rPr>
          <w:rFonts w:hint="eastAsia" w:ascii="仿宋_GB2312" w:eastAsia="仿宋_GB2312"/>
          <w:sz w:val="32"/>
          <w:szCs w:val="32"/>
          <w:lang w:val="en-US" w:eastAsia="zh-CN"/>
        </w:rPr>
        <w:t>下</w:t>
      </w:r>
      <w:r>
        <w:rPr>
          <w:rFonts w:ascii="仿宋_GB2312" w:eastAsia="仿宋_GB2312"/>
          <w:sz w:val="32"/>
          <w:szCs w:val="32"/>
        </w:rPr>
        <w:t>游管理处的主要</w:t>
      </w:r>
      <w:r>
        <w:rPr>
          <w:rFonts w:hint="eastAsia" w:ascii="仿宋_GB2312" w:eastAsia="仿宋_GB2312"/>
          <w:sz w:val="32"/>
          <w:szCs w:val="32"/>
          <w:lang w:val="en-US" w:eastAsia="zh-CN"/>
        </w:rPr>
        <w:t>工作职能是</w:t>
      </w:r>
      <w:r>
        <w:rPr>
          <w:rFonts w:ascii="仿宋_GB2312" w:eastAsia="仿宋_GB2312"/>
          <w:sz w:val="32"/>
          <w:szCs w:val="32"/>
        </w:rPr>
        <w:t>：为</w:t>
      </w:r>
      <w:r>
        <w:rPr>
          <w:rFonts w:hint="eastAsia" w:ascii="仿宋_GB2312" w:eastAsia="仿宋_GB2312"/>
          <w:sz w:val="32"/>
          <w:szCs w:val="32"/>
          <w:lang w:val="en-US" w:eastAsia="zh-CN"/>
        </w:rPr>
        <w:t>塔里木河干流下游水利工程提供管理保障，做好塔里木河恰拉至台特玛湖水资源管理、河道管理、水利工程的运行管理工作，协调水事关系及干流上游水量调配。</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新疆维吾尔自治区塔里木河流域干流管理局下游管理处</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22</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19</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3</w:t>
      </w:r>
      <w:r>
        <w:rPr>
          <w:rFonts w:hint="eastAsia" w:ascii="仿宋_GB2312" w:eastAsia="仿宋_GB2312"/>
          <w:color w:val="auto"/>
          <w:sz w:val="32"/>
          <w:szCs w:val="32"/>
          <w:highlight w:val="none"/>
        </w:rPr>
        <w:t>人。</w:t>
      </w:r>
    </w:p>
    <w:p>
      <w:pPr>
        <w:ind w:firstLine="640" w:firstLineChars="200"/>
        <w:rPr>
          <w:rFonts w:ascii="仿宋_GB2312" w:eastAsia="仿宋_GB2312"/>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1</w:t>
      </w:r>
      <w:r>
        <w:rPr>
          <w:rFonts w:hint="eastAsia" w:ascii="仿宋_GB2312" w:hAnsi="黑体" w:eastAsia="仿宋_GB2312" w:cs="宋体"/>
          <w:bCs/>
          <w:kern w:val="0"/>
          <w:sz w:val="32"/>
          <w:szCs w:val="32"/>
        </w:rPr>
        <w:t>个处室，分别是：办公室</w:t>
      </w:r>
      <w:r>
        <w:rPr>
          <w:rFonts w:hint="eastAsia" w:ascii="仿宋_GB2312" w:hAnsi="宋体" w:eastAsia="仿宋_GB2312" w:cs="宋体"/>
          <w:kern w:val="0"/>
          <w:sz w:val="32"/>
          <w:szCs w:val="32"/>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sz w:val="32"/>
          <w:szCs w:val="32"/>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364.34万元，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364.34万元，使用非财政拨款结余0.00万元，年初结转和结余0.00万元。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364.34万元，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364.34万元，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hAnsi="Times New Roman" w:eastAsia="仿宋_GB2312" w:cs="Times New Roman"/>
          <w:color w:val="auto"/>
          <w:spacing w:val="0"/>
          <w:sz w:val="32"/>
          <w:szCs w:val="32"/>
          <w:highlight w:val="none"/>
          <w:lang w:val="en-US" w:eastAsia="zh-CN"/>
        </w:rPr>
        <w:t>收入支出总体与上年相比，</w:t>
      </w:r>
      <w:r>
        <w:rPr>
          <w:rFonts w:hint="eastAsia" w:ascii="仿宋_GB2312" w:hAnsi="Times New Roman" w:eastAsia="仿宋_GB2312" w:cs="Times New Roman"/>
          <w:color w:val="auto"/>
          <w:spacing w:val="0"/>
          <w:sz w:val="32"/>
          <w:szCs w:val="32"/>
          <w:highlight w:val="none"/>
          <w:lang w:val="zh-CN" w:eastAsia="zh-CN"/>
        </w:rPr>
        <w:t>增加53.29万元</w:t>
      </w:r>
      <w:r>
        <w:rPr>
          <w:rFonts w:hint="eastAsia" w:ascii="仿宋_GB2312" w:hAnsi="Times New Roman" w:eastAsia="仿宋_GB2312" w:cs="Times New Roman"/>
          <w:color w:val="auto"/>
          <w:spacing w:val="0"/>
          <w:sz w:val="32"/>
          <w:szCs w:val="32"/>
          <w:highlight w:val="none"/>
          <w:lang w:val="en-US" w:eastAsia="zh-CN"/>
        </w:rPr>
        <w:t>，</w:t>
      </w:r>
      <w:r>
        <w:rPr>
          <w:rFonts w:hint="eastAsia" w:ascii="仿宋_GB2312" w:hAnsi="Times New Roman" w:eastAsia="仿宋_GB2312" w:cs="Times New Roman"/>
          <w:color w:val="auto"/>
          <w:spacing w:val="0"/>
          <w:sz w:val="32"/>
          <w:szCs w:val="32"/>
          <w:highlight w:val="none"/>
          <w:lang w:val="zh-CN" w:eastAsia="zh-CN"/>
        </w:rPr>
        <w:t>增长17.13%</w:t>
      </w:r>
      <w:r>
        <w:rPr>
          <w:rFonts w:hint="eastAsia" w:ascii="仿宋_GB2312" w:hAnsi="Times New Roman" w:eastAsia="仿宋_GB2312" w:cs="Times New Roman"/>
          <w:color w:val="auto"/>
          <w:spacing w:val="0"/>
          <w:sz w:val="32"/>
          <w:szCs w:val="32"/>
          <w:highlight w:val="none"/>
          <w:lang w:val="en-US" w:eastAsia="zh-CN"/>
        </w:rPr>
        <w:t>，主要原因是：</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年较2022年人员正常晋升、核增工资、职称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364.34</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364.34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本年支出364.34万元，其中：基本支出364.34万元，占100.00%；项目支出0.00万元，占0.00%；上缴上级支出0.00万元，占0.00%；经营支出0.00万元，占0.00%；对附属单位补助支出0.00万元，占0.00%。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364.34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364.34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364.34</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364.34</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Times New Roman" w:eastAsia="仿宋_GB2312" w:cs="Times New Roman"/>
          <w:color w:val="auto"/>
          <w:spacing w:val="0"/>
          <w:sz w:val="32"/>
          <w:szCs w:val="32"/>
          <w:highlight w:val="none"/>
          <w:lang w:val="en-US" w:eastAsia="zh-CN"/>
        </w:rPr>
      </w:pPr>
      <w:r>
        <w:rPr>
          <w:rFonts w:hint="eastAsia" w:ascii="仿宋_GB2312" w:hAnsi="Times New Roman" w:eastAsia="仿宋_GB2312" w:cs="Times New Roman"/>
          <w:color w:val="auto"/>
          <w:spacing w:val="0"/>
          <w:sz w:val="32"/>
          <w:szCs w:val="32"/>
          <w:highlight w:val="none"/>
          <w:lang w:val="zh-CN" w:eastAsia="zh-CN"/>
        </w:rPr>
        <w:t>财政拨款收入支出总体与上年相比</w:t>
      </w:r>
      <w:r>
        <w:rPr>
          <w:rFonts w:hint="eastAsia" w:ascii="仿宋_GB2312" w:hAnsi="Times New Roman" w:eastAsia="仿宋_GB2312" w:cs="Times New Roman"/>
          <w:color w:val="auto"/>
          <w:spacing w:val="0"/>
          <w:sz w:val="32"/>
          <w:szCs w:val="32"/>
          <w:highlight w:val="none"/>
          <w:lang w:val="en-US" w:eastAsia="zh-CN"/>
        </w:rPr>
        <w:t>,</w:t>
      </w:r>
      <w:r>
        <w:rPr>
          <w:rFonts w:hint="eastAsia" w:ascii="仿宋_GB2312" w:hAnsi="Times New Roman" w:eastAsia="仿宋_GB2312" w:cs="Times New Roman"/>
          <w:color w:val="auto"/>
          <w:spacing w:val="0"/>
          <w:sz w:val="32"/>
          <w:szCs w:val="32"/>
          <w:highlight w:val="none"/>
          <w:lang w:val="zh-CN" w:eastAsia="zh-CN"/>
        </w:rPr>
        <w:t>增加53.29万元，增长17.13%，主要原因是：</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年较2022年人员正常晋升、核增工资、职称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w:t>
      </w:r>
      <w:r>
        <w:rPr>
          <w:rFonts w:hint="eastAsia" w:ascii="仿宋_GB2312" w:hAnsi="Times New Roman" w:eastAsia="仿宋_GB2312" w:cs="Times New Roman"/>
          <w:color w:val="auto"/>
          <w:spacing w:val="0"/>
          <w:sz w:val="32"/>
          <w:szCs w:val="32"/>
          <w:highlight w:val="none"/>
          <w:lang w:val="en-US" w:eastAsia="zh-CN"/>
        </w:rPr>
        <w:t>。</w:t>
      </w:r>
      <w:r>
        <w:rPr>
          <w:rFonts w:hint="eastAsia" w:ascii="仿宋_GB2312" w:hAnsi="Times New Roman" w:eastAsia="仿宋_GB2312" w:cs="Times New Roman"/>
          <w:color w:val="auto"/>
          <w:spacing w:val="0"/>
          <w:sz w:val="32"/>
          <w:szCs w:val="32"/>
          <w:highlight w:val="none"/>
          <w:lang w:val="zh-CN" w:eastAsia="zh-CN"/>
        </w:rPr>
        <w:t>与年初预算相比，年初预算数367.47万元，决算数364.34万元，预决算差异率-0.85%，主要原因是：</w:t>
      </w:r>
      <w:r>
        <w:rPr>
          <w:rFonts w:hint="eastAsia" w:ascii="仿宋_GB2312" w:hAnsi="Times New Roman" w:eastAsia="仿宋_GB2312" w:cs="Times New Roman"/>
          <w:color w:val="auto"/>
          <w:spacing w:val="0"/>
          <w:sz w:val="32"/>
          <w:szCs w:val="32"/>
          <w:highlight w:val="none"/>
          <w:lang w:val="en-US" w:eastAsia="zh-CN"/>
        </w:rPr>
        <w:t>2023年0.18万元公务接待资金未执行完毕及财政收回离退休人员基本医疗保险单位缴费部分资金2.95万元。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2023年度一般公共预算财政拨款支出364.34万元，占本年支出合计的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增加53.29万元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增长17.13%，</w:t>
      </w:r>
      <w:r>
        <w:rPr>
          <w:rFonts w:hint="eastAsia" w:ascii="仿宋_GB2312" w:eastAsia="仿宋_GB2312"/>
          <w:color w:val="auto"/>
          <w:spacing w:val="0"/>
          <w:sz w:val="32"/>
          <w:szCs w:val="32"/>
          <w:highlight w:val="none"/>
          <w:lang w:eastAsia="zh-CN"/>
        </w:rPr>
        <w:t>主要原因是：</w:t>
      </w: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年较2022年人员正常晋升、核增工资、职称</w:t>
      </w:r>
      <w:r>
        <w:rPr>
          <w:rFonts w:hint="eastAsia" w:ascii="仿宋_GB2312" w:eastAsia="仿宋_GB2312"/>
          <w:color w:val="auto"/>
          <w:spacing w:val="0"/>
          <w:sz w:val="32"/>
          <w:szCs w:val="32"/>
          <w:highlight w:val="none"/>
          <w:lang w:val="en-US" w:eastAsia="zh-CN"/>
        </w:rPr>
        <w:t>提高导致人员工资和公用支出</w:t>
      </w:r>
      <w:r>
        <w:rPr>
          <w:rFonts w:hint="eastAsia" w:ascii="仿宋_GB2312" w:eastAsia="仿宋_GB2312"/>
          <w:color w:val="auto"/>
          <w:spacing w:val="0"/>
          <w:sz w:val="32"/>
          <w:szCs w:val="32"/>
          <w:highlight w:val="none"/>
          <w:lang w:eastAsia="zh-CN"/>
        </w:rPr>
        <w:t>均有所增加</w:t>
      </w:r>
      <w:r>
        <w:rPr>
          <w:rFonts w:hint="eastAsia" w:ascii="仿宋_GB2312" w:hAnsi="Times New Roman" w:eastAsia="仿宋_GB2312" w:cs="Times New Roman"/>
          <w:color w:val="auto"/>
          <w:spacing w:val="0"/>
          <w:sz w:val="32"/>
          <w:szCs w:val="32"/>
          <w:highlight w:val="none"/>
          <w:lang w:val="en-US" w:eastAsia="zh-CN"/>
        </w:rPr>
        <w:t>，相对应的一般公共预算财政拨款支出也有所增长</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367.47</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364.34</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-0.85%</w:t>
      </w:r>
      <w:r>
        <w:rPr>
          <w:rFonts w:hint="eastAsia" w:ascii="仿宋_GB2312" w:eastAsia="仿宋_GB2312"/>
          <w:color w:val="auto"/>
          <w:spacing w:val="0"/>
          <w:sz w:val="32"/>
          <w:szCs w:val="32"/>
          <w:highlight w:val="none"/>
          <w:lang w:eastAsia="zh-CN"/>
        </w:rPr>
        <w:t>，主要原因是：</w:t>
      </w:r>
      <w:r>
        <w:rPr>
          <w:rFonts w:hint="eastAsia" w:ascii="仿宋_GB2312" w:hAnsi="Times New Roman" w:eastAsia="仿宋_GB2312" w:cs="Times New Roman"/>
          <w:color w:val="auto"/>
          <w:spacing w:val="0"/>
          <w:sz w:val="32"/>
          <w:szCs w:val="32"/>
          <w:highlight w:val="none"/>
          <w:lang w:val="en-US" w:eastAsia="zh-CN"/>
        </w:rPr>
        <w:t>2023年0.18万元公务接待资金未执行完毕及财政收回离退休人员基本医疗保险单位缴费部分资金2.95万元</w:t>
      </w:r>
      <w:r>
        <w:rPr>
          <w:rFonts w:hint="eastAsia" w:ascii="仿宋_GB2312" w:eastAsia="仿宋_GB2312"/>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lang w:val="zh-CN" w:eastAsia="zh-CN" w:bidi="ar-SA"/>
        </w:rPr>
        <w:t>1.</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39.87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10.94</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2</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32.60</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8.95</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3</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农林水支出（类）</w:t>
      </w:r>
      <w:r>
        <w:rPr>
          <w:rFonts w:hint="eastAsia" w:ascii="仿宋_GB2312" w:hAnsi="Times New Roman" w:eastAsia="仿宋_GB2312" w:cs="Times New Roman"/>
          <w:color w:val="auto"/>
          <w:spacing w:val="0"/>
          <w:kern w:val="2"/>
          <w:sz w:val="32"/>
          <w:szCs w:val="32"/>
          <w:highlight w:val="none"/>
          <w:lang w:val="zh-CN" w:eastAsia="zh-CN" w:bidi="ar-SA"/>
        </w:rPr>
        <w:t>264.89</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72.70</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lang w:val="en-US" w:eastAsia="zh-CN" w:bidi="ar-SA"/>
        </w:rPr>
        <w:t>4</w:t>
      </w:r>
      <w:r>
        <w:rPr>
          <w:rFonts w:hint="default" w:ascii="仿宋_GB2312" w:hAnsi="Times New Roman" w:eastAsia="仿宋_GB2312" w:cs="Times New Roman"/>
          <w:color w:val="auto"/>
          <w:spacing w:val="0"/>
          <w:kern w:val="2"/>
          <w:sz w:val="32"/>
          <w:szCs w:val="32"/>
          <w:lang w:val="zh-CN" w:eastAsia="zh-CN" w:bidi="ar-SA"/>
        </w:rPr>
        <w:t>.</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26.98</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7.41</w:t>
      </w:r>
      <w:r>
        <w:rPr>
          <w:rFonts w:hint="default" w:ascii="仿宋_GB2312" w:hAnsi="Times New Roman" w:eastAsia="仿宋_GB2312" w:cs="Times New Roman"/>
          <w:color w:val="auto"/>
          <w:spacing w:val="0"/>
          <w:kern w:val="2"/>
          <w:sz w:val="32"/>
          <w:szCs w:val="32"/>
          <w:highlight w:val="none"/>
          <w:lang w:val="zh-CN" w:eastAsia="zh-CN" w:bidi="ar-SA"/>
        </w:rPr>
        <w:t>%</w:t>
      </w:r>
      <w:r>
        <w:rPr>
          <w:rFonts w:hint="eastAsia" w:ascii="仿宋_GB2312" w:eastAsia="仿宋_GB2312" w:cs="Times New Roman"/>
          <w:color w:val="auto"/>
          <w:spacing w:val="0"/>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1.卫生健康支出（类）行政事业单位医疗（款）事业单位医疗（项）:支出决算数为16.86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0.38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2.29%，主要原因是：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，社会保障缴费基数增加，导致事业单位医疗费缴费增加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2.卫生健康支出（类）行政事业单位医疗（款）公务员医疗补助（项）:支出决算数为15.74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2.92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22.7</w:t>
      </w:r>
      <w:r>
        <w:rPr>
          <w:rFonts w:hint="eastAsia" w:eastAsia="仿宋_GB2312" w:cs="Times New Roman"/>
          <w:color w:val="auto"/>
          <w:kern w:val="2"/>
          <w:sz w:val="32"/>
          <w:szCs w:val="32"/>
          <w:highlight w:val="none"/>
          <w:lang w:val="en-US" w:eastAsia="zh-CN" w:bidi="ar-SA"/>
        </w:rPr>
        <w:t>8</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，社会保障缴费基数增加，导致公务员医疗补助缴费增加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3.住房保障支出（类）住房改革支出（款）住房公积金（项）:支出决算数为26.98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18.63%，主要原因是：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，住房公积金缴费基数增加，导致住房公积金缴费增加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4.农林水支出（类）水利（款）水利工程运行与维护（项）:支出决算数为264.89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39.17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17.35%，主要原因是：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5.社会保障和就业支出（类）行政事业单位养老支出（款）事业单位离退休（项）:支出决算数为3.89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0.94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31.</w:t>
      </w:r>
      <w:r>
        <w:rPr>
          <w:rFonts w:hint="eastAsia" w:eastAsia="仿宋_GB2312" w:cs="Times New Roman"/>
          <w:color w:val="auto"/>
          <w:kern w:val="2"/>
          <w:sz w:val="32"/>
          <w:szCs w:val="32"/>
          <w:highlight w:val="none"/>
          <w:lang w:val="en-US" w:eastAsia="zh-CN" w:bidi="ar-SA"/>
        </w:rPr>
        <w:t>86</w:t>
      </w:r>
      <w:r>
        <w:rPr>
          <w:rFonts w:hint="eastAsia"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color w:val="auto"/>
          <w:kern w:val="2"/>
          <w:sz w:val="32"/>
          <w:szCs w:val="32"/>
          <w:highlight w:val="none"/>
          <w:lang w:val="en-US" w:eastAsia="zh-CN" w:bidi="ar-SA"/>
        </w:rPr>
        <w:t>因</w:t>
      </w:r>
      <w:r>
        <w:rPr>
          <w:rFonts w:hint="eastAsia" w:ascii="Times New Roman" w:hAnsi="Times New Roman" w:eastAsia="仿宋_GB2312" w:cs="Times New Roman"/>
          <w:color w:val="auto"/>
          <w:kern w:val="2"/>
          <w:sz w:val="32"/>
          <w:szCs w:val="32"/>
          <w:highlight w:val="none"/>
          <w:lang w:val="en-US" w:eastAsia="zh-CN" w:bidi="ar-SA"/>
        </w:rPr>
        <w:t>离退休人</w:t>
      </w:r>
      <w:r>
        <w:rPr>
          <w:rFonts w:hint="eastAsia" w:eastAsia="仿宋_GB2312" w:cs="Times New Roman"/>
          <w:color w:val="auto"/>
          <w:kern w:val="2"/>
          <w:sz w:val="32"/>
          <w:szCs w:val="32"/>
          <w:highlight w:val="none"/>
          <w:lang w:val="en-US" w:eastAsia="zh-CN" w:bidi="ar-SA"/>
        </w:rPr>
        <w:t>员</w:t>
      </w:r>
      <w:r>
        <w:rPr>
          <w:rFonts w:hint="eastAsia" w:ascii="Times New Roman" w:hAnsi="Times New Roman" w:eastAsia="仿宋_GB2312" w:cs="Times New Roman"/>
          <w:color w:val="auto"/>
          <w:kern w:val="2"/>
          <w:sz w:val="32"/>
          <w:szCs w:val="32"/>
          <w:highlight w:val="none"/>
          <w:lang w:val="en-US" w:eastAsia="zh-CN" w:bidi="ar-SA"/>
        </w:rPr>
        <w:t>绩效奖增加，导致事业单位离退休费用增加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6.社会保障和就业支出（类）行政事业单位养老支出（款）机关事业单位基本养老保险缴费支出（项）:支出决算数为35.98</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5.65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18.63%，主要原因是：</w:t>
      </w:r>
      <w:r>
        <w:rPr>
          <w:rFonts w:hint="eastAsia" w:eastAsia="仿宋_GB2312" w:cs="Times New Roman"/>
          <w:color w:val="auto"/>
          <w:kern w:val="2"/>
          <w:sz w:val="32"/>
          <w:szCs w:val="32"/>
          <w:highlight w:val="none"/>
          <w:lang w:val="en-US" w:eastAsia="zh-CN" w:bidi="ar-SA"/>
        </w:rPr>
        <w:t>因</w:t>
      </w:r>
      <w:r>
        <w:rPr>
          <w:rFonts w:hint="eastAsia" w:ascii="仿宋_GB2312" w:eastAsia="仿宋_GB2312"/>
          <w:sz w:val="32"/>
          <w:szCs w:val="32"/>
          <w:lang w:val="en-US" w:eastAsia="zh-CN"/>
        </w:rPr>
        <w:t>单位人员</w:t>
      </w:r>
      <w:r>
        <w:rPr>
          <w:rFonts w:hint="eastAsia" w:ascii="仿宋_GB2312" w:eastAsia="仿宋_GB2312"/>
          <w:sz w:val="32"/>
          <w:szCs w:val="32"/>
        </w:rPr>
        <w:t>岗位晋升</w:t>
      </w:r>
      <w:r>
        <w:rPr>
          <w:rFonts w:hint="eastAsia" w:ascii="仿宋_GB2312" w:eastAsia="仿宋_GB2312"/>
          <w:sz w:val="32"/>
          <w:szCs w:val="32"/>
          <w:lang w:eastAsia="zh-CN"/>
        </w:rPr>
        <w:t>、</w:t>
      </w:r>
      <w:r>
        <w:rPr>
          <w:rFonts w:hint="eastAsia" w:ascii="仿宋_GB2312" w:eastAsia="仿宋_GB2312"/>
          <w:sz w:val="32"/>
          <w:szCs w:val="32"/>
        </w:rPr>
        <w:t>工资津补贴按年度正常</w:t>
      </w:r>
      <w:r>
        <w:rPr>
          <w:rFonts w:hint="eastAsia" w:ascii="仿宋_GB2312" w:eastAsia="仿宋_GB2312"/>
          <w:sz w:val="32"/>
          <w:szCs w:val="32"/>
          <w:lang w:eastAsia="zh-CN"/>
        </w:rPr>
        <w:t>调增</w:t>
      </w:r>
      <w:r>
        <w:rPr>
          <w:rFonts w:hint="eastAsia" w:ascii="仿宋_GB2312" w:eastAsia="仿宋_GB2312"/>
          <w:sz w:val="32"/>
          <w:szCs w:val="32"/>
          <w:lang w:val="en-US" w:eastAsia="zh-CN"/>
        </w:rPr>
        <w:t>，社会保障缴费基数增加，导致</w:t>
      </w:r>
      <w:r>
        <w:rPr>
          <w:rFonts w:hint="eastAsia" w:ascii="Times New Roman" w:hAnsi="Times New Roman" w:eastAsia="仿宋_GB2312" w:cs="Times New Roman"/>
          <w:color w:val="auto"/>
          <w:kern w:val="2"/>
          <w:sz w:val="32"/>
          <w:szCs w:val="32"/>
          <w:highlight w:val="none"/>
          <w:lang w:val="en-US" w:eastAsia="zh-CN" w:bidi="ar-SA"/>
        </w:rPr>
        <w:t>机关事业单位基本养老保险缴费</w:t>
      </w:r>
      <w:r>
        <w:rPr>
          <w:rFonts w:hint="eastAsia" w:ascii="仿宋_GB2312" w:eastAsia="仿宋_GB2312"/>
          <w:sz w:val="32"/>
          <w:szCs w:val="32"/>
          <w:lang w:val="en-US" w:eastAsia="zh-CN"/>
        </w:rPr>
        <w:t>增加</w:t>
      </w:r>
      <w:r>
        <w:rPr>
          <w:rFonts w:hint="eastAsia"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sz w:val="32"/>
          <w:szCs w:val="32"/>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364.34</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339.48</w:t>
      </w:r>
      <w:r>
        <w:rPr>
          <w:rFonts w:hint="eastAsia" w:ascii="仿宋_GB2312" w:eastAsia="仿宋_GB2312"/>
          <w:color w:val="auto"/>
          <w:sz w:val="32"/>
          <w:szCs w:val="32"/>
          <w:highlight w:val="none"/>
        </w:rPr>
        <w:t>万元</w:t>
      </w:r>
      <w:r>
        <w:rPr>
          <w:rFonts w:hint="eastAsia" w:ascii="仿宋_GB2312" w:eastAsia="仿宋_GB2312"/>
          <w:sz w:val="32"/>
          <w:szCs w:val="32"/>
        </w:rPr>
        <w:t>，包括：基本工资、津贴补贴、奖金、绩效工资、机关事业单位基本养老保险缴费、职工基本医疗保险缴费、公务员医疗补助缴费、其他社会保障缴费、住房公积金、退休费、医疗费补助、奖励金。</w:t>
      </w:r>
    </w:p>
    <w:p>
      <w:pPr>
        <w:ind w:firstLine="640" w:firstLineChars="200"/>
        <w:rPr>
          <w:rFonts w:ascii="仿宋_GB2312" w:hAnsi="宋体" w:eastAsia="仿宋_GB2312" w:cs="宋体"/>
          <w:kern w:val="0"/>
          <w:sz w:val="32"/>
          <w:szCs w:val="32"/>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24.86</w:t>
      </w:r>
      <w:r>
        <w:rPr>
          <w:rFonts w:hint="eastAsia" w:ascii="仿宋_GB2312" w:eastAsia="仿宋_GB2312"/>
          <w:color w:val="auto"/>
          <w:sz w:val="32"/>
          <w:szCs w:val="32"/>
          <w:highlight w:val="none"/>
        </w:rPr>
        <w:t>万元</w:t>
      </w:r>
      <w:r>
        <w:rPr>
          <w:rFonts w:hint="eastAsia" w:ascii="仿宋_GB2312" w:eastAsia="仿宋_GB2312"/>
          <w:sz w:val="32"/>
          <w:szCs w:val="32"/>
        </w:rPr>
        <w:t>，包括：办公费、印刷费、水费、电费、取暖费、差旅费、工会经费、福利费、公务用车运行维护费。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“三公”经费支出1.43万元，</w:t>
      </w:r>
      <w:r>
        <w:rPr>
          <w:rFonts w:hint="eastAsia" w:ascii="仿宋_GB2312" w:eastAsia="仿宋_GB2312"/>
          <w:color w:val="auto"/>
          <w:sz w:val="32"/>
          <w:szCs w:val="32"/>
          <w:highlight w:val="none"/>
          <w:lang w:val="en-US" w:eastAsia="zh-CN"/>
        </w:rPr>
        <w:t>比上年</w:t>
      </w:r>
      <w:r>
        <w:rPr>
          <w:rFonts w:hint="eastAsia" w:ascii="仿宋_GB2312" w:eastAsia="仿宋_GB2312"/>
          <w:color w:val="auto"/>
          <w:sz w:val="32"/>
          <w:szCs w:val="32"/>
          <w:highlight w:val="none"/>
          <w:lang w:val="zh-CN" w:eastAsia="zh-CN"/>
        </w:rPr>
        <w:t>增加0.00万元，增长0.00%，主要原因是：2023年度</w:t>
      </w:r>
      <w:r>
        <w:rPr>
          <w:rFonts w:hint="eastAsia" w:ascii="仿宋_GB2312" w:eastAsia="仿宋_GB2312"/>
          <w:color w:val="auto"/>
          <w:sz w:val="32"/>
          <w:szCs w:val="32"/>
          <w:highlight w:val="none"/>
          <w:lang w:val="en-US" w:eastAsia="zh-CN"/>
        </w:rPr>
        <w:t>财政拨款</w:t>
      </w:r>
      <w:r>
        <w:rPr>
          <w:rFonts w:hint="eastAsia" w:ascii="仿宋_GB2312" w:eastAsia="仿宋_GB2312"/>
          <w:color w:val="auto"/>
          <w:sz w:val="32"/>
          <w:szCs w:val="32"/>
          <w:highlight w:val="none"/>
          <w:lang w:val="zh-CN" w:eastAsia="zh-CN"/>
        </w:rPr>
        <w:t>“三公”经费支出</w:t>
      </w:r>
      <w:r>
        <w:rPr>
          <w:rFonts w:hint="eastAsia" w:ascii="仿宋_GB2312" w:eastAsia="仿宋_GB2312"/>
          <w:color w:val="auto"/>
          <w:sz w:val="32"/>
          <w:szCs w:val="32"/>
          <w:highlight w:val="none"/>
          <w:lang w:val="en-US" w:eastAsia="zh-CN"/>
        </w:rPr>
        <w:t>与上年保持一致，无变化</w:t>
      </w:r>
      <w:r>
        <w:rPr>
          <w:rFonts w:hint="eastAsia" w:ascii="仿宋_GB2312" w:eastAsia="仿宋_GB2312"/>
          <w:color w:val="auto"/>
          <w:sz w:val="32"/>
          <w:szCs w:val="32"/>
          <w:highlight w:val="none"/>
          <w:lang w:val="zh-CN" w:eastAsia="zh-CN"/>
        </w:rPr>
        <w:t>。其中：因公出国（境）费支出0.00万元，占0.00%，比上年增加0.00万元，增长0.00%，主要原因是：</w:t>
      </w:r>
      <w:r>
        <w:rPr>
          <w:rFonts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；公务用车购置及运行维护费支出1.43万元，占100.00%，比上年增加0.00万元，增长0.00%，主要原因是：2023年度公务用车购置及运行维护费支出</w:t>
      </w:r>
      <w:r>
        <w:rPr>
          <w:rFonts w:hint="eastAsia" w:ascii="仿宋_GB2312" w:eastAsia="仿宋_GB2312"/>
          <w:color w:val="auto"/>
          <w:sz w:val="32"/>
          <w:szCs w:val="32"/>
          <w:highlight w:val="none"/>
          <w:lang w:val="en-US" w:eastAsia="zh-CN"/>
        </w:rPr>
        <w:t>与上</w:t>
      </w:r>
      <w:bookmarkStart w:id="48" w:name="_GoBack"/>
      <w:bookmarkEnd w:id="48"/>
      <w:r>
        <w:rPr>
          <w:rFonts w:hint="eastAsia" w:ascii="仿宋_GB2312" w:eastAsia="仿宋_GB2312"/>
          <w:color w:val="auto"/>
          <w:sz w:val="32"/>
          <w:szCs w:val="32"/>
          <w:highlight w:val="none"/>
          <w:lang w:val="en-US" w:eastAsia="zh-CN"/>
        </w:rPr>
        <w:t>年保持一致，无变化</w:t>
      </w:r>
      <w:r>
        <w:rPr>
          <w:rFonts w:hint="eastAsia" w:ascii="仿宋_GB2312" w:eastAsia="仿宋_GB2312"/>
          <w:color w:val="auto"/>
          <w:sz w:val="32"/>
          <w:szCs w:val="32"/>
          <w:highlight w:val="none"/>
          <w:lang w:val="zh-CN" w:eastAsia="zh-CN"/>
        </w:rPr>
        <w:t>；公务接待费支出0.00万元，占0.00%，比上年增加0.00万元，增长0.00%，主要原因是：2023年度公务接待费支出</w:t>
      </w:r>
      <w:r>
        <w:rPr>
          <w:rFonts w:hint="eastAsia" w:ascii="仿宋_GB2312" w:eastAsia="仿宋_GB2312"/>
          <w:color w:val="auto"/>
          <w:sz w:val="32"/>
          <w:szCs w:val="32"/>
          <w:highlight w:val="none"/>
          <w:lang w:val="en-US" w:eastAsia="zh-CN"/>
        </w:rPr>
        <w:t>与上年保持一致，无变化</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ind w:firstLine="640" w:firstLineChars="200"/>
        <w:rPr>
          <w:rFonts w:ascii="仿宋_GB2312" w:eastAsia="仿宋_GB2312"/>
          <w:sz w:val="32"/>
          <w:szCs w:val="32"/>
        </w:rPr>
      </w:pPr>
      <w:r>
        <w:rPr>
          <w:rFonts w:hint="eastAsia" w:ascii="仿宋_GB2312" w:eastAsia="仿宋_GB2312"/>
          <w:color w:val="auto"/>
          <w:sz w:val="32"/>
          <w:szCs w:val="32"/>
          <w:highlight w:val="none"/>
          <w:lang w:val="zh-CN" w:eastAsia="zh-CN"/>
        </w:rPr>
        <w:t>因公出国（境）费支出0.00万元，开支内容包括</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w:t>
      </w:r>
      <w:r>
        <w:rPr>
          <w:rFonts w:hint="eastAsia" w:ascii="仿宋_GB2312" w:eastAsia="仿宋_GB2312"/>
          <w:sz w:val="32"/>
          <w:szCs w:val="32"/>
        </w:rPr>
        <w:t>单位全年安排的因公出国（境）团组</w:t>
      </w:r>
      <w:r>
        <w:rPr>
          <w:rFonts w:ascii="仿宋_GB2312" w:eastAsia="仿宋_GB2312"/>
          <w:sz w:val="32"/>
          <w:szCs w:val="32"/>
        </w:rPr>
        <w:t>0</w:t>
      </w:r>
      <w:r>
        <w:rPr>
          <w:rFonts w:hint="eastAsia" w:ascii="仿宋_GB2312" w:eastAsia="仿宋_GB2312"/>
          <w:sz w:val="32"/>
          <w:szCs w:val="32"/>
        </w:rPr>
        <w:t>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zh-CN" w:eastAsia="zh-CN"/>
        </w:rPr>
        <w:t>公务用车购置及运行维护费1.43万元，其中：公务用车购置费0.00万元，公务用车运行维护费1.43万元。公务用车运行维护费开支内容包括</w:t>
      </w:r>
      <w:r>
        <w:rPr>
          <w:rFonts w:hint="eastAsia" w:ascii="仿宋_GB2312" w:eastAsia="仿宋_GB2312"/>
          <w:sz w:val="32"/>
          <w:szCs w:val="32"/>
        </w:rPr>
        <w:t>公务用车燃料费、维修费、过路过桥费、保险费</w:t>
      </w:r>
      <w:r>
        <w:rPr>
          <w:rFonts w:hint="eastAsia" w:ascii="仿宋_GB2312" w:eastAsia="仿宋_GB2312"/>
          <w:sz w:val="32"/>
          <w:szCs w:val="32"/>
          <w:lang w:val="en-US" w:eastAsia="zh-CN"/>
        </w:rPr>
        <w:t>等</w:t>
      </w:r>
      <w:r>
        <w:rPr>
          <w:rFonts w:hint="eastAsia" w:ascii="仿宋_GB2312" w:eastAsia="仿宋_GB2312"/>
          <w:color w:val="auto"/>
          <w:sz w:val="32"/>
          <w:szCs w:val="32"/>
          <w:highlight w:val="none"/>
          <w:lang w:val="zh-CN" w:eastAsia="zh-CN"/>
        </w:rPr>
        <w:t>。公务用车购置数0辆，公务用车保有量2辆。国有资产占用情况</w:t>
      </w:r>
      <w:r>
        <w:rPr>
          <w:rFonts w:hint="eastAsia" w:ascii="仿宋_GB2312" w:eastAsia="仿宋_GB2312"/>
          <w:color w:val="auto"/>
          <w:sz w:val="32"/>
          <w:szCs w:val="32"/>
          <w:highlight w:val="none"/>
          <w:lang w:val="en-US" w:eastAsia="zh-CN"/>
        </w:rPr>
        <w:t>中固定资产车辆</w:t>
      </w:r>
      <w:r>
        <w:rPr>
          <w:rFonts w:hint="eastAsia" w:ascii="仿宋_GB2312" w:eastAsia="仿宋_GB2312"/>
          <w:color w:val="auto"/>
          <w:sz w:val="32"/>
          <w:szCs w:val="32"/>
          <w:highlight w:val="none"/>
          <w:lang w:val="zh-CN" w:eastAsia="zh-CN"/>
        </w:rPr>
        <w:t>0辆，</w:t>
      </w:r>
      <w:r>
        <w:rPr>
          <w:rFonts w:hint="eastAsia" w:ascii="仿宋_GB2312" w:eastAsia="仿宋_GB2312"/>
          <w:color w:val="auto"/>
          <w:sz w:val="32"/>
          <w:szCs w:val="32"/>
          <w:highlight w:val="none"/>
          <w:lang w:val="en-US" w:eastAsia="zh-CN"/>
        </w:rPr>
        <w:t>与</w:t>
      </w:r>
      <w:r>
        <w:rPr>
          <w:rFonts w:hint="eastAsia" w:ascii="仿宋_GB2312" w:eastAsia="仿宋_GB2312"/>
          <w:color w:val="auto"/>
          <w:sz w:val="32"/>
          <w:szCs w:val="32"/>
          <w:highlight w:val="none"/>
          <w:lang w:val="zh-CN" w:eastAsia="zh-CN"/>
        </w:rPr>
        <w:t>公务用车</w:t>
      </w:r>
      <w:r>
        <w:rPr>
          <w:rFonts w:hint="eastAsia" w:ascii="仿宋_GB2312" w:eastAsia="仿宋_GB2312"/>
          <w:color w:val="auto"/>
          <w:sz w:val="32"/>
          <w:szCs w:val="32"/>
          <w:highlight w:val="none"/>
          <w:lang w:val="en-US" w:eastAsia="zh-CN"/>
        </w:rPr>
        <w:t>保有量差异</w:t>
      </w:r>
      <w:r>
        <w:rPr>
          <w:rFonts w:hint="eastAsia" w:ascii="仿宋_GB2312" w:eastAsia="仿宋_GB2312"/>
          <w:color w:val="auto"/>
          <w:sz w:val="32"/>
          <w:szCs w:val="32"/>
          <w:highlight w:val="none"/>
          <w:lang w:val="zh-CN" w:eastAsia="zh-CN"/>
        </w:rPr>
        <w:t>原因是：</w:t>
      </w:r>
      <w:r>
        <w:rPr>
          <w:rFonts w:hint="eastAsia" w:ascii="仿宋_GB2312" w:eastAsia="仿宋_GB2312"/>
          <w:color w:val="auto"/>
          <w:sz w:val="32"/>
          <w:szCs w:val="32"/>
          <w:highlight w:val="none"/>
          <w:lang w:val="en-US" w:eastAsia="zh-CN"/>
        </w:rPr>
        <w:t>公务用车保有量2辆车为自有资金购买的车辆，不在公务用车购置数中列示</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公务接待费0.00万元，开支内容包括</w:t>
      </w:r>
      <w:r>
        <w:rPr>
          <w:rFonts w:hint="eastAsia" w:ascii="仿宋_GB2312" w:eastAsia="仿宋_GB2312"/>
          <w:sz w:val="32"/>
          <w:szCs w:val="32"/>
        </w:rPr>
        <w:t>我单位未发生公务接待费用</w:t>
      </w:r>
      <w:r>
        <w:rPr>
          <w:rFonts w:hint="eastAsia" w:ascii="仿宋_GB2312" w:eastAsia="仿宋_GB2312"/>
          <w:sz w:val="32"/>
          <w:szCs w:val="32"/>
          <w:lang w:eastAsia="zh-CN"/>
        </w:rPr>
        <w:t>。</w:t>
      </w:r>
      <w:r>
        <w:rPr>
          <w:rFonts w:hint="eastAsia" w:ascii="仿宋_GB2312" w:eastAsia="仿宋_GB2312"/>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预算相比</w:t>
      </w:r>
      <w:r>
        <w:rPr>
          <w:rFonts w:hint="eastAsia" w:ascii="仿宋_GB2312" w:eastAsia="仿宋_GB2312"/>
          <w:color w:val="auto"/>
          <w:sz w:val="32"/>
          <w:szCs w:val="32"/>
          <w:highlight w:val="none"/>
          <w:lang w:val="en-US" w:eastAsia="zh-CN"/>
        </w:rPr>
        <w:t>,</w:t>
      </w:r>
      <w:r>
        <w:rPr>
          <w:rFonts w:hint="eastAsia" w:ascii="仿宋_GB2312" w:eastAsia="仿宋_GB2312"/>
          <w:color w:val="auto"/>
          <w:sz w:val="32"/>
          <w:szCs w:val="32"/>
          <w:highlight w:val="none"/>
          <w:lang w:val="zh-CN" w:eastAsia="zh-CN"/>
        </w:rPr>
        <w:t>财政拨款“三公”经费支出</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预算数1.43万元，决算数1.43万元，预决算差异率0.00%，主要原因是：</w:t>
      </w:r>
      <w:r>
        <w:rPr>
          <w:rFonts w:hint="eastAsia" w:ascii="仿宋_GB2312" w:eastAsia="仿宋_GB2312"/>
          <w:sz w:val="32"/>
          <w:szCs w:val="32"/>
        </w:rPr>
        <w:t>“三公”经费预决算一致，无差异</w:t>
      </w:r>
      <w:r>
        <w:rPr>
          <w:rFonts w:hint="eastAsia" w:ascii="仿宋_GB2312" w:eastAsia="仿宋_GB2312"/>
          <w:color w:val="auto"/>
          <w:sz w:val="32"/>
          <w:szCs w:val="32"/>
          <w:highlight w:val="none"/>
          <w:lang w:val="zh-CN" w:eastAsia="zh-CN"/>
        </w:rPr>
        <w:t>。其中：因公出国（境）费</w:t>
      </w:r>
      <w:r>
        <w:rPr>
          <w:rFonts w:hint="eastAsia" w:ascii="仿宋_GB2312" w:eastAsia="仿宋_GB2312"/>
          <w:color w:val="auto"/>
          <w:sz w:val="32"/>
          <w:szCs w:val="32"/>
          <w:highlight w:val="none"/>
          <w:lang w:val="en-US" w:eastAsia="zh-CN"/>
        </w:rPr>
        <w:t>全年预算数</w:t>
      </w:r>
      <w:r>
        <w:rPr>
          <w:rFonts w:hint="eastAsia" w:ascii="仿宋_GB2312" w:eastAsia="仿宋_GB2312"/>
          <w:color w:val="auto"/>
          <w:sz w:val="32"/>
          <w:szCs w:val="32"/>
          <w:highlight w:val="none"/>
          <w:lang w:val="zh-CN" w:eastAsia="zh-CN"/>
        </w:rPr>
        <w:t>0.00万元，决算数0.00万元，预决算差异率0.00%，主要原因是：</w:t>
      </w:r>
      <w:r>
        <w:rPr>
          <w:rFonts w:hint="eastAsia" w:ascii="仿宋_GB2312" w:eastAsia="仿宋_GB2312"/>
          <w:sz w:val="32"/>
          <w:szCs w:val="32"/>
        </w:rPr>
        <w:t>我单位无因公出国（境）费</w:t>
      </w:r>
      <w:r>
        <w:rPr>
          <w:rFonts w:hint="eastAsia" w:ascii="仿宋_GB2312" w:eastAsia="仿宋_GB2312"/>
          <w:color w:val="auto"/>
          <w:sz w:val="32"/>
          <w:szCs w:val="32"/>
          <w:highlight w:val="none"/>
          <w:lang w:val="zh-CN" w:eastAsia="zh-CN"/>
        </w:rPr>
        <w:t>；公务用车购置费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我单位无公务用车购置费</w:t>
      </w:r>
      <w:r>
        <w:rPr>
          <w:rFonts w:hint="eastAsia" w:ascii="仿宋_GB2312" w:eastAsia="仿宋_GB2312"/>
          <w:color w:val="auto"/>
          <w:sz w:val="32"/>
          <w:szCs w:val="32"/>
          <w:highlight w:val="none"/>
          <w:lang w:val="zh-CN" w:eastAsia="zh-CN"/>
        </w:rPr>
        <w:t>；公务用车运行费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预算数1.43万元，决算数1.43万元，预决算差异率0.00%，主要原因是：</w:t>
      </w:r>
      <w:r>
        <w:rPr>
          <w:rFonts w:hint="eastAsia" w:ascii="仿宋_GB2312" w:eastAsia="仿宋_GB2312"/>
          <w:sz w:val="32"/>
          <w:szCs w:val="32"/>
        </w:rPr>
        <w:t>公务用车运行费预决算一致，无差异</w:t>
      </w:r>
      <w:r>
        <w:rPr>
          <w:rFonts w:hint="eastAsia" w:ascii="仿宋_GB2312" w:eastAsia="仿宋_GB2312"/>
          <w:color w:val="auto"/>
          <w:sz w:val="32"/>
          <w:szCs w:val="32"/>
          <w:highlight w:val="none"/>
          <w:lang w:val="zh-CN" w:eastAsia="zh-CN"/>
        </w:rPr>
        <w:t>；公务接待费</w:t>
      </w:r>
      <w:r>
        <w:rPr>
          <w:rFonts w:hint="eastAsia" w:ascii="仿宋_GB2312" w:eastAsia="仿宋_GB2312"/>
          <w:color w:val="auto"/>
          <w:sz w:val="32"/>
          <w:szCs w:val="32"/>
          <w:highlight w:val="none"/>
          <w:lang w:val="en-US" w:eastAsia="zh-CN"/>
        </w:rPr>
        <w:t>全年</w:t>
      </w:r>
      <w:r>
        <w:rPr>
          <w:rFonts w:hint="eastAsia" w:ascii="仿宋_GB2312" w:eastAsia="仿宋_GB2312"/>
          <w:color w:val="auto"/>
          <w:sz w:val="32"/>
          <w:szCs w:val="32"/>
          <w:highlight w:val="none"/>
          <w:lang w:val="zh-CN" w:eastAsia="zh-CN"/>
        </w:rPr>
        <w:t>预算数0.00万元，决算数0.00万元，预决算差异率0.00%，主要原因是：</w:t>
      </w:r>
      <w:r>
        <w:rPr>
          <w:rFonts w:hint="eastAsia" w:ascii="仿宋_GB2312" w:eastAsia="仿宋_GB2312"/>
          <w:sz w:val="32"/>
          <w:szCs w:val="32"/>
        </w:rPr>
        <w:t>我单位无公务接待费</w:t>
      </w:r>
      <w:r>
        <w:rPr>
          <w:rFonts w:hint="eastAsia" w:ascii="仿宋_GB2312" w:eastAsia="仿宋_GB2312"/>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ind w:firstLine="640" w:firstLineChars="200"/>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ind w:firstLine="640" w:firstLineChars="200"/>
        <w:rPr>
          <w:rFonts w:ascii="仿宋_GB2312" w:eastAsia="仿宋_GB2312"/>
          <w:sz w:val="32"/>
          <w:szCs w:val="32"/>
        </w:rPr>
      </w:pPr>
      <w:bookmarkStart w:id="20" w:name="_Toc7314"/>
      <w:bookmarkStart w:id="21" w:name="_Toc1235"/>
      <w:r>
        <w:rPr>
          <w:rFonts w:hint="eastAsia" w:ascii="仿宋_GB2312" w:eastAsia="仿宋_GB2312"/>
          <w:sz w:val="32"/>
          <w:szCs w:val="32"/>
        </w:rPr>
        <w:t>我单位本年度无国有资本经营预算财政拨款收入、支出及结转和结余，国有资本经营预算财政拨款收入支出决算表为空表。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zh-CN" w:eastAsia="zh-CN"/>
        </w:rPr>
      </w:pPr>
      <w:bookmarkStart w:id="24" w:name="_Toc26704"/>
      <w:bookmarkStart w:id="25" w:name="_Toc227"/>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新疆维吾尔自治区塔里木河流域干流管理局下游管理处</w:t>
      </w:r>
      <w:r>
        <w:rPr>
          <w:rFonts w:hint="eastAsia" w:ascii="Times New Roman" w:hAnsi="Times New Roman" w:eastAsia="仿宋_GB2312" w:cs="Times New Roman"/>
          <w:color w:val="auto"/>
          <w:sz w:val="32"/>
          <w:szCs w:val="32"/>
          <w:highlight w:val="none"/>
          <w:lang w:val="zh-CN" w:eastAsia="zh-CN"/>
        </w:rPr>
        <w:t>（事业单位）公用经费支出24.86万元，比上年减少0.39万元，下降1.56%，主要原因是：</w:t>
      </w:r>
      <w:r>
        <w:rPr>
          <w:rFonts w:hint="default" w:ascii="Times New Roman" w:hAnsi="Times New Roman" w:eastAsia="仿宋_GB2312" w:cs="Times New Roman"/>
          <w:color w:val="auto"/>
          <w:sz w:val="32"/>
          <w:szCs w:val="32"/>
          <w:highlight w:val="none"/>
          <w:lang w:val="en-US" w:eastAsia="zh-CN"/>
        </w:rPr>
        <w:t>我单位全面落实“过紧日子”要求，厉行勤俭节约，压减</w:t>
      </w:r>
      <w:r>
        <w:rPr>
          <w:rFonts w:hint="default" w:ascii="Times New Roman" w:hAnsi="Times New Roman" w:eastAsia="仿宋_GB2312" w:cs="Times New Roman"/>
          <w:color w:val="auto"/>
          <w:sz w:val="32"/>
          <w:szCs w:val="32"/>
          <w:highlight w:val="none"/>
          <w:lang w:val="zh-CN" w:eastAsia="zh-CN"/>
        </w:rPr>
        <w:t>公用经费支出</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10.08万元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其中：政府采购货物支出3.61万元、政府采购工程支出0.00万元、政府采购服务支出6.47万元。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授予中小企业合同金额9.74万元，占政府采购支出总额的96.65</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，其中：授予小微企业合同金额9.32万元，占政府采购支出总额的92.49</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0.00</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屋0.0平方米，价值0.00万元。车辆0辆，价值0.00万元，其中：副部（省）级及以上领导用车0辆、主要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用车0辆、其他用车0辆，其他用车主要是：</w:t>
      </w:r>
      <w:r>
        <w:rPr>
          <w:rFonts w:hint="eastAsia" w:ascii="仿宋_GB2312" w:eastAsia="仿宋_GB2312"/>
          <w:sz w:val="32"/>
          <w:szCs w:val="32"/>
        </w:rPr>
        <w:t>我单位无其他用车</w:t>
      </w:r>
      <w:r>
        <w:rPr>
          <w:rFonts w:hint="eastAsia" w:ascii="Times New Roman" w:hAnsi="Times New Roman" w:eastAsia="仿宋_GB2312" w:cs="Times New Roman"/>
          <w:color w:val="auto"/>
          <w:sz w:val="32"/>
          <w:szCs w:val="32"/>
          <w:highlight w:val="none"/>
          <w:lang w:val="zh-CN" w:eastAsia="zh-CN"/>
        </w:rPr>
        <w:t>；单价100万元（含）以上设备（不含车辆）0</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ind w:firstLine="640" w:firstLineChars="200"/>
        <w:rPr>
          <w:rFonts w:ascii="仿宋_GB2312" w:eastAsia="仿宋_GB2312"/>
          <w:sz w:val="32"/>
          <w:szCs w:val="32"/>
        </w:rPr>
      </w:pPr>
      <w:r>
        <w:rPr>
          <w:rFonts w:hint="eastAsia" w:ascii="仿宋_GB2312" w:eastAsia="仿宋_GB2312"/>
          <w:sz w:val="32"/>
          <w:szCs w:val="32"/>
        </w:rPr>
        <w:t>根据预算绩效管理要求，我单位</w:t>
      </w:r>
      <w:r>
        <w:rPr>
          <w:rFonts w:ascii="仿宋_GB2312" w:eastAsia="仿宋_GB2312"/>
          <w:sz w:val="32"/>
          <w:szCs w:val="32"/>
        </w:rPr>
        <w:t>202</w:t>
      </w:r>
      <w:r>
        <w:rPr>
          <w:rFonts w:hint="eastAsia" w:ascii="仿宋_GB2312" w:eastAsia="仿宋_GB2312"/>
          <w:sz w:val="32"/>
          <w:szCs w:val="32"/>
          <w:lang w:val="en-US" w:eastAsia="zh-CN"/>
        </w:rPr>
        <w:t>3</w:t>
      </w:r>
      <w:r>
        <w:rPr>
          <w:rFonts w:hint="eastAsia" w:ascii="仿宋_GB2312" w:eastAsia="仿宋_GB2312"/>
          <w:sz w:val="32"/>
          <w:szCs w:val="32"/>
        </w:rPr>
        <w:t>年度开展预算绩效评价项目</w:t>
      </w:r>
      <w:r>
        <w:rPr>
          <w:rFonts w:ascii="仿宋_GB2312" w:eastAsia="仿宋_GB2312"/>
          <w:sz w:val="32"/>
          <w:szCs w:val="32"/>
        </w:rPr>
        <w:t>0</w:t>
      </w:r>
      <w:r>
        <w:rPr>
          <w:rFonts w:hint="eastAsia" w:ascii="仿宋_GB2312" w:eastAsia="仿宋_GB2312"/>
          <w:sz w:val="32"/>
          <w:szCs w:val="32"/>
        </w:rPr>
        <w:t>个，全年预算数0.00万元，全年执行数0.00万元，我单位整体支出绩效自评表由主管部门编报并公开</w:t>
      </w:r>
      <w:r>
        <w:rPr>
          <w:rFonts w:hint="eastAsia" w:ascii="仿宋_GB2312" w:eastAsia="仿宋_GB2312"/>
          <w:sz w:val="32"/>
          <w:szCs w:val="32"/>
          <w:lang w:eastAsia="zh-CN"/>
        </w:rPr>
        <w:t>。</w:t>
      </w:r>
      <w:r>
        <w:rPr>
          <w:rFonts w:hint="eastAsia" w:ascii="仿宋_GB2312" w:eastAsia="仿宋_GB2312"/>
          <w:sz w:val="32"/>
          <w:szCs w:val="32"/>
        </w:rPr>
        <w:t>预算绩效管理取得的成效：</w:t>
      </w:r>
      <w:r>
        <w:rPr>
          <w:rFonts w:ascii="仿宋_GB2312" w:eastAsia="仿宋_GB2312"/>
          <w:sz w:val="32"/>
          <w:szCs w:val="32"/>
        </w:rPr>
        <w:t>干流管理局</w:t>
      </w:r>
      <w:r>
        <w:rPr>
          <w:rFonts w:hint="eastAsia" w:ascii="仿宋_GB2312" w:eastAsia="仿宋_GB2312"/>
          <w:sz w:val="32"/>
          <w:szCs w:val="32"/>
          <w:lang w:eastAsia="zh-CN"/>
        </w:rPr>
        <w:t>下游</w:t>
      </w:r>
      <w:r>
        <w:rPr>
          <w:rFonts w:ascii="仿宋_GB2312" w:eastAsia="仿宋_GB2312"/>
          <w:sz w:val="32"/>
          <w:szCs w:val="32"/>
        </w:rPr>
        <w:t>管理处无项目支出，无预算绩效自评</w:t>
      </w:r>
      <w:r>
        <w:rPr>
          <w:rFonts w:hint="eastAsia" w:ascii="仿宋_GB2312" w:eastAsia="仿宋_GB2312"/>
          <w:sz w:val="32"/>
          <w:szCs w:val="32"/>
        </w:rPr>
        <w:t>。发现的问题及原因：</w:t>
      </w:r>
      <w:r>
        <w:rPr>
          <w:rFonts w:ascii="仿宋_GB2312" w:eastAsia="仿宋_GB2312"/>
          <w:sz w:val="32"/>
          <w:szCs w:val="32"/>
        </w:rPr>
        <w:t>干流管理局</w:t>
      </w:r>
      <w:r>
        <w:rPr>
          <w:rFonts w:hint="eastAsia" w:ascii="仿宋_GB2312" w:eastAsia="仿宋_GB2312"/>
          <w:sz w:val="32"/>
          <w:szCs w:val="32"/>
          <w:lang w:eastAsia="zh-CN"/>
        </w:rPr>
        <w:t>下游</w:t>
      </w:r>
      <w:r>
        <w:rPr>
          <w:rFonts w:ascii="仿宋_GB2312" w:eastAsia="仿宋_GB2312"/>
          <w:sz w:val="32"/>
          <w:szCs w:val="32"/>
        </w:rPr>
        <w:t>管理处无项目支出，无预算绩效自评</w:t>
      </w:r>
      <w:r>
        <w:rPr>
          <w:rFonts w:hint="eastAsia" w:ascii="仿宋_GB2312" w:eastAsia="仿宋_GB2312"/>
          <w:sz w:val="32"/>
          <w:szCs w:val="32"/>
        </w:rPr>
        <w:t>。下一步改进措施：</w:t>
      </w:r>
      <w:r>
        <w:rPr>
          <w:rFonts w:ascii="仿宋_GB2312" w:eastAsia="仿宋_GB2312"/>
          <w:sz w:val="32"/>
          <w:szCs w:val="32"/>
        </w:rPr>
        <w:t>干流管理局</w:t>
      </w:r>
      <w:r>
        <w:rPr>
          <w:rFonts w:hint="eastAsia" w:ascii="仿宋_GB2312" w:eastAsia="仿宋_GB2312"/>
          <w:sz w:val="32"/>
          <w:szCs w:val="32"/>
          <w:lang w:eastAsia="zh-CN"/>
        </w:rPr>
        <w:t>下游</w:t>
      </w:r>
      <w:r>
        <w:rPr>
          <w:rFonts w:ascii="仿宋_GB2312" w:eastAsia="仿宋_GB2312"/>
          <w:sz w:val="32"/>
          <w:szCs w:val="32"/>
        </w:rPr>
        <w:t>管理处无项目支出，无预算绩效自评</w:t>
      </w:r>
      <w:r>
        <w:rPr>
          <w:rFonts w:hint="eastAsia" w:ascii="仿宋_GB2312" w:eastAsia="仿宋_GB2312"/>
          <w:sz w:val="32"/>
          <w:szCs w:val="32"/>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0347"/>
      <w:bookmarkStart w:id="41" w:name="_Toc14869"/>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5626"/>
      <w:bookmarkStart w:id="43" w:name="_Toc8884"/>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74D34E9-FCBB-4635-9438-A562495BB35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embedRegular r:id="rId2" w:fontKey="{6F42F7F5-9B22-42C7-AA6A-DEF7ADEF4E6C}"/>
  </w:font>
  <w:font w:name="仿宋_GB2312">
    <w:panose1 w:val="02010609030101010101"/>
    <w:charset w:val="86"/>
    <w:family w:val="modern"/>
    <w:pitch w:val="default"/>
    <w:sig w:usb0="00000001" w:usb1="080E0000" w:usb2="00000000" w:usb3="00000000" w:csb0="00040000" w:csb1="00000000"/>
    <w:embedRegular r:id="rId3" w:fontKey="{23CC3F58-78CB-4487-8780-FCA9F06B913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Njk1ZGVkM2M4YzlmYjQxMDYzMWVmMDg3OTgyNzMifQ=="/>
    <w:docVar w:name="KSO_WPS_MARK_KEY" w:val="41ee2a61-2d54-4f93-83be-afdb9a40d732"/>
  </w:docVars>
  <w:rsids>
    <w:rsidRoot w:val="00000000"/>
    <w:rsid w:val="00213C59"/>
    <w:rsid w:val="003210CE"/>
    <w:rsid w:val="00B70D59"/>
    <w:rsid w:val="00F52A8D"/>
    <w:rsid w:val="017B0972"/>
    <w:rsid w:val="019404F8"/>
    <w:rsid w:val="02BD3108"/>
    <w:rsid w:val="02F73D26"/>
    <w:rsid w:val="034D4FEF"/>
    <w:rsid w:val="035D1785"/>
    <w:rsid w:val="039F47CE"/>
    <w:rsid w:val="03E05CE8"/>
    <w:rsid w:val="03F973EE"/>
    <w:rsid w:val="043E5B56"/>
    <w:rsid w:val="04C04386"/>
    <w:rsid w:val="04FA68C4"/>
    <w:rsid w:val="053F5AE6"/>
    <w:rsid w:val="057C0B0F"/>
    <w:rsid w:val="05EF4B48"/>
    <w:rsid w:val="05F76ECA"/>
    <w:rsid w:val="06792773"/>
    <w:rsid w:val="06F537E7"/>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B34C2F"/>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B91EDA"/>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791D63"/>
    <w:rsid w:val="29CB58F0"/>
    <w:rsid w:val="2A053397"/>
    <w:rsid w:val="2A145E96"/>
    <w:rsid w:val="2AEC444F"/>
    <w:rsid w:val="2AF5378F"/>
    <w:rsid w:val="2BB94DBF"/>
    <w:rsid w:val="2C6F314E"/>
    <w:rsid w:val="2CC206BE"/>
    <w:rsid w:val="2D1136DF"/>
    <w:rsid w:val="2D20606D"/>
    <w:rsid w:val="2DB87198"/>
    <w:rsid w:val="2DB93C54"/>
    <w:rsid w:val="2E2B5EC2"/>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AFC487D"/>
    <w:rsid w:val="3B6716E3"/>
    <w:rsid w:val="3B6C6B2D"/>
    <w:rsid w:val="3C242659"/>
    <w:rsid w:val="3C96719C"/>
    <w:rsid w:val="3CA72BE8"/>
    <w:rsid w:val="3CF37F8C"/>
    <w:rsid w:val="3D137554"/>
    <w:rsid w:val="3D5275AC"/>
    <w:rsid w:val="3DCC2473"/>
    <w:rsid w:val="3DD823EF"/>
    <w:rsid w:val="3DEB0883"/>
    <w:rsid w:val="3E2527BF"/>
    <w:rsid w:val="3E731662"/>
    <w:rsid w:val="3E8168DD"/>
    <w:rsid w:val="3EA7725F"/>
    <w:rsid w:val="3EB03713"/>
    <w:rsid w:val="3EBF1A11"/>
    <w:rsid w:val="3EC52607"/>
    <w:rsid w:val="3EEC6CEF"/>
    <w:rsid w:val="3F183429"/>
    <w:rsid w:val="3F7516DA"/>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762A3B"/>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0F3FFA"/>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926973"/>
    <w:rsid w:val="57BC40AE"/>
    <w:rsid w:val="58175352"/>
    <w:rsid w:val="581F2200"/>
    <w:rsid w:val="583059FA"/>
    <w:rsid w:val="584A0929"/>
    <w:rsid w:val="58CD2491"/>
    <w:rsid w:val="591B41B2"/>
    <w:rsid w:val="59254A26"/>
    <w:rsid w:val="59326325"/>
    <w:rsid w:val="595C505B"/>
    <w:rsid w:val="595E55C3"/>
    <w:rsid w:val="596E7E20"/>
    <w:rsid w:val="5A4F7C8D"/>
    <w:rsid w:val="5A60780B"/>
    <w:rsid w:val="5AB34579"/>
    <w:rsid w:val="5ACD06F2"/>
    <w:rsid w:val="5AFC6609"/>
    <w:rsid w:val="5B113480"/>
    <w:rsid w:val="5BD456CE"/>
    <w:rsid w:val="5C0D1F49"/>
    <w:rsid w:val="5C1178F0"/>
    <w:rsid w:val="5CBB0CE2"/>
    <w:rsid w:val="5CC17177"/>
    <w:rsid w:val="5CF306BC"/>
    <w:rsid w:val="5D3F3D64"/>
    <w:rsid w:val="5D833043"/>
    <w:rsid w:val="5DD92690"/>
    <w:rsid w:val="5DDB1CFD"/>
    <w:rsid w:val="5E7E6D93"/>
    <w:rsid w:val="5ED44800"/>
    <w:rsid w:val="5EF552A7"/>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2146FB"/>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0A12CB"/>
    <w:rsid w:val="691B3D98"/>
    <w:rsid w:val="693748F0"/>
    <w:rsid w:val="69846A0E"/>
    <w:rsid w:val="69AD798C"/>
    <w:rsid w:val="69D005C0"/>
    <w:rsid w:val="69D80B96"/>
    <w:rsid w:val="6A457122"/>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A30606"/>
    <w:rsid w:val="72D068C7"/>
    <w:rsid w:val="72E42ED8"/>
    <w:rsid w:val="735F4CB9"/>
    <w:rsid w:val="73674C62"/>
    <w:rsid w:val="73845865"/>
    <w:rsid w:val="739B6D9E"/>
    <w:rsid w:val="73BC1D76"/>
    <w:rsid w:val="73FB6630"/>
    <w:rsid w:val="748D790E"/>
    <w:rsid w:val="749820CC"/>
    <w:rsid w:val="74CE04EC"/>
    <w:rsid w:val="74E76DCD"/>
    <w:rsid w:val="74ED6353"/>
    <w:rsid w:val="751D7C0A"/>
    <w:rsid w:val="75722D56"/>
    <w:rsid w:val="75DB5477"/>
    <w:rsid w:val="75FC6AC3"/>
    <w:rsid w:val="7616619B"/>
    <w:rsid w:val="76660D7C"/>
    <w:rsid w:val="766C5968"/>
    <w:rsid w:val="76B94AFE"/>
    <w:rsid w:val="76BE0C8F"/>
    <w:rsid w:val="76CD53B2"/>
    <w:rsid w:val="770719AC"/>
    <w:rsid w:val="776526CC"/>
    <w:rsid w:val="77A262E1"/>
    <w:rsid w:val="77B13C33"/>
    <w:rsid w:val="77D870ED"/>
    <w:rsid w:val="77ED6F44"/>
    <w:rsid w:val="77F45548"/>
    <w:rsid w:val="784E7CA6"/>
    <w:rsid w:val="78574801"/>
    <w:rsid w:val="7873527F"/>
    <w:rsid w:val="788B412F"/>
    <w:rsid w:val="790A6425"/>
    <w:rsid w:val="790E2D96"/>
    <w:rsid w:val="791B54B2"/>
    <w:rsid w:val="795A0A34"/>
    <w:rsid w:val="797339C3"/>
    <w:rsid w:val="79D57D57"/>
    <w:rsid w:val="79F00650"/>
    <w:rsid w:val="7A15284A"/>
    <w:rsid w:val="7A6242BF"/>
    <w:rsid w:val="7A794513"/>
    <w:rsid w:val="7AE952D2"/>
    <w:rsid w:val="7C976D69"/>
    <w:rsid w:val="7CCF45C2"/>
    <w:rsid w:val="7CD752DA"/>
    <w:rsid w:val="7CDE40AB"/>
    <w:rsid w:val="7CF057E2"/>
    <w:rsid w:val="7D1548B5"/>
    <w:rsid w:val="7DF84014"/>
    <w:rsid w:val="7E207949"/>
    <w:rsid w:val="7E5C0A47"/>
    <w:rsid w:val="7E670C75"/>
    <w:rsid w:val="7EE24272"/>
    <w:rsid w:val="7EEA6053"/>
    <w:rsid w:val="7F487C04"/>
    <w:rsid w:val="7FB45F21"/>
    <w:rsid w:val="7FE57088"/>
    <w:rsid w:val="7FEC40C4"/>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5151</Words>
  <Characters>5757</Characters>
  <Lines>0</Lines>
  <Paragraphs>0</Paragraphs>
  <TotalTime>1</TotalTime>
  <ScaleCrop>false</ScaleCrop>
  <LinksUpToDate>false</LinksUpToDate>
  <CharactersWithSpaces>5768</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DELL</cp:lastModifiedBy>
  <dcterms:modified xsi:type="dcterms:W3CDTF">2024-09-02T03:47:28Z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D624B15633CD43C8BF9435464A96BF70</vt:lpwstr>
  </property>
</Properties>
</file>