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ascii="黑体" w:hAnsi="黑体" w:eastAsia="黑体"/>
          <w:color w:val="auto"/>
          <w:sz w:val="32"/>
          <w:szCs w:val="32"/>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lang w:val="en-US" w:eastAsia="zh-CN"/>
        </w:rPr>
      </w:pPr>
      <w:r>
        <w:rPr>
          <w:rFonts w:hint="eastAsia" w:ascii="方正小标宋_GBK" w:hAnsi="宋体" w:eastAsia="方正小标宋_GBK"/>
          <w:color w:val="auto"/>
          <w:sz w:val="44"/>
          <w:szCs w:val="44"/>
          <w:highlight w:val="none"/>
          <w:lang w:val="en-US" w:eastAsia="zh-CN"/>
        </w:rPr>
        <w:t>新疆维吾尔自治区塔里木河流域干流管理局上游管理处</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lang w:eastAsia="zh-CN"/>
        </w:rPr>
        <w:t xml:space="preserve"> 2023年度</w:t>
      </w:r>
      <w:r>
        <w:rPr>
          <w:rFonts w:hint="eastAsia" w:ascii="方正小标宋_GBK" w:hAnsi="宋体" w:eastAsia="方正小标宋_GBK"/>
          <w:color w:val="auto"/>
          <w:sz w:val="44"/>
          <w:szCs w:val="44"/>
          <w:highlight w:val="none"/>
        </w:rPr>
        <w:t>部门决算</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t>公开说明</w:t>
      </w:r>
    </w:p>
    <w:p>
      <w:pPr>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color w:val="auto"/>
          <w:kern w:val="0"/>
          <w:sz w:val="32"/>
          <w:szCs w:val="32"/>
          <w:highlight w:val="none"/>
        </w:rPr>
      </w:pPr>
      <w:r>
        <w:rPr>
          <w:rFonts w:hint="eastAsia" w:ascii="仿宋_GB2312" w:hAnsi="仿宋_GB2312" w:eastAsia="仿宋_GB2312" w:cs="仿宋_GB2312"/>
          <w:b/>
          <w:bCs w:val="0"/>
          <w:color w:val="auto"/>
          <w:kern w:val="0"/>
          <w:sz w:val="36"/>
          <w:szCs w:val="36"/>
          <w:highlight w:val="none"/>
        </w:rPr>
        <w:t>目  录</w:t>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TOC \o "1-3" \n  \h \u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_Toc32314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 xml:space="preserve">第一部分 </w:t>
      </w:r>
      <w:r>
        <w:rPr>
          <w:rFonts w:hint="eastAsia" w:ascii="仿宋_GB2312" w:hAnsi="仿宋_GB2312" w:eastAsia="仿宋_GB2312" w:cs="仿宋_GB2312"/>
          <w:b/>
          <w:bCs/>
          <w:color w:val="auto"/>
          <w:sz w:val="32"/>
          <w:szCs w:val="32"/>
          <w:highlight w:val="none"/>
          <w:lang w:eastAsia="zh-CN"/>
        </w:rPr>
        <w:t>单位</w:t>
      </w:r>
      <w:r>
        <w:rPr>
          <w:rFonts w:hint="eastAsia" w:ascii="仿宋_GB2312" w:hAnsi="仿宋_GB2312" w:eastAsia="仿宋_GB2312" w:cs="仿宋_GB2312"/>
          <w:b/>
          <w:bCs/>
          <w:color w:val="auto"/>
          <w:sz w:val="32"/>
          <w:szCs w:val="32"/>
          <w:highlight w:val="none"/>
        </w:rPr>
        <w:t>概况</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_Toc30567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一、主要职能</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二、机构设置</w:t>
      </w:r>
      <w:r>
        <w:rPr>
          <w:rFonts w:hint="eastAsia" w:ascii="仿宋_GB2312" w:hAnsi="仿宋_GB2312" w:eastAsia="仿宋_GB2312" w:cs="仿宋_GB2312"/>
          <w:bCs/>
          <w:color w:val="auto"/>
          <w:kern w:val="0"/>
          <w:sz w:val="32"/>
          <w:szCs w:val="32"/>
          <w:highlight w:val="none"/>
          <w:lang w:eastAsia="zh-CN"/>
        </w:rPr>
        <w:t>及人员</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color w:val="auto"/>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_Toc29374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第二部分 部门决算情况说明</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_Toc25314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一、收入支出决算总体情况说明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_Toc12142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二、</w:t>
      </w:r>
      <w:r>
        <w:rPr>
          <w:rFonts w:hint="eastAsia" w:ascii="仿宋_GB2312" w:hAnsi="仿宋_GB2312" w:eastAsia="仿宋_GB2312" w:cs="仿宋_GB2312"/>
          <w:bCs/>
          <w:color w:val="auto"/>
          <w:kern w:val="0"/>
          <w:sz w:val="32"/>
          <w:szCs w:val="32"/>
          <w:highlight w:val="none"/>
        </w:rPr>
        <w:t>收入</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_Toc13201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三、支出决算情况说明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_Toc26564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四、财政拨款收入支出决算总体情况说明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_Toc20360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五、一般公共预算财政拨款支出决算情况说明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_Toc30870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六、一般公共预算财政拨款基本支出决算情况说明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_Toc21518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七</w:t>
      </w:r>
      <w:r>
        <w:rPr>
          <w:rFonts w:hint="eastAsia" w:ascii="仿宋_GB2312" w:hAnsi="仿宋_GB2312" w:eastAsia="仿宋_GB2312" w:cs="仿宋_GB2312"/>
          <w:bCs/>
          <w:color w:val="auto"/>
          <w:kern w:val="0"/>
          <w:sz w:val="32"/>
          <w:szCs w:val="32"/>
          <w:highlight w:val="none"/>
        </w:rPr>
        <w:t>、</w:t>
      </w:r>
      <w:r>
        <w:rPr>
          <w:rFonts w:hint="eastAsia" w:ascii="仿宋_GB2312" w:hAnsi="仿宋_GB2312" w:eastAsia="仿宋_GB2312" w:cs="仿宋_GB2312"/>
          <w:bCs/>
          <w:color w:val="auto"/>
          <w:kern w:val="0"/>
          <w:sz w:val="32"/>
          <w:szCs w:val="32"/>
          <w:highlight w:val="none"/>
          <w:lang w:eastAsia="zh-CN"/>
        </w:rPr>
        <w:t>财政拨款</w:t>
      </w:r>
      <w:r>
        <w:rPr>
          <w:rFonts w:hint="eastAsia" w:ascii="仿宋_GB2312" w:hAnsi="仿宋_GB2312" w:eastAsia="仿宋_GB2312" w:cs="仿宋_GB2312"/>
          <w:bCs/>
          <w:color w:val="auto"/>
          <w:kern w:val="0"/>
          <w:sz w:val="32"/>
          <w:szCs w:val="32"/>
          <w:highlight w:val="none"/>
        </w:rPr>
        <w:t>“三公”经费支出</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lang w:eastAsia="zh-CN"/>
        </w:rPr>
        <w:t>政府性基金预算财政拨款收入支出决算情况说明</w:t>
      </w:r>
      <w:r>
        <w:rPr>
          <w:rFonts w:hint="eastAsia" w:ascii="仿宋_GB2312" w:hAnsi="仿宋_GB2312" w:eastAsia="仿宋_GB2312" w:cs="仿宋_GB2312"/>
          <w:color w:val="auto"/>
          <w:sz w:val="32"/>
          <w:szCs w:val="32"/>
          <w:highlight w:val="none"/>
        </w:rPr>
        <w:fldChar w:fldCharType="end"/>
      </w:r>
    </w:p>
    <w:p>
      <w:pPr>
        <w:rPr>
          <w:rFonts w:hint="eastAsia"/>
          <w:color w:val="auto"/>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、国有资本经营预算财政拨款收入支出决算情况说明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_Toc1235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十</w:t>
      </w:r>
      <w:r>
        <w:rPr>
          <w:rFonts w:hint="eastAsia" w:ascii="仿宋_GB2312" w:hAnsi="仿宋_GB2312" w:eastAsia="仿宋_GB2312" w:cs="仿宋_GB2312"/>
          <w:bCs/>
          <w:color w:val="auto"/>
          <w:kern w:val="0"/>
          <w:sz w:val="32"/>
          <w:szCs w:val="32"/>
          <w:highlight w:val="none"/>
        </w:rPr>
        <w:t>、其他重要事项的情况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_Toc14519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（一）</w:t>
      </w:r>
      <w:r>
        <w:rPr>
          <w:rFonts w:hint="eastAsia" w:ascii="仿宋_GB2312" w:hAnsi="仿宋_GB2312" w:eastAsia="仿宋_GB2312" w:cs="仿宋_GB2312"/>
          <w:color w:val="auto"/>
          <w:sz w:val="32"/>
          <w:szCs w:val="32"/>
          <w:highlight w:val="none"/>
        </w:rPr>
        <w:t>机关运行经费支出情况</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_Toc227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（二）政府采购情况</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_Toc8391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（三）国有资产占用情况说明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_Toc11283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十</w:t>
      </w:r>
      <w:r>
        <w:rPr>
          <w:rFonts w:hint="eastAsia" w:ascii="仿宋_GB2312" w:hAnsi="仿宋_GB2312" w:eastAsia="仿宋_GB2312" w:cs="仿宋_GB2312"/>
          <w:bCs/>
          <w:color w:val="auto"/>
          <w:kern w:val="0"/>
          <w:sz w:val="32"/>
          <w:szCs w:val="32"/>
          <w:highlight w:val="none"/>
          <w:lang w:val="en-US" w:eastAsia="zh-CN"/>
        </w:rPr>
        <w:t>一</w:t>
      </w:r>
      <w:r>
        <w:rPr>
          <w:rFonts w:hint="eastAsia" w:ascii="仿宋_GB2312" w:hAnsi="仿宋_GB2312" w:eastAsia="仿宋_GB2312" w:cs="仿宋_GB2312"/>
          <w:bCs/>
          <w:color w:val="auto"/>
          <w:kern w:val="0"/>
          <w:sz w:val="32"/>
          <w:szCs w:val="32"/>
          <w:highlight w:val="none"/>
          <w:lang w:eastAsia="zh-CN"/>
        </w:rPr>
        <w:t>、预算绩效的情况说明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十二、其他需说明的事项</w:t>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_Toc3250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第三部分 专业名词解释</w:t>
      </w:r>
      <w:r>
        <w:rPr>
          <w:rFonts w:hint="eastAsia" w:ascii="仿宋_GB2312" w:hAnsi="仿宋_GB2312" w:eastAsia="仿宋_GB2312" w:cs="仿宋_GB2312"/>
          <w:b/>
          <w:bCs/>
          <w:color w:val="auto"/>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_Toc22784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第四部分 部门决算报表（见附表）</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_Toc24532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二、《收入决算表》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_Toc32434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三、《支出决算表》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_Toc28786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四、《财政拨款收入支出决算总表》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_Toc14869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五、《一般公共预算财政拨款支出决算表》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_Toc8884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六、《一般公共预算财政拨款基本支出决算表》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_Toc29106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七、《财政拨款“三公”经费支出决算表》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color w:val="auto"/>
          <w:kern w:val="0"/>
          <w:sz w:val="32"/>
          <w:szCs w:val="32"/>
          <w:highlight w:val="none"/>
        </w:rPr>
        <w:instrText xml:space="preserve"> HYPERLINK \l _Toc7643 </w:instrText>
      </w:r>
      <w:r>
        <w:rPr>
          <w:rFonts w:hint="eastAsia" w:ascii="仿宋_GB2312" w:hAnsi="仿宋_GB2312" w:eastAsia="仿宋_GB2312" w:cs="仿宋_GB2312"/>
          <w:bCs/>
          <w:color w:val="auto"/>
          <w:kern w:val="0"/>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rPr>
        <w:t>《政府性基金预算财政拨款收入支出决算表》</w:t>
      </w:r>
      <w:r>
        <w:rPr>
          <w:rFonts w:hint="eastAsia" w:ascii="仿宋_GB2312" w:hAnsi="仿宋_GB2312" w:eastAsia="仿宋_GB2312" w:cs="仿宋_GB2312"/>
          <w:bCs/>
          <w:color w:val="auto"/>
          <w:kern w:val="0"/>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lang w:eastAsia="zh-CN"/>
        </w:rPr>
      </w:pP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w:t>
      </w:r>
      <w:r>
        <w:rPr>
          <w:rFonts w:hint="eastAsia" w:ascii="仿宋_GB2312" w:hAnsi="仿宋_GB2312" w:eastAsia="仿宋_GB2312" w:cs="仿宋_GB2312"/>
          <w:bCs/>
          <w:color w:val="auto"/>
          <w:kern w:val="0"/>
          <w:sz w:val="32"/>
          <w:szCs w:val="32"/>
          <w:highlight w:val="none"/>
        </w:rPr>
        <w:t>预算财政拨款收入支出决算表</w:t>
      </w:r>
      <w:r>
        <w:rPr>
          <w:rFonts w:hint="eastAsia" w:ascii="仿宋_GB2312" w:hAnsi="仿宋_GB2312" w:eastAsia="仿宋_GB2312" w:cs="仿宋_GB2312"/>
          <w:bCs/>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ind w:left="0" w:leftChars="0"/>
        <w:jc w:val="both"/>
        <w:textAlignment w:val="auto"/>
        <w:rPr>
          <w:color w:val="auto"/>
          <w:highlight w:val="none"/>
        </w:rPr>
      </w:pPr>
      <w:r>
        <w:rPr>
          <w:rFonts w:hint="eastAsia" w:ascii="仿宋_GB2312" w:hAnsi="仿宋_GB2312" w:eastAsia="仿宋_GB2312" w:cs="仿宋_GB2312"/>
          <w:color w:val="auto"/>
          <w:sz w:val="32"/>
          <w:szCs w:val="32"/>
          <w:highlight w:val="none"/>
        </w:rPr>
        <w:fldChar w:fldCharType="end"/>
      </w:r>
    </w:p>
    <w:p>
      <w:pPr>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0" w:name="_Toc24028"/>
      <w:bookmarkStart w:id="1" w:name="_Toc32314"/>
      <w:r>
        <w:rPr>
          <w:rFonts w:hint="eastAsia" w:ascii="黑体" w:hAnsi="黑体" w:eastAsia="黑体"/>
          <w:color w:val="auto"/>
          <w:sz w:val="32"/>
          <w:szCs w:val="32"/>
          <w:highlight w:val="none"/>
        </w:rPr>
        <w:t xml:space="preserve">第一部分 </w:t>
      </w:r>
      <w:r>
        <w:rPr>
          <w:rFonts w:hint="eastAsia" w:ascii="黑体" w:hAnsi="黑体" w:eastAsia="黑体"/>
          <w:color w:val="auto"/>
          <w:sz w:val="32"/>
          <w:szCs w:val="32"/>
          <w:highlight w:val="none"/>
          <w:lang w:eastAsia="zh-CN"/>
        </w:rPr>
        <w:t>单位</w:t>
      </w:r>
      <w:r>
        <w:rPr>
          <w:rFonts w:hint="eastAsia" w:ascii="黑体" w:hAnsi="黑体" w:eastAsia="黑体"/>
          <w:color w:val="auto"/>
          <w:sz w:val="32"/>
          <w:szCs w:val="32"/>
          <w:highlight w:val="none"/>
        </w:rPr>
        <w:t>概况</w:t>
      </w:r>
      <w:bookmarkEnd w:id="0"/>
      <w:bookmarkEnd w:id="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ascii="黑体" w:hAnsi="黑体" w:eastAsia="黑体" w:cs="宋体"/>
          <w:bCs/>
          <w:color w:val="auto"/>
          <w:kern w:val="0"/>
          <w:sz w:val="32"/>
          <w:szCs w:val="32"/>
          <w:highlight w:val="none"/>
        </w:rPr>
      </w:pPr>
      <w:bookmarkStart w:id="2" w:name="_Toc30567"/>
      <w:bookmarkStart w:id="3" w:name="_Toc30738"/>
      <w:r>
        <w:rPr>
          <w:rFonts w:hint="eastAsia" w:ascii="黑体" w:hAnsi="黑体" w:eastAsia="黑体" w:cs="宋体"/>
          <w:bCs/>
          <w:color w:val="auto"/>
          <w:kern w:val="0"/>
          <w:sz w:val="32"/>
          <w:szCs w:val="32"/>
          <w:highlight w:val="none"/>
        </w:rPr>
        <w:t>一、主要职能</w:t>
      </w:r>
      <w:bookmarkEnd w:id="2"/>
      <w:bookmarkEnd w:id="3"/>
    </w:p>
    <w:p>
      <w:pPr>
        <w:ind w:firstLine="640" w:firstLineChars="200"/>
        <w:rPr>
          <w:rFonts w:hint="default" w:ascii="黑体" w:hAnsi="黑体" w:eastAsia="仿宋_GB2312" w:cs="宋体"/>
          <w:bCs/>
          <w:kern w:val="0"/>
          <w:sz w:val="32"/>
          <w:szCs w:val="32"/>
          <w:lang w:val="en-US" w:eastAsia="zh-CN"/>
        </w:rPr>
      </w:pPr>
      <w:bookmarkStart w:id="4" w:name="_Toc31238"/>
      <w:bookmarkStart w:id="5" w:name="_Toc2151"/>
      <w:r>
        <w:rPr>
          <w:rFonts w:ascii="仿宋_GB2312" w:eastAsia="仿宋_GB2312"/>
          <w:sz w:val="32"/>
          <w:szCs w:val="32"/>
        </w:rPr>
        <w:t>塔里木河流域干流管理局</w:t>
      </w:r>
      <w:r>
        <w:rPr>
          <w:rFonts w:hint="eastAsia" w:ascii="仿宋_GB2312" w:eastAsia="仿宋_GB2312"/>
          <w:sz w:val="32"/>
          <w:szCs w:val="32"/>
          <w:lang w:val="en-US" w:eastAsia="zh-CN"/>
        </w:rPr>
        <w:t>上</w:t>
      </w:r>
      <w:r>
        <w:rPr>
          <w:rFonts w:ascii="仿宋_GB2312" w:eastAsia="仿宋_GB2312"/>
          <w:sz w:val="32"/>
          <w:szCs w:val="32"/>
        </w:rPr>
        <w:t>游管理处的主要</w:t>
      </w:r>
      <w:r>
        <w:rPr>
          <w:rFonts w:hint="eastAsia" w:ascii="仿宋_GB2312" w:eastAsia="仿宋_GB2312"/>
          <w:sz w:val="32"/>
          <w:szCs w:val="32"/>
          <w:lang w:val="en-US" w:eastAsia="zh-CN"/>
        </w:rPr>
        <w:t>工作职能是</w:t>
      </w:r>
      <w:r>
        <w:rPr>
          <w:rFonts w:ascii="仿宋_GB2312" w:eastAsia="仿宋_GB2312"/>
          <w:sz w:val="32"/>
          <w:szCs w:val="32"/>
        </w:rPr>
        <w:t>：为</w:t>
      </w:r>
      <w:r>
        <w:rPr>
          <w:rFonts w:hint="eastAsia" w:ascii="仿宋_GB2312" w:eastAsia="仿宋_GB2312"/>
          <w:sz w:val="32"/>
          <w:szCs w:val="32"/>
          <w:lang w:val="en-US" w:eastAsia="zh-CN"/>
        </w:rPr>
        <w:t>塔里木河干流上游水利工程提供管理保障，做好塔里木河肖夹克至英巴扎河段水资源管理、河道管理、水利工程的运行管理工作，协调水事关系及干流上游水量调配。</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r>
        <w:rPr>
          <w:rFonts w:hint="eastAsia" w:ascii="黑体" w:hAnsi="黑体" w:eastAsia="黑体" w:cs="宋体"/>
          <w:bCs/>
          <w:color w:val="auto"/>
          <w:kern w:val="0"/>
          <w:sz w:val="32"/>
          <w:szCs w:val="32"/>
          <w:highlight w:val="none"/>
        </w:rPr>
        <w:t>二、机构设置</w:t>
      </w:r>
      <w:r>
        <w:rPr>
          <w:rFonts w:hint="eastAsia" w:ascii="黑体" w:hAnsi="黑体" w:eastAsia="黑体" w:cs="宋体"/>
          <w:bCs/>
          <w:color w:val="auto"/>
          <w:kern w:val="0"/>
          <w:sz w:val="32"/>
          <w:szCs w:val="32"/>
          <w:highlight w:val="none"/>
          <w:lang w:eastAsia="zh-CN"/>
        </w:rPr>
        <w:t>及</w:t>
      </w:r>
      <w:bookmarkEnd w:id="4"/>
      <w:r>
        <w:rPr>
          <w:rFonts w:hint="eastAsia" w:ascii="黑体" w:hAnsi="黑体" w:eastAsia="黑体" w:cs="宋体"/>
          <w:bCs/>
          <w:color w:val="auto"/>
          <w:kern w:val="0"/>
          <w:sz w:val="32"/>
          <w:szCs w:val="32"/>
          <w:highlight w:val="none"/>
          <w:lang w:eastAsia="zh-CN"/>
        </w:rPr>
        <w:t>人员</w:t>
      </w:r>
      <w:r>
        <w:rPr>
          <w:rFonts w:hint="eastAsia" w:ascii="黑体" w:hAnsi="黑体" w:eastAsia="黑体" w:cs="宋体"/>
          <w:bCs/>
          <w:color w:val="auto"/>
          <w:kern w:val="0"/>
          <w:sz w:val="32"/>
          <w:szCs w:val="32"/>
          <w:highlight w:val="none"/>
        </w:rPr>
        <w:t>情况</w:t>
      </w:r>
      <w:bookmarkEnd w:id="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b/>
          <w:color w:val="auto"/>
          <w:sz w:val="32"/>
          <w:szCs w:val="32"/>
          <w:highlight w:val="none"/>
        </w:rPr>
      </w:pPr>
      <w:r>
        <w:rPr>
          <w:rFonts w:hint="eastAsia" w:ascii="仿宋_GB2312" w:eastAsia="仿宋_GB2312"/>
          <w:color w:val="auto"/>
          <w:sz w:val="32"/>
          <w:szCs w:val="32"/>
          <w:highlight w:val="none"/>
          <w:lang w:val="en-US" w:eastAsia="zh-CN"/>
        </w:rPr>
        <w:t>新疆维吾尔自治区塔里木河流域干流管理局上游管理处</w:t>
      </w:r>
      <w:r>
        <w:rPr>
          <w:rFonts w:hint="eastAsia" w:ascii="仿宋_GB2312" w:eastAsia="仿宋_GB2312"/>
          <w:color w:val="auto"/>
          <w:sz w:val="32"/>
          <w:szCs w:val="32"/>
          <w:highlight w:val="none"/>
          <w:lang w:eastAsia="zh-CN"/>
        </w:rPr>
        <w:t>2023年度，</w:t>
      </w:r>
      <w:r>
        <w:rPr>
          <w:rFonts w:hint="eastAsia" w:ascii="仿宋_GB2312" w:eastAsia="仿宋_GB2312"/>
          <w:color w:val="auto"/>
          <w:sz w:val="32"/>
          <w:szCs w:val="32"/>
          <w:highlight w:val="none"/>
        </w:rPr>
        <w:t>实有人数</w:t>
      </w:r>
      <w:r>
        <w:rPr>
          <w:rFonts w:hint="eastAsia" w:ascii="仿宋_GB2312" w:eastAsia="仿宋_GB2312"/>
          <w:color w:val="auto"/>
          <w:sz w:val="32"/>
          <w:szCs w:val="32"/>
          <w:highlight w:val="none"/>
          <w:lang w:val="zh-CN" w:eastAsia="zh-CN"/>
        </w:rPr>
        <w:t>43</w:t>
      </w:r>
      <w:r>
        <w:rPr>
          <w:rFonts w:hint="eastAsia" w:ascii="仿宋_GB2312" w:eastAsia="仿宋_GB2312"/>
          <w:color w:val="auto"/>
          <w:sz w:val="32"/>
          <w:szCs w:val="32"/>
          <w:highlight w:val="none"/>
        </w:rPr>
        <w:t>人，其中：在职人员</w:t>
      </w:r>
      <w:r>
        <w:rPr>
          <w:rFonts w:hint="eastAsia" w:ascii="仿宋_GB2312" w:eastAsia="仿宋_GB2312"/>
          <w:color w:val="auto"/>
          <w:sz w:val="32"/>
          <w:szCs w:val="32"/>
          <w:highlight w:val="none"/>
          <w:lang w:val="zh-CN" w:eastAsia="zh-CN"/>
        </w:rPr>
        <w:t>42</w:t>
      </w:r>
      <w:r>
        <w:rPr>
          <w:rFonts w:hint="eastAsia" w:ascii="仿宋_GB2312" w:eastAsia="仿宋_GB2312"/>
          <w:color w:val="auto"/>
          <w:sz w:val="32"/>
          <w:szCs w:val="32"/>
          <w:highlight w:val="none"/>
        </w:rPr>
        <w:t>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离休人员</w:t>
      </w:r>
      <w:r>
        <w:rPr>
          <w:rFonts w:hint="eastAsia" w:ascii="仿宋_GB2312" w:eastAsia="仿宋_GB2312"/>
          <w:color w:val="auto"/>
          <w:sz w:val="32"/>
          <w:szCs w:val="32"/>
          <w:highlight w:val="none"/>
          <w:lang w:val="zh-CN" w:eastAsia="zh-CN"/>
        </w:rPr>
        <w:t>0</w:t>
      </w:r>
      <w:r>
        <w:rPr>
          <w:rFonts w:hint="eastAsia" w:ascii="仿宋_GB2312" w:eastAsia="仿宋_GB2312"/>
          <w:color w:val="auto"/>
          <w:sz w:val="32"/>
          <w:szCs w:val="32"/>
          <w:highlight w:val="none"/>
        </w:rPr>
        <w:t>人，退休人员</w:t>
      </w:r>
      <w:r>
        <w:rPr>
          <w:rFonts w:hint="eastAsia" w:ascii="仿宋_GB2312" w:eastAsia="仿宋_GB2312"/>
          <w:color w:val="auto"/>
          <w:sz w:val="32"/>
          <w:szCs w:val="32"/>
          <w:highlight w:val="none"/>
          <w:lang w:val="zh-CN" w:eastAsia="zh-CN"/>
        </w:rPr>
        <w:t>1</w:t>
      </w:r>
      <w:r>
        <w:rPr>
          <w:rFonts w:hint="eastAsia" w:ascii="仿宋_GB2312" w:eastAsia="仿宋_GB2312"/>
          <w:color w:val="auto"/>
          <w:sz w:val="32"/>
          <w:szCs w:val="32"/>
          <w:highlight w:val="none"/>
        </w:rPr>
        <w:t>人。</w:t>
      </w:r>
    </w:p>
    <w:p>
      <w:pPr>
        <w:ind w:firstLine="640" w:firstLineChars="200"/>
        <w:rPr>
          <w:rFonts w:ascii="仿宋_GB2312" w:eastAsia="仿宋_GB2312"/>
          <w:sz w:val="32"/>
          <w:szCs w:val="32"/>
        </w:rPr>
      </w:pPr>
      <w:r>
        <w:rPr>
          <w:rFonts w:hint="eastAsia" w:ascii="仿宋_GB2312" w:hAnsi="黑体" w:eastAsia="仿宋_GB2312" w:cs="宋体"/>
          <w:bCs/>
          <w:kern w:val="0"/>
          <w:sz w:val="32"/>
          <w:szCs w:val="32"/>
        </w:rPr>
        <w:t>单位无下属预算单位，下设</w:t>
      </w:r>
      <w:r>
        <w:rPr>
          <w:rFonts w:hint="eastAsia" w:ascii="仿宋_GB2312" w:eastAsia="仿宋_GB2312"/>
          <w:sz w:val="32"/>
          <w:szCs w:val="32"/>
        </w:rPr>
        <w:t>1</w:t>
      </w:r>
      <w:r>
        <w:rPr>
          <w:rFonts w:hint="eastAsia" w:ascii="仿宋_GB2312" w:hAnsi="黑体" w:eastAsia="仿宋_GB2312" w:cs="宋体"/>
          <w:bCs/>
          <w:kern w:val="0"/>
          <w:sz w:val="32"/>
          <w:szCs w:val="32"/>
        </w:rPr>
        <w:t>个处室，分别是：办公室</w:t>
      </w:r>
      <w:r>
        <w:rPr>
          <w:rFonts w:hint="eastAsia" w:ascii="仿宋_GB2312" w:hAnsi="宋体" w:eastAsia="仿宋_GB2312" w:cs="宋体"/>
          <w:kern w:val="0"/>
          <w:sz w:val="32"/>
          <w:szCs w:val="32"/>
        </w:rPr>
        <w:t>。</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6" w:name="_Toc29374"/>
      <w:bookmarkStart w:id="7" w:name="_Toc3092"/>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二</w:t>
      </w:r>
      <w:r>
        <w:rPr>
          <w:rFonts w:hint="eastAsia" w:ascii="黑体" w:hAnsi="黑体" w:eastAsia="黑体"/>
          <w:color w:val="auto"/>
          <w:sz w:val="32"/>
          <w:szCs w:val="32"/>
          <w:highlight w:val="none"/>
        </w:rPr>
        <w:t>部分 部门决算情况说明</w:t>
      </w:r>
      <w:bookmarkEnd w:id="6"/>
      <w:bookmarkEnd w:id="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8" w:name="_Toc12566"/>
      <w:bookmarkStart w:id="9" w:name="_Toc25314"/>
      <w:r>
        <w:rPr>
          <w:rFonts w:hint="eastAsia" w:ascii="黑体" w:hAnsi="黑体" w:eastAsia="黑体" w:cs="宋体"/>
          <w:bCs/>
          <w:color w:val="auto"/>
          <w:kern w:val="0"/>
          <w:sz w:val="32"/>
          <w:szCs w:val="32"/>
          <w:highlight w:val="none"/>
        </w:rPr>
        <w:t>一、收入支出决算总体情况说明</w:t>
      </w:r>
      <w:bookmarkEnd w:id="8"/>
      <w:bookmarkEnd w:id="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 w:eastAsia="仿宋_GB2312" w:cs="Times New Roman"/>
          <w:sz w:val="32"/>
          <w:szCs w:val="32"/>
          <w:lang w:val="en-US" w:eastAsia="zh-CN"/>
        </w:rPr>
      </w:pPr>
      <w:r>
        <w:rPr>
          <w:rFonts w:hint="eastAsia" w:ascii="仿宋_GB2312" w:hAnsi="仿宋" w:eastAsia="仿宋_GB2312" w:cs="Times New Roman"/>
          <w:sz w:val="32"/>
          <w:szCs w:val="32"/>
          <w:lang w:val="en-US" w:eastAsia="zh-CN"/>
        </w:rPr>
        <w:t>2023年度收入总计851.67万元，其中：本年收入合计851.67万元，使用非财政拨款结余0.00万元，年初结转和结余0.00万元。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 w:eastAsia="仿宋_GB2312" w:cs="Times New Roman"/>
          <w:sz w:val="32"/>
          <w:szCs w:val="32"/>
          <w:lang w:val="en-US" w:eastAsia="zh-CN"/>
        </w:rPr>
      </w:pPr>
      <w:r>
        <w:rPr>
          <w:rFonts w:hint="eastAsia" w:ascii="仿宋_GB2312" w:hAnsi="仿宋" w:eastAsia="仿宋_GB2312" w:cs="Times New Roman"/>
          <w:sz w:val="32"/>
          <w:szCs w:val="32"/>
          <w:lang w:val="en-US" w:eastAsia="zh-CN"/>
        </w:rPr>
        <w:t>2023年度支出总计851.67万元，其中：本年支出合计851.67万元，结余分配0.00万元，年末结转和结余0.00万元。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 w:eastAsia="仿宋_GB2312" w:cs="Times New Roman"/>
          <w:sz w:val="32"/>
          <w:szCs w:val="32"/>
          <w:lang w:val="en-US" w:eastAsia="zh-CN"/>
        </w:rPr>
      </w:pPr>
      <w:r>
        <w:rPr>
          <w:rFonts w:hint="eastAsia" w:ascii="仿宋_GB2312" w:hAnsi="仿宋" w:eastAsia="仿宋_GB2312" w:cs="Times New Roman"/>
          <w:sz w:val="32"/>
          <w:szCs w:val="32"/>
          <w:lang w:val="en-US" w:eastAsia="zh-CN"/>
        </w:rPr>
        <w:t>收入支出总体与上年相比，</w:t>
      </w:r>
      <w:r>
        <w:rPr>
          <w:rFonts w:hint="eastAsia" w:ascii="仿宋_GB2312" w:hAnsi="仿宋" w:eastAsia="仿宋_GB2312" w:cs="Times New Roman"/>
          <w:sz w:val="32"/>
          <w:szCs w:val="32"/>
          <w:lang w:val="zh-CN" w:eastAsia="zh-CN"/>
        </w:rPr>
        <w:t>增加149.26万元</w:t>
      </w:r>
      <w:r>
        <w:rPr>
          <w:rFonts w:hint="eastAsia" w:ascii="仿宋_GB2312" w:hAnsi="仿宋" w:eastAsia="仿宋_GB2312" w:cs="Times New Roman"/>
          <w:sz w:val="32"/>
          <w:szCs w:val="32"/>
          <w:lang w:val="en-US" w:eastAsia="zh-CN"/>
        </w:rPr>
        <w:t>，</w:t>
      </w:r>
      <w:r>
        <w:rPr>
          <w:rFonts w:hint="eastAsia" w:ascii="仿宋_GB2312" w:hAnsi="仿宋" w:eastAsia="仿宋_GB2312" w:cs="Times New Roman"/>
          <w:sz w:val="32"/>
          <w:szCs w:val="32"/>
          <w:lang w:val="zh-CN" w:eastAsia="zh-CN"/>
        </w:rPr>
        <w:t>增长21.25%</w:t>
      </w:r>
      <w:r>
        <w:rPr>
          <w:rFonts w:hint="eastAsia" w:ascii="仿宋_GB2312" w:hAnsi="仿宋" w:eastAsia="仿宋_GB2312" w:cs="Times New Roman"/>
          <w:sz w:val="32"/>
          <w:szCs w:val="32"/>
          <w:lang w:val="en-US" w:eastAsia="zh-CN"/>
        </w:rPr>
        <w:t>，主要原因是：2023年单位调增基础工资和基础绩效奖；上游管理处人员职称晋升导致工资福利支出及公用经费有所增长。</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rPr>
      </w:pPr>
      <w:bookmarkStart w:id="10" w:name="_Toc1979"/>
      <w:bookmarkStart w:id="11" w:name="_Toc12142"/>
      <w:r>
        <w:rPr>
          <w:rFonts w:hint="eastAsia" w:ascii="黑体" w:hAnsi="黑体" w:eastAsia="黑体" w:cs="宋体"/>
          <w:bCs/>
          <w:color w:val="auto"/>
          <w:kern w:val="0"/>
          <w:sz w:val="32"/>
          <w:szCs w:val="32"/>
          <w:highlight w:val="none"/>
          <w:lang w:eastAsia="zh-CN"/>
        </w:rPr>
        <w:t>二、</w:t>
      </w:r>
      <w:r>
        <w:rPr>
          <w:rFonts w:hint="eastAsia" w:ascii="黑体" w:hAnsi="黑体" w:eastAsia="黑体" w:cs="宋体"/>
          <w:bCs/>
          <w:color w:val="auto"/>
          <w:kern w:val="0"/>
          <w:sz w:val="32"/>
          <w:szCs w:val="32"/>
          <w:highlight w:val="none"/>
        </w:rPr>
        <w:t>收入</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情况说明</w:t>
      </w:r>
      <w:bookmarkEnd w:id="10"/>
      <w:bookmarkEnd w:id="1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本年收入</w:t>
      </w:r>
      <w:r>
        <w:rPr>
          <w:rFonts w:hint="eastAsia" w:ascii="仿宋_GB2312" w:eastAsia="仿宋_GB2312"/>
          <w:color w:val="auto"/>
          <w:sz w:val="32"/>
          <w:szCs w:val="32"/>
          <w:highlight w:val="none"/>
          <w:lang w:eastAsia="zh-CN"/>
        </w:rPr>
        <w:t>851.67</w:t>
      </w:r>
      <w:r>
        <w:rPr>
          <w:rFonts w:hint="eastAsia" w:ascii="仿宋_GB2312" w:eastAsia="仿宋_GB2312"/>
          <w:color w:val="auto"/>
          <w:sz w:val="32"/>
          <w:szCs w:val="32"/>
          <w:highlight w:val="none"/>
        </w:rPr>
        <w:t>万元，其中：财政拨款收入</w:t>
      </w:r>
      <w:r>
        <w:rPr>
          <w:rFonts w:hint="eastAsia" w:ascii="仿宋_GB2312" w:eastAsia="仿宋_GB2312"/>
          <w:color w:val="auto"/>
          <w:sz w:val="32"/>
          <w:szCs w:val="32"/>
          <w:highlight w:val="none"/>
          <w:lang w:val="zh-CN"/>
        </w:rPr>
        <w:t>851.67</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100.00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；上级补助收入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；事业收入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；经营收入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附属单位上缴收入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；其他收入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2" w:name="_Toc27961"/>
      <w:bookmarkStart w:id="13" w:name="_Toc13201"/>
      <w:r>
        <w:rPr>
          <w:rFonts w:hint="eastAsia" w:ascii="黑体" w:hAnsi="黑体" w:eastAsia="黑体" w:cs="宋体"/>
          <w:bCs/>
          <w:color w:val="auto"/>
          <w:kern w:val="0"/>
          <w:sz w:val="32"/>
          <w:szCs w:val="32"/>
          <w:highlight w:val="none"/>
          <w:lang w:eastAsia="zh-CN"/>
        </w:rPr>
        <w:t>三、支出决算情况说明</w:t>
      </w:r>
      <w:bookmarkEnd w:id="12"/>
      <w:bookmarkEnd w:id="1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仿宋_GB2312"/>
          <w:color w:val="auto"/>
          <w:sz w:val="30"/>
          <w:szCs w:val="30"/>
          <w:highlight w:val="none"/>
          <w:lang w:val="zh-CN" w:eastAsia="zh-CN"/>
        </w:rPr>
      </w:pPr>
      <w:r>
        <w:rPr>
          <w:rFonts w:hint="eastAsia" w:ascii="Times New Roman" w:hAnsi="Times New Roman" w:eastAsia="仿宋_GB2312" w:cs="仿宋_GB2312"/>
          <w:color w:val="auto"/>
          <w:sz w:val="32"/>
          <w:szCs w:val="32"/>
          <w:highlight w:val="none"/>
          <w:lang w:val="zh-CN" w:eastAsia="zh-CN"/>
        </w:rPr>
        <w:t>本年支出851.67万元，其中：基本支出851.67万元，占100.00%；项目支出0.00万元，占0.00%；上缴上级支出0.00万元，占0.00%；经营支出0.00万元，占0.00%；对附属单位补助支出0.00万元，占0.00%。</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4" w:name="_Toc4393"/>
      <w:bookmarkStart w:id="15" w:name="_Toc26564"/>
      <w:r>
        <w:rPr>
          <w:rFonts w:hint="eastAsia" w:ascii="黑体" w:hAnsi="黑体" w:eastAsia="黑体" w:cs="宋体"/>
          <w:bCs/>
          <w:color w:val="auto"/>
          <w:kern w:val="0"/>
          <w:sz w:val="32"/>
          <w:szCs w:val="32"/>
          <w:highlight w:val="none"/>
          <w:lang w:eastAsia="zh-CN"/>
        </w:rPr>
        <w:t>四、财政拨款收入支出决算总体情况说明</w:t>
      </w:r>
      <w:bookmarkEnd w:id="14"/>
      <w:bookmarkEnd w:id="1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 w:eastAsia="仿宋_GB2312" w:cs="Times New Roman"/>
          <w:sz w:val="32"/>
          <w:szCs w:val="32"/>
          <w:lang w:val="en-US" w:eastAsia="zh-CN"/>
        </w:rPr>
      </w:pPr>
      <w:r>
        <w:rPr>
          <w:rFonts w:hint="eastAsia" w:ascii="仿宋_GB2312" w:hAnsi="仿宋" w:eastAsia="仿宋_GB2312" w:cs="Times New Roman"/>
          <w:sz w:val="32"/>
          <w:szCs w:val="32"/>
          <w:lang w:val="en-US" w:eastAsia="zh-CN"/>
        </w:rPr>
        <w:t>2023年度财政拨款收入总计</w:t>
      </w:r>
      <w:r>
        <w:rPr>
          <w:rFonts w:hint="eastAsia" w:ascii="仿宋_GB2312" w:hAnsi="仿宋" w:eastAsia="仿宋_GB2312" w:cs="Times New Roman"/>
          <w:sz w:val="32"/>
          <w:szCs w:val="32"/>
          <w:lang w:val="zh-CN" w:eastAsia="zh-CN"/>
        </w:rPr>
        <w:t>851.67</w:t>
      </w:r>
      <w:r>
        <w:rPr>
          <w:rFonts w:hint="eastAsia" w:ascii="仿宋_GB2312" w:hAnsi="仿宋" w:eastAsia="仿宋_GB2312" w:cs="Times New Roman"/>
          <w:sz w:val="32"/>
          <w:szCs w:val="32"/>
          <w:lang w:val="en-US" w:eastAsia="zh-CN"/>
        </w:rPr>
        <w:t>万元，其中：年初财政拨款结转和结余</w:t>
      </w:r>
      <w:r>
        <w:rPr>
          <w:rFonts w:hint="eastAsia" w:ascii="仿宋_GB2312" w:hAnsi="仿宋" w:eastAsia="仿宋_GB2312" w:cs="Times New Roman"/>
          <w:sz w:val="32"/>
          <w:szCs w:val="32"/>
          <w:lang w:val="zh-CN" w:eastAsia="zh-CN"/>
        </w:rPr>
        <w:t>0.00</w:t>
      </w:r>
      <w:r>
        <w:rPr>
          <w:rFonts w:hint="eastAsia" w:ascii="仿宋_GB2312" w:hAnsi="仿宋" w:eastAsia="仿宋_GB2312" w:cs="Times New Roman"/>
          <w:sz w:val="32"/>
          <w:szCs w:val="32"/>
          <w:lang w:val="en-US" w:eastAsia="zh-CN"/>
        </w:rPr>
        <w:t>万元，本年财政拨款收入</w:t>
      </w:r>
      <w:r>
        <w:rPr>
          <w:rFonts w:hint="eastAsia" w:ascii="仿宋_GB2312" w:hAnsi="仿宋" w:eastAsia="仿宋_GB2312" w:cs="Times New Roman"/>
          <w:sz w:val="32"/>
          <w:szCs w:val="32"/>
          <w:lang w:val="zh-CN" w:eastAsia="zh-CN"/>
        </w:rPr>
        <w:t>851.67</w:t>
      </w:r>
      <w:r>
        <w:rPr>
          <w:rFonts w:hint="eastAsia" w:ascii="仿宋_GB2312" w:hAnsi="仿宋" w:eastAsia="仿宋_GB2312" w:cs="Times New Roman"/>
          <w:sz w:val="32"/>
          <w:szCs w:val="32"/>
          <w:lang w:val="en-US" w:eastAsia="zh-CN"/>
        </w:rPr>
        <w:t>万元。财政拨款支出总计</w:t>
      </w:r>
      <w:r>
        <w:rPr>
          <w:rFonts w:hint="eastAsia" w:ascii="仿宋_GB2312" w:hAnsi="仿宋" w:eastAsia="仿宋_GB2312" w:cs="Times New Roman"/>
          <w:sz w:val="32"/>
          <w:szCs w:val="32"/>
          <w:lang w:val="zh-CN" w:eastAsia="zh-CN"/>
        </w:rPr>
        <w:t>851.67</w:t>
      </w:r>
      <w:r>
        <w:rPr>
          <w:rFonts w:hint="eastAsia" w:ascii="仿宋_GB2312" w:hAnsi="仿宋" w:eastAsia="仿宋_GB2312" w:cs="Times New Roman"/>
          <w:sz w:val="32"/>
          <w:szCs w:val="32"/>
          <w:lang w:val="en-US" w:eastAsia="zh-CN"/>
        </w:rPr>
        <w:t>万元，其中：年末财政拨款结转和结余</w:t>
      </w:r>
      <w:r>
        <w:rPr>
          <w:rFonts w:hint="eastAsia" w:ascii="仿宋_GB2312" w:hAnsi="仿宋" w:eastAsia="仿宋_GB2312" w:cs="Times New Roman"/>
          <w:sz w:val="32"/>
          <w:szCs w:val="32"/>
          <w:lang w:val="zh-CN" w:eastAsia="zh-CN"/>
        </w:rPr>
        <w:t>0.00</w:t>
      </w:r>
      <w:r>
        <w:rPr>
          <w:rFonts w:hint="eastAsia" w:ascii="仿宋_GB2312" w:hAnsi="仿宋" w:eastAsia="仿宋_GB2312" w:cs="Times New Roman"/>
          <w:sz w:val="32"/>
          <w:szCs w:val="32"/>
          <w:lang w:val="en-US" w:eastAsia="zh-CN"/>
        </w:rPr>
        <w:t>万元，本年财政拨款支出</w:t>
      </w:r>
      <w:r>
        <w:rPr>
          <w:rFonts w:hint="eastAsia" w:ascii="仿宋_GB2312" w:hAnsi="仿宋" w:eastAsia="仿宋_GB2312" w:cs="Times New Roman"/>
          <w:sz w:val="32"/>
          <w:szCs w:val="32"/>
          <w:lang w:val="zh-CN" w:eastAsia="zh-CN"/>
        </w:rPr>
        <w:t>851.67</w:t>
      </w:r>
      <w:r>
        <w:rPr>
          <w:rFonts w:hint="eastAsia" w:ascii="仿宋_GB2312" w:hAnsi="仿宋" w:eastAsia="仿宋_GB2312" w:cs="Times New Roman"/>
          <w:sz w:val="32"/>
          <w:szCs w:val="32"/>
          <w:lang w:val="en-US" w:eastAsia="zh-CN"/>
        </w:rPr>
        <w:t>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 w:eastAsia="仿宋_GB2312" w:cs="Times New Roman"/>
          <w:sz w:val="32"/>
          <w:szCs w:val="32"/>
          <w:lang w:val="en-US" w:eastAsia="zh-CN"/>
        </w:rPr>
      </w:pPr>
      <w:r>
        <w:rPr>
          <w:rFonts w:hint="eastAsia" w:ascii="仿宋_GB2312" w:hAnsi="仿宋" w:eastAsia="仿宋_GB2312" w:cs="Times New Roman"/>
          <w:sz w:val="32"/>
          <w:szCs w:val="32"/>
          <w:lang w:val="en-US" w:eastAsia="zh-CN"/>
        </w:rPr>
        <w:t>财政拨款收入支出总体与上年相比,</w:t>
      </w:r>
      <w:r>
        <w:rPr>
          <w:rFonts w:hint="eastAsia" w:ascii="仿宋_GB2312" w:hAnsi="仿宋" w:eastAsia="仿宋_GB2312" w:cs="Times New Roman"/>
          <w:sz w:val="32"/>
          <w:szCs w:val="32"/>
          <w:lang w:val="zh-CN" w:eastAsia="zh-CN"/>
        </w:rPr>
        <w:t>增加149.26万元</w:t>
      </w:r>
      <w:r>
        <w:rPr>
          <w:rFonts w:hint="eastAsia" w:ascii="仿宋_GB2312" w:hAnsi="仿宋" w:eastAsia="仿宋_GB2312" w:cs="Times New Roman"/>
          <w:sz w:val="32"/>
          <w:szCs w:val="32"/>
          <w:lang w:val="en-US" w:eastAsia="zh-CN"/>
        </w:rPr>
        <w:t>，</w:t>
      </w:r>
      <w:r>
        <w:rPr>
          <w:rFonts w:hint="eastAsia" w:ascii="仿宋_GB2312" w:hAnsi="仿宋" w:eastAsia="仿宋_GB2312" w:cs="Times New Roman"/>
          <w:sz w:val="32"/>
          <w:szCs w:val="32"/>
          <w:lang w:val="zh-CN" w:eastAsia="zh-CN"/>
        </w:rPr>
        <w:t>增长21.25%，</w:t>
      </w:r>
      <w:r>
        <w:rPr>
          <w:rFonts w:hint="eastAsia" w:ascii="仿宋_GB2312" w:hAnsi="仿宋" w:eastAsia="仿宋_GB2312" w:cs="Times New Roman"/>
          <w:sz w:val="32"/>
          <w:szCs w:val="32"/>
          <w:lang w:val="en-US" w:eastAsia="zh-CN"/>
        </w:rPr>
        <w:t>主要原因是：2023年单位调增基础工资和基础绩效奖；上游管理处人员职称晋升导致工资福利支出及公用经费有所增长。与年初预算相比，年初预算数</w:t>
      </w:r>
      <w:r>
        <w:rPr>
          <w:rFonts w:hint="eastAsia" w:ascii="仿宋_GB2312" w:hAnsi="仿宋" w:eastAsia="仿宋_GB2312" w:cs="Times New Roman"/>
          <w:sz w:val="32"/>
          <w:szCs w:val="32"/>
          <w:lang w:val="zh-CN" w:eastAsia="zh-CN"/>
        </w:rPr>
        <w:t>852.72</w:t>
      </w:r>
      <w:r>
        <w:rPr>
          <w:rFonts w:hint="eastAsia" w:ascii="仿宋_GB2312" w:hAnsi="仿宋" w:eastAsia="仿宋_GB2312" w:cs="Times New Roman"/>
          <w:sz w:val="32"/>
          <w:szCs w:val="32"/>
          <w:lang w:val="en-US" w:eastAsia="zh-CN"/>
        </w:rPr>
        <w:t>万元，决算数</w:t>
      </w:r>
      <w:r>
        <w:rPr>
          <w:rFonts w:hint="eastAsia" w:ascii="仿宋_GB2312" w:hAnsi="仿宋" w:eastAsia="仿宋_GB2312" w:cs="Times New Roman"/>
          <w:sz w:val="32"/>
          <w:szCs w:val="32"/>
          <w:lang w:val="zh-CN" w:eastAsia="zh-CN"/>
        </w:rPr>
        <w:t>851.67</w:t>
      </w:r>
      <w:r>
        <w:rPr>
          <w:rFonts w:hint="eastAsia" w:ascii="仿宋_GB2312" w:hAnsi="仿宋" w:eastAsia="仿宋_GB2312" w:cs="Times New Roman"/>
          <w:sz w:val="32"/>
          <w:szCs w:val="32"/>
          <w:lang w:val="en-US" w:eastAsia="zh-CN"/>
        </w:rPr>
        <w:t>万元，预决算差异率-0.12%，主要原因是：2023年0.03万元公务接待资金未执行完毕及财政收回离退休人员基本医疗保险单位缴费部分资金1.05万元。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6" w:name="_Toc20360"/>
      <w:bookmarkStart w:id="17" w:name="_Toc13833"/>
      <w:r>
        <w:rPr>
          <w:rFonts w:hint="eastAsia" w:ascii="黑体" w:hAnsi="黑体" w:eastAsia="黑体" w:cs="宋体"/>
          <w:bCs/>
          <w:color w:val="auto"/>
          <w:kern w:val="0"/>
          <w:sz w:val="32"/>
          <w:szCs w:val="32"/>
          <w:highlight w:val="none"/>
          <w:lang w:eastAsia="zh-CN"/>
        </w:rPr>
        <w:t>五、一般公共预算财政拨款支出决算情况说明</w:t>
      </w:r>
      <w:bookmarkEnd w:id="16"/>
      <w:bookmarkEnd w:id="1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（一）一般公共预算财政拨款支出决算总体情况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default"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2023年度一般公共预算财政拨款支出851.67万元，占本年支出合计的</w:t>
      </w:r>
      <w:r>
        <w:rPr>
          <w:rFonts w:hint="eastAsia" w:ascii="仿宋_GB2312" w:eastAsia="仿宋_GB2312"/>
          <w:color w:val="auto"/>
          <w:spacing w:val="0"/>
          <w:sz w:val="32"/>
          <w:szCs w:val="32"/>
          <w:highlight w:val="none"/>
          <w:lang w:val="zh-CN" w:eastAsia="zh-CN"/>
        </w:rPr>
        <w:t>100.00%</w:t>
      </w:r>
      <w:r>
        <w:rPr>
          <w:rFonts w:hint="eastAsia" w:ascii="仿宋_GB2312" w:eastAsia="仿宋_GB2312"/>
          <w:color w:val="auto"/>
          <w:spacing w:val="0"/>
          <w:sz w:val="32"/>
          <w:szCs w:val="32"/>
          <w:highlight w:val="none"/>
          <w:lang w:eastAsia="zh-CN"/>
        </w:rPr>
        <w:t>。与上年相比，</w:t>
      </w:r>
      <w:r>
        <w:rPr>
          <w:rFonts w:hint="eastAsia" w:ascii="仿宋_GB2312" w:eastAsia="仿宋_GB2312"/>
          <w:color w:val="auto"/>
          <w:spacing w:val="0"/>
          <w:sz w:val="32"/>
          <w:szCs w:val="32"/>
          <w:highlight w:val="none"/>
          <w:lang w:val="zh-CN" w:eastAsia="zh-CN"/>
        </w:rPr>
        <w:t>增加149.26万元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增长21.25%，</w:t>
      </w:r>
      <w:r>
        <w:rPr>
          <w:rFonts w:hint="eastAsia" w:ascii="仿宋_GB2312" w:eastAsia="仿宋_GB2312"/>
          <w:color w:val="auto"/>
          <w:spacing w:val="0"/>
          <w:sz w:val="32"/>
          <w:szCs w:val="32"/>
          <w:highlight w:val="none"/>
          <w:lang w:eastAsia="zh-CN"/>
        </w:rPr>
        <w:t>主要原因是：</w:t>
      </w:r>
      <w:r>
        <w:rPr>
          <w:rFonts w:hint="eastAsia" w:ascii="仿宋_GB2312" w:hAnsi="仿宋" w:eastAsia="仿宋_GB2312" w:cs="Times New Roman"/>
          <w:sz w:val="32"/>
          <w:szCs w:val="32"/>
          <w:lang w:val="en-US" w:eastAsia="zh-CN"/>
        </w:rPr>
        <w:t>2023年单位调增基础工资和基础绩效奖；上游管理处人员岗位变动，工资福利支出及公用经费有所增长</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852.72</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851.67</w:t>
      </w:r>
      <w:r>
        <w:rPr>
          <w:rFonts w:hint="eastAsia" w:ascii="仿宋_GB2312" w:eastAsia="仿宋_GB2312"/>
          <w:color w:val="auto"/>
          <w:spacing w:val="0"/>
          <w:sz w:val="32"/>
          <w:szCs w:val="32"/>
          <w:highlight w:val="none"/>
          <w:lang w:eastAsia="zh-CN"/>
        </w:rPr>
        <w:t>万元，预决算差异率</w:t>
      </w:r>
      <w:r>
        <w:rPr>
          <w:rFonts w:hint="eastAsia" w:ascii="仿宋_GB2312" w:eastAsia="仿宋_GB2312"/>
          <w:color w:val="auto"/>
          <w:spacing w:val="0"/>
          <w:sz w:val="32"/>
          <w:szCs w:val="32"/>
          <w:highlight w:val="none"/>
          <w:lang w:val="zh-CN" w:eastAsia="zh-CN"/>
        </w:rPr>
        <w:t>-0.12%</w:t>
      </w:r>
      <w:r>
        <w:rPr>
          <w:rFonts w:hint="eastAsia" w:ascii="仿宋_GB2312" w:eastAsia="仿宋_GB2312"/>
          <w:color w:val="auto"/>
          <w:spacing w:val="0"/>
          <w:sz w:val="32"/>
          <w:szCs w:val="32"/>
          <w:highlight w:val="none"/>
          <w:lang w:eastAsia="zh-CN"/>
        </w:rPr>
        <w:t>，主要原因是：</w:t>
      </w:r>
      <w:r>
        <w:rPr>
          <w:rFonts w:hint="eastAsia" w:ascii="仿宋_GB2312" w:hAnsi="仿宋" w:eastAsia="仿宋_GB2312" w:cs="Times New Roman"/>
          <w:sz w:val="32"/>
          <w:szCs w:val="32"/>
          <w:lang w:val="en-US" w:eastAsia="zh-CN"/>
        </w:rPr>
        <w:t>2023年0.03万元公务接待资金未执行完毕及财政收回离退休人员基本医疗保险单位缴费部分资金1.03万元</w:t>
      </w:r>
      <w:r>
        <w:rPr>
          <w:rFonts w:hint="eastAsia" w:ascii="仿宋_GB2312" w:eastAsia="仿宋_GB2312"/>
          <w:color w:val="auto"/>
          <w:spacing w:val="0"/>
          <w:sz w:val="32"/>
          <w:szCs w:val="32"/>
          <w:highlight w:val="none"/>
          <w:lang w:eastAsia="zh-CN"/>
        </w:rPr>
        <w:t>。</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一般公共预算</w:t>
      </w:r>
      <w:r>
        <w:rPr>
          <w:rFonts w:hint="eastAsia" w:ascii="黑体" w:hAnsi="黑体" w:eastAsia="黑体"/>
          <w:color w:val="auto"/>
          <w:sz w:val="32"/>
          <w:szCs w:val="32"/>
          <w:highlight w:val="none"/>
          <w:lang w:val="en-US" w:eastAsia="zh-CN"/>
        </w:rPr>
        <w:t>财政拨款支出决算</w:t>
      </w:r>
      <w:r>
        <w:rPr>
          <w:rFonts w:hint="eastAsia" w:ascii="黑体" w:hAnsi="黑体" w:eastAsia="黑体"/>
          <w:color w:val="auto"/>
          <w:sz w:val="32"/>
          <w:szCs w:val="32"/>
          <w:highlight w:val="none"/>
          <w:lang w:eastAsia="zh-CN"/>
        </w:rPr>
        <w:t>结构情况</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1</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社会保障和就业支出（类）</w:t>
      </w:r>
      <w:r>
        <w:rPr>
          <w:rFonts w:hint="eastAsia" w:ascii="仿宋_GB2312" w:hAnsi="Times New Roman" w:eastAsia="仿宋_GB2312" w:cs="Times New Roman"/>
          <w:color w:val="auto"/>
          <w:spacing w:val="0"/>
          <w:kern w:val="2"/>
          <w:sz w:val="32"/>
          <w:szCs w:val="32"/>
          <w:highlight w:val="none"/>
          <w:lang w:val="zh-CN" w:eastAsia="zh-CN" w:bidi="ar-SA"/>
        </w:rPr>
        <w:t>80.26</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9.42</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2</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卫生健康支出（类）</w:t>
      </w:r>
      <w:r>
        <w:rPr>
          <w:rFonts w:hint="eastAsia" w:ascii="仿宋_GB2312" w:hAnsi="Times New Roman" w:eastAsia="仿宋_GB2312" w:cs="Times New Roman"/>
          <w:color w:val="auto"/>
          <w:spacing w:val="0"/>
          <w:kern w:val="2"/>
          <w:sz w:val="32"/>
          <w:szCs w:val="32"/>
          <w:highlight w:val="none"/>
          <w:lang w:val="zh-CN" w:eastAsia="zh-CN" w:bidi="ar-SA"/>
        </w:rPr>
        <w:t>76.92</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9.03</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3</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农林水支出（类）</w:t>
      </w:r>
      <w:r>
        <w:rPr>
          <w:rFonts w:hint="eastAsia" w:ascii="仿宋_GB2312" w:hAnsi="Times New Roman" w:eastAsia="仿宋_GB2312" w:cs="Times New Roman"/>
          <w:color w:val="auto"/>
          <w:spacing w:val="0"/>
          <w:kern w:val="2"/>
          <w:sz w:val="32"/>
          <w:szCs w:val="32"/>
          <w:highlight w:val="none"/>
          <w:lang w:val="zh-CN" w:eastAsia="zh-CN" w:bidi="ar-SA"/>
        </w:rPr>
        <w:t>630.84</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74.07</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4</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住房保障支出（类）</w:t>
      </w:r>
      <w:r>
        <w:rPr>
          <w:rFonts w:hint="eastAsia" w:ascii="仿宋_GB2312" w:hAnsi="Times New Roman" w:eastAsia="仿宋_GB2312" w:cs="Times New Roman"/>
          <w:color w:val="auto"/>
          <w:spacing w:val="0"/>
          <w:kern w:val="2"/>
          <w:sz w:val="32"/>
          <w:szCs w:val="32"/>
          <w:highlight w:val="none"/>
          <w:lang w:val="zh-CN" w:eastAsia="zh-CN" w:bidi="ar-SA"/>
        </w:rPr>
        <w:t>63.65</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7.47</w:t>
      </w:r>
      <w:r>
        <w:rPr>
          <w:rFonts w:hint="default" w:ascii="仿宋_GB2312" w:hAnsi="Times New Roman" w:eastAsia="仿宋_GB2312" w:cs="Times New Roman"/>
          <w:color w:val="auto"/>
          <w:spacing w:val="0"/>
          <w:kern w:val="2"/>
          <w:sz w:val="32"/>
          <w:szCs w:val="32"/>
          <w:highlight w:val="none"/>
          <w:lang w:val="zh-CN" w:eastAsia="zh-CN" w:bidi="ar-SA"/>
        </w:rPr>
        <w:t>%</w:t>
      </w:r>
      <w:r>
        <w:rPr>
          <w:rFonts w:hint="eastAsia" w:ascii="仿宋_GB2312" w:eastAsia="仿宋_GB2312" w:cs="Times New Roman"/>
          <w:color w:val="auto"/>
          <w:spacing w:val="0"/>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（三）一般公共预算财政拨款支出决算具体情况</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1.卫生健康支出（类）行政事业单位医疗（款）事业单位医疗（项）:支出决算数为39.78</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1.61</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4.21%，主要原因是：</w:t>
      </w:r>
      <w:r>
        <w:rPr>
          <w:rFonts w:hint="eastAsia" w:eastAsia="仿宋_GB2312" w:cs="Times New Roman"/>
          <w:color w:val="auto"/>
          <w:kern w:val="2"/>
          <w:sz w:val="32"/>
          <w:szCs w:val="32"/>
          <w:highlight w:val="none"/>
          <w:lang w:val="en-US" w:eastAsia="zh-CN" w:bidi="ar-SA"/>
        </w:rPr>
        <w:t>因</w:t>
      </w:r>
      <w:r>
        <w:rPr>
          <w:rFonts w:hint="eastAsia" w:ascii="仿宋_GB2312" w:eastAsia="仿宋_GB2312"/>
          <w:sz w:val="32"/>
          <w:szCs w:val="32"/>
          <w:lang w:val="en-US" w:eastAsia="zh-CN"/>
        </w:rPr>
        <w:t>单位人员</w:t>
      </w:r>
      <w:r>
        <w:rPr>
          <w:rFonts w:hint="eastAsia" w:ascii="仿宋_GB2312" w:eastAsia="仿宋_GB2312"/>
          <w:sz w:val="32"/>
          <w:szCs w:val="32"/>
        </w:rPr>
        <w:t>岗位晋升</w:t>
      </w:r>
      <w:r>
        <w:rPr>
          <w:rFonts w:hint="eastAsia" w:ascii="仿宋_GB2312" w:eastAsia="仿宋_GB2312"/>
          <w:sz w:val="32"/>
          <w:szCs w:val="32"/>
          <w:lang w:eastAsia="zh-CN"/>
        </w:rPr>
        <w:t>、</w:t>
      </w:r>
      <w:r>
        <w:rPr>
          <w:rFonts w:hint="eastAsia" w:ascii="仿宋_GB2312" w:eastAsia="仿宋_GB2312"/>
          <w:sz w:val="32"/>
          <w:szCs w:val="32"/>
        </w:rPr>
        <w:t>工资津补贴按年度正常</w:t>
      </w:r>
      <w:r>
        <w:rPr>
          <w:rFonts w:hint="eastAsia" w:ascii="仿宋_GB2312" w:eastAsia="仿宋_GB2312"/>
          <w:sz w:val="32"/>
          <w:szCs w:val="32"/>
          <w:lang w:eastAsia="zh-CN"/>
        </w:rPr>
        <w:t>调增</w:t>
      </w:r>
      <w:r>
        <w:rPr>
          <w:rFonts w:hint="eastAsia" w:ascii="仿宋_GB2312" w:eastAsia="仿宋_GB2312"/>
          <w:sz w:val="32"/>
          <w:szCs w:val="32"/>
          <w:lang w:val="en-US" w:eastAsia="zh-CN"/>
        </w:rPr>
        <w:t>，社会保障缴费基数增加，导致事业单位医疗费缴费增加</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2.卫生健康支出（类）行政事业单位医疗（款）公务员医疗补助（项）:支出决算数为37.13</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7.44</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25.05%，主要原因是：</w:t>
      </w:r>
      <w:r>
        <w:rPr>
          <w:rFonts w:hint="eastAsia" w:eastAsia="仿宋_GB2312" w:cs="Times New Roman"/>
          <w:color w:val="auto"/>
          <w:kern w:val="2"/>
          <w:sz w:val="32"/>
          <w:szCs w:val="32"/>
          <w:highlight w:val="none"/>
          <w:lang w:val="en-US" w:eastAsia="zh-CN" w:bidi="ar-SA"/>
        </w:rPr>
        <w:t>因</w:t>
      </w:r>
      <w:r>
        <w:rPr>
          <w:rFonts w:hint="eastAsia" w:ascii="仿宋_GB2312" w:eastAsia="仿宋_GB2312"/>
          <w:sz w:val="32"/>
          <w:szCs w:val="32"/>
          <w:lang w:val="en-US" w:eastAsia="zh-CN"/>
        </w:rPr>
        <w:t>单位人员</w:t>
      </w:r>
      <w:r>
        <w:rPr>
          <w:rFonts w:hint="eastAsia" w:ascii="仿宋_GB2312" w:eastAsia="仿宋_GB2312"/>
          <w:sz w:val="32"/>
          <w:szCs w:val="32"/>
        </w:rPr>
        <w:t>岗位晋升</w:t>
      </w:r>
      <w:r>
        <w:rPr>
          <w:rFonts w:hint="eastAsia" w:ascii="仿宋_GB2312" w:eastAsia="仿宋_GB2312"/>
          <w:sz w:val="32"/>
          <w:szCs w:val="32"/>
          <w:lang w:eastAsia="zh-CN"/>
        </w:rPr>
        <w:t>、</w:t>
      </w:r>
      <w:r>
        <w:rPr>
          <w:rFonts w:hint="eastAsia" w:ascii="仿宋_GB2312" w:eastAsia="仿宋_GB2312"/>
          <w:sz w:val="32"/>
          <w:szCs w:val="32"/>
        </w:rPr>
        <w:t>工资津补贴按年度正常</w:t>
      </w:r>
      <w:r>
        <w:rPr>
          <w:rFonts w:hint="eastAsia" w:ascii="仿宋_GB2312" w:eastAsia="仿宋_GB2312"/>
          <w:sz w:val="32"/>
          <w:szCs w:val="32"/>
          <w:lang w:eastAsia="zh-CN"/>
        </w:rPr>
        <w:t>调增</w:t>
      </w:r>
      <w:r>
        <w:rPr>
          <w:rFonts w:hint="eastAsia" w:ascii="仿宋_GB2312" w:eastAsia="仿宋_GB2312"/>
          <w:sz w:val="32"/>
          <w:szCs w:val="32"/>
          <w:lang w:val="en-US" w:eastAsia="zh-CN"/>
        </w:rPr>
        <w:t>，社会保障缴费基数增加，导致公务员医疗补助缴费增加</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3.住房保障支出（类）住房改革支出（款）住房公积金（项）:支出决算数为63.65</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11.19</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21.34%，主要原因是：</w:t>
      </w:r>
      <w:r>
        <w:rPr>
          <w:rFonts w:hint="eastAsia" w:eastAsia="仿宋_GB2312" w:cs="Times New Roman"/>
          <w:color w:val="auto"/>
          <w:kern w:val="2"/>
          <w:sz w:val="32"/>
          <w:szCs w:val="32"/>
          <w:highlight w:val="none"/>
          <w:lang w:val="en-US" w:eastAsia="zh-CN" w:bidi="ar-SA"/>
        </w:rPr>
        <w:t>因</w:t>
      </w:r>
      <w:r>
        <w:rPr>
          <w:rFonts w:hint="eastAsia" w:ascii="仿宋_GB2312" w:eastAsia="仿宋_GB2312"/>
          <w:sz w:val="32"/>
          <w:szCs w:val="32"/>
          <w:lang w:val="en-US" w:eastAsia="zh-CN"/>
        </w:rPr>
        <w:t>单位人员</w:t>
      </w:r>
      <w:r>
        <w:rPr>
          <w:rFonts w:hint="eastAsia" w:ascii="仿宋_GB2312" w:eastAsia="仿宋_GB2312"/>
          <w:sz w:val="32"/>
          <w:szCs w:val="32"/>
        </w:rPr>
        <w:t>岗位晋升</w:t>
      </w:r>
      <w:r>
        <w:rPr>
          <w:rFonts w:hint="eastAsia" w:ascii="仿宋_GB2312" w:eastAsia="仿宋_GB2312"/>
          <w:sz w:val="32"/>
          <w:szCs w:val="32"/>
          <w:lang w:eastAsia="zh-CN"/>
        </w:rPr>
        <w:t>、</w:t>
      </w:r>
      <w:r>
        <w:rPr>
          <w:rFonts w:hint="eastAsia" w:ascii="仿宋_GB2312" w:eastAsia="仿宋_GB2312"/>
          <w:sz w:val="32"/>
          <w:szCs w:val="32"/>
        </w:rPr>
        <w:t>工资津补贴按年度正常</w:t>
      </w:r>
      <w:r>
        <w:rPr>
          <w:rFonts w:hint="eastAsia" w:ascii="仿宋_GB2312" w:eastAsia="仿宋_GB2312"/>
          <w:sz w:val="32"/>
          <w:szCs w:val="32"/>
          <w:lang w:eastAsia="zh-CN"/>
        </w:rPr>
        <w:t>调增</w:t>
      </w:r>
      <w:r>
        <w:rPr>
          <w:rFonts w:hint="eastAsia" w:ascii="仿宋_GB2312" w:eastAsia="仿宋_GB2312"/>
          <w:sz w:val="32"/>
          <w:szCs w:val="32"/>
          <w:lang w:val="en-US" w:eastAsia="zh-CN"/>
        </w:rPr>
        <w:t>，住房公积金缴费基数增加，导致住房公积金缴费增加</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4.农林水支出（类）水利（款）水利工程运行与维护（项）:支出决算数为630.84</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113.06</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21.84%，主要原因是：</w:t>
      </w:r>
      <w:r>
        <w:rPr>
          <w:rFonts w:hint="eastAsia" w:eastAsia="仿宋_GB2312" w:cs="Times New Roman"/>
          <w:color w:val="auto"/>
          <w:kern w:val="2"/>
          <w:sz w:val="32"/>
          <w:szCs w:val="32"/>
          <w:highlight w:val="none"/>
          <w:lang w:val="en-US" w:eastAsia="zh-CN" w:bidi="ar-SA"/>
        </w:rPr>
        <w:t>因</w:t>
      </w:r>
      <w:r>
        <w:rPr>
          <w:rFonts w:hint="eastAsia" w:ascii="仿宋_GB2312" w:eastAsia="仿宋_GB2312"/>
          <w:sz w:val="32"/>
          <w:szCs w:val="32"/>
          <w:lang w:val="en-US" w:eastAsia="zh-CN"/>
        </w:rPr>
        <w:t>单位人员</w:t>
      </w:r>
      <w:r>
        <w:rPr>
          <w:rFonts w:hint="eastAsia" w:ascii="仿宋_GB2312" w:eastAsia="仿宋_GB2312"/>
          <w:sz w:val="32"/>
          <w:szCs w:val="32"/>
        </w:rPr>
        <w:t>岗位晋升</w:t>
      </w:r>
      <w:r>
        <w:rPr>
          <w:rFonts w:hint="eastAsia" w:ascii="仿宋_GB2312" w:eastAsia="仿宋_GB2312"/>
          <w:sz w:val="32"/>
          <w:szCs w:val="32"/>
          <w:lang w:eastAsia="zh-CN"/>
        </w:rPr>
        <w:t>、</w:t>
      </w:r>
      <w:r>
        <w:rPr>
          <w:rFonts w:hint="eastAsia" w:ascii="仿宋_GB2312" w:eastAsia="仿宋_GB2312"/>
          <w:sz w:val="32"/>
          <w:szCs w:val="32"/>
        </w:rPr>
        <w:t>工资津补贴按年度正常</w:t>
      </w:r>
      <w:r>
        <w:rPr>
          <w:rFonts w:hint="eastAsia" w:ascii="仿宋_GB2312" w:eastAsia="仿宋_GB2312"/>
          <w:sz w:val="32"/>
          <w:szCs w:val="32"/>
          <w:lang w:eastAsia="zh-CN"/>
        </w:rPr>
        <w:t>调增</w:t>
      </w:r>
      <w:r>
        <w:rPr>
          <w:rFonts w:hint="eastAsia" w:ascii="仿宋_GB2312" w:eastAsia="仿宋_GB2312"/>
          <w:sz w:val="32"/>
          <w:szCs w:val="32"/>
          <w:lang w:val="en-US" w:eastAsia="zh-CN"/>
        </w:rPr>
        <w:t>，导致工资、其他社会保障缴费增加</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5.社会保障和就业支出（类）行政事业单位养老支出（款）事业单位离退休（项）:支出决算数为1.92</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0.98</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10</w:t>
      </w:r>
      <w:r>
        <w:rPr>
          <w:rFonts w:hint="eastAsia" w:eastAsia="仿宋_GB2312" w:cs="Times New Roman"/>
          <w:color w:val="auto"/>
          <w:kern w:val="2"/>
          <w:sz w:val="32"/>
          <w:szCs w:val="32"/>
          <w:highlight w:val="none"/>
          <w:lang w:val="en-US" w:eastAsia="zh-CN" w:bidi="ar-SA"/>
        </w:rPr>
        <w:t>4.26</w:t>
      </w:r>
      <w:r>
        <w:rPr>
          <w:rFonts w:hint="eastAsia" w:ascii="Times New Roman" w:hAnsi="Times New Roman" w:eastAsia="仿宋_GB2312" w:cs="Times New Roman"/>
          <w:color w:val="auto"/>
          <w:kern w:val="2"/>
          <w:sz w:val="32"/>
          <w:szCs w:val="32"/>
          <w:highlight w:val="none"/>
          <w:lang w:val="en-US" w:eastAsia="zh-CN" w:bidi="ar-SA"/>
        </w:rPr>
        <w:t>%，主要原因是：</w:t>
      </w:r>
      <w:r>
        <w:rPr>
          <w:rFonts w:hint="eastAsia" w:eastAsia="仿宋_GB2312" w:cs="Times New Roman"/>
          <w:color w:val="auto"/>
          <w:kern w:val="2"/>
          <w:sz w:val="32"/>
          <w:szCs w:val="32"/>
          <w:highlight w:val="none"/>
          <w:lang w:val="en-US" w:eastAsia="zh-CN" w:bidi="ar-SA"/>
        </w:rPr>
        <w:t>因</w:t>
      </w:r>
      <w:r>
        <w:rPr>
          <w:rFonts w:hint="eastAsia" w:ascii="Times New Roman" w:hAnsi="Times New Roman" w:eastAsia="仿宋_GB2312" w:cs="Times New Roman"/>
          <w:color w:val="auto"/>
          <w:kern w:val="2"/>
          <w:sz w:val="32"/>
          <w:szCs w:val="32"/>
          <w:highlight w:val="none"/>
          <w:lang w:val="en-US" w:eastAsia="zh-CN" w:bidi="ar-SA"/>
        </w:rPr>
        <w:t>离退休人</w:t>
      </w:r>
      <w:r>
        <w:rPr>
          <w:rFonts w:hint="eastAsia" w:eastAsia="仿宋_GB2312" w:cs="Times New Roman"/>
          <w:color w:val="auto"/>
          <w:kern w:val="2"/>
          <w:sz w:val="32"/>
          <w:szCs w:val="32"/>
          <w:highlight w:val="none"/>
          <w:lang w:val="en-US" w:eastAsia="zh-CN" w:bidi="ar-SA"/>
        </w:rPr>
        <w:t>员</w:t>
      </w:r>
      <w:r>
        <w:rPr>
          <w:rFonts w:hint="eastAsia" w:ascii="Times New Roman" w:hAnsi="Times New Roman" w:eastAsia="仿宋_GB2312" w:cs="Times New Roman"/>
          <w:color w:val="auto"/>
          <w:kern w:val="2"/>
          <w:sz w:val="32"/>
          <w:szCs w:val="32"/>
          <w:highlight w:val="none"/>
          <w:lang w:val="en-US" w:eastAsia="zh-CN" w:bidi="ar-SA"/>
        </w:rPr>
        <w:t>绩效奖增加，导致事业单位离退休费用增加</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6.社会保障和就业支出（类）行政事业单位养老支出（款）机关事业单位基本养老保险缴费支出（项）:支出决算数为78.34</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14.98</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23.64%，主要原因是：</w:t>
      </w:r>
      <w:r>
        <w:rPr>
          <w:rFonts w:hint="eastAsia" w:eastAsia="仿宋_GB2312" w:cs="Times New Roman"/>
          <w:color w:val="auto"/>
          <w:kern w:val="2"/>
          <w:sz w:val="32"/>
          <w:szCs w:val="32"/>
          <w:highlight w:val="none"/>
          <w:lang w:val="en-US" w:eastAsia="zh-CN" w:bidi="ar-SA"/>
        </w:rPr>
        <w:t>因</w:t>
      </w:r>
      <w:r>
        <w:rPr>
          <w:rFonts w:hint="eastAsia" w:ascii="仿宋_GB2312" w:eastAsia="仿宋_GB2312"/>
          <w:sz w:val="32"/>
          <w:szCs w:val="32"/>
          <w:lang w:val="en-US" w:eastAsia="zh-CN"/>
        </w:rPr>
        <w:t>单位人员</w:t>
      </w:r>
      <w:r>
        <w:rPr>
          <w:rFonts w:hint="eastAsia" w:ascii="仿宋_GB2312" w:eastAsia="仿宋_GB2312"/>
          <w:sz w:val="32"/>
          <w:szCs w:val="32"/>
        </w:rPr>
        <w:t>岗位晋升</w:t>
      </w:r>
      <w:r>
        <w:rPr>
          <w:rFonts w:hint="eastAsia" w:ascii="仿宋_GB2312" w:eastAsia="仿宋_GB2312"/>
          <w:sz w:val="32"/>
          <w:szCs w:val="32"/>
          <w:lang w:eastAsia="zh-CN"/>
        </w:rPr>
        <w:t>、</w:t>
      </w:r>
      <w:r>
        <w:rPr>
          <w:rFonts w:hint="eastAsia" w:ascii="仿宋_GB2312" w:eastAsia="仿宋_GB2312"/>
          <w:sz w:val="32"/>
          <w:szCs w:val="32"/>
        </w:rPr>
        <w:t>工资津补贴按年度正常</w:t>
      </w:r>
      <w:r>
        <w:rPr>
          <w:rFonts w:hint="eastAsia" w:ascii="仿宋_GB2312" w:eastAsia="仿宋_GB2312"/>
          <w:sz w:val="32"/>
          <w:szCs w:val="32"/>
          <w:lang w:eastAsia="zh-CN"/>
        </w:rPr>
        <w:t>调增</w:t>
      </w:r>
      <w:r>
        <w:rPr>
          <w:rFonts w:hint="eastAsia" w:ascii="仿宋_GB2312" w:eastAsia="仿宋_GB2312"/>
          <w:sz w:val="32"/>
          <w:szCs w:val="32"/>
          <w:lang w:val="en-US" w:eastAsia="zh-CN"/>
        </w:rPr>
        <w:t>，社会保障缴费基数增加，导致</w:t>
      </w:r>
      <w:r>
        <w:rPr>
          <w:rFonts w:hint="eastAsia" w:ascii="Times New Roman" w:hAnsi="Times New Roman" w:eastAsia="仿宋_GB2312" w:cs="Times New Roman"/>
          <w:color w:val="auto"/>
          <w:kern w:val="2"/>
          <w:sz w:val="32"/>
          <w:szCs w:val="32"/>
          <w:highlight w:val="none"/>
          <w:lang w:val="en-US" w:eastAsia="zh-CN" w:bidi="ar-SA"/>
        </w:rPr>
        <w:t>机关事业单位基本养老保险缴费</w:t>
      </w:r>
      <w:r>
        <w:rPr>
          <w:rFonts w:hint="eastAsia" w:ascii="仿宋_GB2312" w:eastAsia="仿宋_GB2312"/>
          <w:sz w:val="32"/>
          <w:szCs w:val="32"/>
          <w:lang w:val="en-US" w:eastAsia="zh-CN"/>
        </w:rPr>
        <w:t>增加</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六、一般公共预算财政拨款基本支出决算情况说明</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z w:val="32"/>
          <w:szCs w:val="32"/>
          <w:highlight w:val="none"/>
        </w:rPr>
        <w:t>一般公共预算财政拨款基本支出</w:t>
      </w:r>
      <w:r>
        <w:rPr>
          <w:rFonts w:hint="eastAsia" w:ascii="仿宋_GB2312" w:eastAsia="仿宋_GB2312"/>
          <w:color w:val="auto"/>
          <w:sz w:val="32"/>
          <w:szCs w:val="32"/>
          <w:highlight w:val="none"/>
          <w:lang w:eastAsia="zh-CN"/>
        </w:rPr>
        <w:t>851.67</w:t>
      </w:r>
      <w:r>
        <w:rPr>
          <w:rFonts w:hint="eastAsia" w:ascii="仿宋_GB2312" w:eastAsia="仿宋_GB2312"/>
          <w:color w:val="auto"/>
          <w:sz w:val="32"/>
          <w:szCs w:val="32"/>
          <w:highlight w:val="none"/>
        </w:rPr>
        <w:t>万元，其中：人员经费</w:t>
      </w:r>
      <w:r>
        <w:rPr>
          <w:rFonts w:hint="eastAsia" w:ascii="仿宋_GB2312" w:eastAsia="仿宋_GB2312"/>
          <w:color w:val="auto"/>
          <w:sz w:val="32"/>
          <w:szCs w:val="32"/>
          <w:highlight w:val="none"/>
          <w:lang w:eastAsia="zh-CN"/>
        </w:rPr>
        <w:t>786.65</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基本工资、津贴补贴、奖金、绩效工资、机关事业单位基本养老保险缴费、职工基本医疗保险缴费、公务员医疗补助缴费、其他社会保障缴费、住房公积金、其他工资福利支出、退休费、其他对个人和家庭的补助。</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default" w:ascii="仿宋_GB2312" w:eastAsia="仿宋_GB2312"/>
          <w:color w:val="auto"/>
          <w:sz w:val="32"/>
          <w:szCs w:val="32"/>
          <w:highlight w:val="red"/>
          <w:lang w:val="en-US" w:eastAsia="zh-CN"/>
        </w:rPr>
      </w:pPr>
      <w:r>
        <w:rPr>
          <w:rFonts w:hint="eastAsia" w:ascii="仿宋_GB2312" w:eastAsia="仿宋_GB2312"/>
          <w:color w:val="auto"/>
          <w:sz w:val="32"/>
          <w:szCs w:val="32"/>
          <w:highlight w:val="none"/>
        </w:rPr>
        <w:t>公用经费</w:t>
      </w:r>
      <w:r>
        <w:rPr>
          <w:rFonts w:hint="eastAsia" w:ascii="仿宋_GB2312" w:eastAsia="仿宋_GB2312"/>
          <w:color w:val="auto"/>
          <w:sz w:val="32"/>
          <w:szCs w:val="32"/>
          <w:highlight w:val="none"/>
          <w:lang w:eastAsia="zh-CN"/>
        </w:rPr>
        <w:t>65.02</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办公费、水费、电费、取暖费、差旅费、工会经费、福利费、公务用车运行维护费、其他商品和服务支出。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48" w:name="_GoBack"/>
      <w:bookmarkEnd w:id="48"/>
      <w:r>
        <w:rPr>
          <w:rFonts w:hint="eastAsia" w:ascii="黑体" w:hAnsi="黑体" w:eastAsia="黑体" w:cs="宋体"/>
          <w:bCs/>
          <w:color w:val="auto"/>
          <w:kern w:val="0"/>
          <w:sz w:val="32"/>
          <w:szCs w:val="32"/>
          <w:highlight w:val="none"/>
          <w:lang w:val="en-US" w:eastAsia="zh-CN"/>
        </w:rPr>
        <w:t>七、</w:t>
      </w:r>
      <w:r>
        <w:rPr>
          <w:rFonts w:hint="eastAsia" w:ascii="黑体" w:hAnsi="黑体" w:eastAsia="黑体" w:cs="宋体"/>
          <w:bCs/>
          <w:color w:val="auto"/>
          <w:kern w:val="0"/>
          <w:sz w:val="32"/>
          <w:szCs w:val="32"/>
          <w:highlight w:val="none"/>
          <w:lang w:eastAsia="zh-CN"/>
        </w:rPr>
        <w:t>财政拨款</w:t>
      </w:r>
      <w:r>
        <w:rPr>
          <w:rFonts w:hint="eastAsia" w:ascii="黑体" w:hAnsi="黑体" w:eastAsia="黑体" w:cs="宋体"/>
          <w:bCs/>
          <w:color w:val="auto"/>
          <w:kern w:val="0"/>
          <w:sz w:val="32"/>
          <w:szCs w:val="32"/>
          <w:highlight w:val="none"/>
        </w:rPr>
        <w:t>“三公”经费支出</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w:t>
      </w:r>
      <w:r>
        <w:rPr>
          <w:rFonts w:hint="eastAsia" w:ascii="黑体" w:hAnsi="黑体" w:eastAsia="黑体" w:cs="宋体"/>
          <w:bCs/>
          <w:color w:val="auto"/>
          <w:kern w:val="0"/>
          <w:sz w:val="32"/>
          <w:szCs w:val="32"/>
          <w:highlight w:val="none"/>
          <w:lang w:eastAsia="zh-CN"/>
        </w:rPr>
        <w:t>说明</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2023年度</w:t>
      </w:r>
      <w:r>
        <w:rPr>
          <w:rFonts w:hint="eastAsia" w:ascii="仿宋_GB2312" w:eastAsia="仿宋_GB2312"/>
          <w:color w:val="auto"/>
          <w:sz w:val="32"/>
          <w:szCs w:val="32"/>
          <w:highlight w:val="none"/>
          <w:lang w:val="en-US" w:eastAsia="zh-CN"/>
        </w:rPr>
        <w:t>财政拨款</w:t>
      </w:r>
      <w:r>
        <w:rPr>
          <w:rFonts w:hint="eastAsia" w:ascii="仿宋_GB2312" w:eastAsia="仿宋_GB2312"/>
          <w:color w:val="auto"/>
          <w:sz w:val="32"/>
          <w:szCs w:val="32"/>
          <w:highlight w:val="none"/>
          <w:lang w:val="zh-CN" w:eastAsia="zh-CN"/>
        </w:rPr>
        <w:t>“三公”经费支出3.00万元，</w:t>
      </w:r>
      <w:r>
        <w:rPr>
          <w:rFonts w:hint="eastAsia" w:ascii="仿宋_GB2312" w:eastAsia="仿宋_GB2312"/>
          <w:color w:val="auto"/>
          <w:sz w:val="32"/>
          <w:szCs w:val="32"/>
          <w:highlight w:val="none"/>
          <w:lang w:val="en-US" w:eastAsia="zh-CN"/>
        </w:rPr>
        <w:t>比上年</w:t>
      </w:r>
      <w:r>
        <w:rPr>
          <w:rFonts w:hint="eastAsia" w:ascii="仿宋_GB2312" w:eastAsia="仿宋_GB2312"/>
          <w:color w:val="auto"/>
          <w:sz w:val="32"/>
          <w:szCs w:val="32"/>
          <w:highlight w:val="none"/>
          <w:lang w:val="zh-CN" w:eastAsia="zh-CN"/>
        </w:rPr>
        <w:t>减少0.03万元，下降0.99%，主要原因是：公务接待费支出</w:t>
      </w:r>
      <w:r>
        <w:rPr>
          <w:rFonts w:hint="eastAsia" w:ascii="仿宋_GB2312" w:eastAsia="仿宋_GB2312"/>
          <w:color w:val="auto"/>
          <w:sz w:val="32"/>
          <w:szCs w:val="32"/>
          <w:highlight w:val="none"/>
          <w:lang w:val="en-US" w:eastAsia="zh-CN"/>
        </w:rPr>
        <w:t>比上年</w:t>
      </w:r>
      <w:r>
        <w:rPr>
          <w:rFonts w:hint="eastAsia" w:ascii="仿宋_GB2312" w:eastAsia="仿宋_GB2312"/>
          <w:color w:val="auto"/>
          <w:sz w:val="32"/>
          <w:szCs w:val="32"/>
          <w:highlight w:val="none"/>
          <w:lang w:val="zh-CN" w:eastAsia="zh-CN"/>
        </w:rPr>
        <w:t>下降</w:t>
      </w:r>
      <w:r>
        <w:rPr>
          <w:rFonts w:hint="eastAsia" w:ascii="仿宋_GB2312" w:eastAsia="仿宋_GB2312"/>
          <w:color w:val="auto"/>
          <w:sz w:val="32"/>
          <w:szCs w:val="32"/>
          <w:highlight w:val="none"/>
          <w:lang w:val="en-US" w:eastAsia="zh-CN"/>
        </w:rPr>
        <w:t>0.03万元</w:t>
      </w:r>
      <w:r>
        <w:rPr>
          <w:rFonts w:hint="eastAsia" w:ascii="仿宋_GB2312" w:eastAsia="仿宋_GB2312"/>
          <w:color w:val="auto"/>
          <w:sz w:val="32"/>
          <w:szCs w:val="32"/>
          <w:highlight w:val="none"/>
          <w:lang w:val="zh-CN" w:eastAsia="zh-CN"/>
        </w:rPr>
        <w:t>。其中：因公出国（境）费支出0.00万元，占0.00%，比上年增加0.00万元，增长0.00%，主要原因是：</w:t>
      </w:r>
      <w:r>
        <w:rPr>
          <w:rFonts w:ascii="仿宋_GB2312" w:eastAsia="仿宋_GB2312"/>
          <w:sz w:val="32"/>
          <w:szCs w:val="32"/>
        </w:rPr>
        <w:t>我单位无因公出国（境）费</w:t>
      </w:r>
      <w:r>
        <w:rPr>
          <w:rFonts w:hint="eastAsia" w:ascii="仿宋_GB2312" w:eastAsia="仿宋_GB2312"/>
          <w:color w:val="auto"/>
          <w:sz w:val="32"/>
          <w:szCs w:val="32"/>
          <w:highlight w:val="none"/>
          <w:lang w:val="zh-CN" w:eastAsia="zh-CN"/>
        </w:rPr>
        <w:t>；公务用车购置及运行维护费支出3.00万元，占100.00%，比上年增加0.00万元，增长0.00%，主要原因是：</w:t>
      </w:r>
      <w:r>
        <w:rPr>
          <w:rFonts w:ascii="仿宋_GB2312" w:eastAsia="仿宋_GB2312"/>
          <w:sz w:val="32"/>
          <w:szCs w:val="32"/>
        </w:rPr>
        <w:t>公务用车运行维护费与上年一致</w:t>
      </w:r>
      <w:r>
        <w:rPr>
          <w:rFonts w:hint="eastAsia" w:ascii="仿宋_GB2312" w:eastAsia="仿宋_GB2312"/>
          <w:color w:val="auto"/>
          <w:sz w:val="32"/>
          <w:szCs w:val="32"/>
          <w:highlight w:val="none"/>
          <w:lang w:val="zh-CN" w:eastAsia="zh-CN"/>
        </w:rPr>
        <w:t>；公务接待费支出0.00万元，占0.00%，比上年减少0.03万元，下降100.00%，主要原因是：</w:t>
      </w:r>
      <w:r>
        <w:rPr>
          <w:rFonts w:hint="eastAsia" w:ascii="仿宋_GB2312" w:eastAsia="仿宋_GB2312"/>
          <w:color w:val="auto"/>
          <w:sz w:val="32"/>
          <w:szCs w:val="32"/>
          <w:highlight w:val="none"/>
          <w:lang w:val="en-US" w:eastAsia="zh-CN"/>
        </w:rPr>
        <w:t>本年度我单位无公务接待来访，公务接待费未支出</w:t>
      </w:r>
      <w:r>
        <w:rPr>
          <w:rFonts w:hint="eastAsia" w:ascii="仿宋_GB2312" w:eastAsia="仿宋_GB2312"/>
          <w:color w:val="auto"/>
          <w:sz w:val="32"/>
          <w:szCs w:val="32"/>
          <w:highlight w:val="none"/>
          <w:lang w:val="zh-CN" w:eastAsia="zh-CN"/>
        </w:rPr>
        <w:t>。</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具体情况如下：</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因公出国（境）费支出0.00万元，开支内容包括</w:t>
      </w:r>
      <w:r>
        <w:rPr>
          <w:rFonts w:hint="eastAsia" w:ascii="仿宋_GB2312" w:eastAsia="仿宋_GB2312"/>
          <w:sz w:val="32"/>
          <w:szCs w:val="32"/>
        </w:rPr>
        <w:t>我单位无因公出国（境）费</w:t>
      </w:r>
      <w:r>
        <w:rPr>
          <w:rFonts w:hint="eastAsia" w:ascii="仿宋_GB2312" w:eastAsia="仿宋_GB2312"/>
          <w:color w:val="auto"/>
          <w:sz w:val="32"/>
          <w:szCs w:val="32"/>
          <w:highlight w:val="none"/>
          <w:lang w:val="zh-CN" w:eastAsia="zh-CN"/>
        </w:rPr>
        <w:t>。单位全年安排的因公出国（境）团组0个，因公出国（境）0人次。</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zh-CN" w:eastAsia="zh-CN"/>
        </w:rPr>
        <w:t>公务用车购置及运行维护费3.00万元，其中：公务用车购置费0.00万元，公务用车运行维护费3.00万元。公务用车运行维护费开支内容包括</w:t>
      </w:r>
      <w:r>
        <w:rPr>
          <w:rFonts w:hint="eastAsia" w:ascii="仿宋_GB2312" w:eastAsia="仿宋_GB2312"/>
          <w:sz w:val="32"/>
          <w:szCs w:val="32"/>
        </w:rPr>
        <w:t>公务用车发生</w:t>
      </w:r>
      <w:r>
        <w:rPr>
          <w:rFonts w:hint="eastAsia" w:ascii="仿宋_GB2312" w:eastAsia="仿宋_GB2312"/>
          <w:sz w:val="32"/>
          <w:szCs w:val="32"/>
          <w:lang w:val="en-US" w:eastAsia="zh-CN"/>
        </w:rPr>
        <w:t>的</w:t>
      </w:r>
      <w:r>
        <w:rPr>
          <w:rFonts w:hint="eastAsia" w:ascii="仿宋_GB2312" w:eastAsia="仿宋_GB2312"/>
          <w:sz w:val="32"/>
          <w:szCs w:val="32"/>
        </w:rPr>
        <w:t>燃料费、维修费、过路过桥费、保险费</w:t>
      </w:r>
      <w:r>
        <w:rPr>
          <w:rFonts w:hint="eastAsia" w:ascii="仿宋_GB2312" w:eastAsia="仿宋_GB2312"/>
          <w:sz w:val="32"/>
          <w:szCs w:val="32"/>
          <w:lang w:val="en-US" w:eastAsia="zh-CN"/>
        </w:rPr>
        <w:t>等</w:t>
      </w:r>
      <w:r>
        <w:rPr>
          <w:rFonts w:hint="eastAsia" w:ascii="仿宋_GB2312" w:eastAsia="仿宋_GB2312"/>
          <w:color w:val="auto"/>
          <w:sz w:val="32"/>
          <w:szCs w:val="32"/>
          <w:highlight w:val="none"/>
          <w:lang w:val="zh-CN" w:eastAsia="zh-CN"/>
        </w:rPr>
        <w:t>。公务用车购置数0辆，公务用车保有量3辆。国有资产占用情况</w:t>
      </w:r>
      <w:r>
        <w:rPr>
          <w:rFonts w:hint="eastAsia" w:ascii="仿宋_GB2312" w:eastAsia="仿宋_GB2312"/>
          <w:color w:val="auto"/>
          <w:sz w:val="32"/>
          <w:szCs w:val="32"/>
          <w:highlight w:val="none"/>
          <w:lang w:val="en-US" w:eastAsia="zh-CN"/>
        </w:rPr>
        <w:t>中固定资产车辆</w:t>
      </w:r>
      <w:r>
        <w:rPr>
          <w:rFonts w:hint="eastAsia" w:ascii="仿宋_GB2312" w:eastAsia="仿宋_GB2312"/>
          <w:color w:val="auto"/>
          <w:sz w:val="32"/>
          <w:szCs w:val="32"/>
          <w:highlight w:val="none"/>
          <w:lang w:val="zh-CN" w:eastAsia="zh-CN"/>
        </w:rPr>
        <w:t>0辆，</w:t>
      </w:r>
      <w:r>
        <w:rPr>
          <w:rFonts w:hint="eastAsia" w:ascii="仿宋_GB2312" w:eastAsia="仿宋_GB2312"/>
          <w:color w:val="auto"/>
          <w:sz w:val="32"/>
          <w:szCs w:val="32"/>
          <w:highlight w:val="none"/>
          <w:lang w:val="en-US" w:eastAsia="zh-CN"/>
        </w:rPr>
        <w:t>与</w:t>
      </w:r>
      <w:r>
        <w:rPr>
          <w:rFonts w:hint="eastAsia" w:ascii="仿宋_GB2312" w:eastAsia="仿宋_GB2312"/>
          <w:color w:val="auto"/>
          <w:sz w:val="32"/>
          <w:szCs w:val="32"/>
          <w:highlight w:val="none"/>
          <w:lang w:val="zh-CN" w:eastAsia="zh-CN"/>
        </w:rPr>
        <w:t>公务用车</w:t>
      </w:r>
      <w:r>
        <w:rPr>
          <w:rFonts w:hint="eastAsia" w:ascii="仿宋_GB2312" w:eastAsia="仿宋_GB2312"/>
          <w:color w:val="auto"/>
          <w:sz w:val="32"/>
          <w:szCs w:val="32"/>
          <w:highlight w:val="none"/>
          <w:lang w:val="en-US" w:eastAsia="zh-CN"/>
        </w:rPr>
        <w:t>保有量差异</w:t>
      </w:r>
      <w:r>
        <w:rPr>
          <w:rFonts w:hint="eastAsia" w:ascii="仿宋_GB2312" w:eastAsia="仿宋_GB2312"/>
          <w:color w:val="auto"/>
          <w:sz w:val="32"/>
          <w:szCs w:val="32"/>
          <w:highlight w:val="none"/>
          <w:lang w:val="zh-CN" w:eastAsia="zh-CN"/>
        </w:rPr>
        <w:t>原因是：</w:t>
      </w:r>
      <w:r>
        <w:rPr>
          <w:rFonts w:hint="eastAsia" w:ascii="仿宋_GB2312" w:eastAsia="仿宋_GB2312"/>
          <w:color w:val="auto"/>
          <w:sz w:val="32"/>
          <w:szCs w:val="32"/>
          <w:highlight w:val="none"/>
          <w:lang w:val="en-US" w:eastAsia="zh-CN"/>
        </w:rPr>
        <w:t>公务用车保有量3辆车为自有资金购买的车辆，不在公务用车购置数中列示</w:t>
      </w:r>
      <w:r>
        <w:rPr>
          <w:rFonts w:hint="eastAsia" w:ascii="仿宋_GB2312" w:eastAsia="仿宋_GB2312"/>
          <w:color w:val="auto"/>
          <w:sz w:val="32"/>
          <w:szCs w:val="32"/>
          <w:highlight w:val="none"/>
          <w:lang w:val="zh-CN" w:eastAsia="zh-CN"/>
        </w:rPr>
        <w:t>。</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公务接待费0.00万元，开支内容包括</w:t>
      </w:r>
      <w:r>
        <w:rPr>
          <w:rFonts w:hint="eastAsia" w:ascii="仿宋_GB2312" w:eastAsia="仿宋_GB2312"/>
          <w:sz w:val="32"/>
          <w:szCs w:val="32"/>
        </w:rPr>
        <w:t>我单位</w:t>
      </w:r>
      <w:r>
        <w:rPr>
          <w:rFonts w:hint="eastAsia" w:ascii="仿宋_GB2312" w:eastAsia="仿宋_GB2312"/>
          <w:sz w:val="32"/>
          <w:szCs w:val="32"/>
          <w:lang w:val="en-US" w:eastAsia="zh-CN"/>
        </w:rPr>
        <w:t>本年度</w:t>
      </w:r>
      <w:r>
        <w:rPr>
          <w:rFonts w:hint="eastAsia" w:ascii="仿宋_GB2312" w:eastAsia="仿宋_GB2312"/>
          <w:sz w:val="32"/>
          <w:szCs w:val="32"/>
        </w:rPr>
        <w:t>无</w:t>
      </w:r>
      <w:r>
        <w:rPr>
          <w:rFonts w:hint="eastAsia" w:ascii="仿宋_GB2312" w:eastAsia="仿宋_GB2312"/>
          <w:color w:val="auto"/>
          <w:sz w:val="32"/>
          <w:szCs w:val="32"/>
          <w:highlight w:val="none"/>
          <w:lang w:val="zh-CN" w:eastAsia="zh-CN"/>
        </w:rPr>
        <w:t>公务接待费。单位全年安排的国内公务接待0批次，0人次。</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与</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预算相比</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lang w:val="zh-CN" w:eastAsia="zh-CN"/>
        </w:rPr>
        <w:t>财政拨款“三公”经费支出</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预算数3.00万元，决算数3.00万元，预决算差异率0.00%，主要原因是：</w:t>
      </w:r>
      <w:r>
        <w:rPr>
          <w:rFonts w:hint="eastAsia" w:ascii="仿宋_GB2312" w:eastAsia="仿宋_GB2312"/>
          <w:sz w:val="32"/>
          <w:szCs w:val="32"/>
        </w:rPr>
        <w:t>“三公”经费预决算一致，无差异</w:t>
      </w:r>
      <w:r>
        <w:rPr>
          <w:rFonts w:hint="eastAsia" w:ascii="仿宋_GB2312" w:eastAsia="仿宋_GB2312"/>
          <w:color w:val="auto"/>
          <w:sz w:val="32"/>
          <w:szCs w:val="32"/>
          <w:highlight w:val="none"/>
          <w:lang w:val="zh-CN" w:eastAsia="zh-CN"/>
        </w:rPr>
        <w:t>。其中：因公出国（境）费</w:t>
      </w:r>
      <w:r>
        <w:rPr>
          <w:rFonts w:hint="eastAsia" w:ascii="仿宋_GB2312" w:eastAsia="仿宋_GB2312"/>
          <w:color w:val="auto"/>
          <w:sz w:val="32"/>
          <w:szCs w:val="32"/>
          <w:highlight w:val="none"/>
          <w:lang w:val="en-US" w:eastAsia="zh-CN"/>
        </w:rPr>
        <w:t>全年预算数</w:t>
      </w:r>
      <w:r>
        <w:rPr>
          <w:rFonts w:hint="eastAsia" w:ascii="仿宋_GB2312" w:eastAsia="仿宋_GB2312"/>
          <w:color w:val="auto"/>
          <w:sz w:val="32"/>
          <w:szCs w:val="32"/>
          <w:highlight w:val="none"/>
          <w:lang w:val="zh-CN" w:eastAsia="zh-CN"/>
        </w:rPr>
        <w:t>0.00万元，决算数0.00万元，预决算差异率0.00%，主要原因是：</w:t>
      </w:r>
      <w:r>
        <w:rPr>
          <w:rFonts w:hint="eastAsia" w:ascii="仿宋_GB2312" w:eastAsia="仿宋_GB2312"/>
          <w:sz w:val="32"/>
          <w:szCs w:val="32"/>
        </w:rPr>
        <w:t>我单位无因公出国（境）费</w:t>
      </w:r>
      <w:r>
        <w:rPr>
          <w:rFonts w:hint="eastAsia" w:ascii="仿宋_GB2312" w:eastAsia="仿宋_GB2312"/>
          <w:color w:val="auto"/>
          <w:sz w:val="32"/>
          <w:szCs w:val="32"/>
          <w:highlight w:val="none"/>
          <w:lang w:val="zh-CN" w:eastAsia="zh-CN"/>
        </w:rPr>
        <w:t>；公务用车购置费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sz w:val="32"/>
          <w:szCs w:val="32"/>
        </w:rPr>
        <w:t>我单位无公务用车购置费</w:t>
      </w:r>
      <w:r>
        <w:rPr>
          <w:rFonts w:hint="eastAsia" w:ascii="仿宋_GB2312" w:eastAsia="仿宋_GB2312"/>
          <w:color w:val="auto"/>
          <w:sz w:val="32"/>
          <w:szCs w:val="32"/>
          <w:highlight w:val="none"/>
          <w:lang w:val="zh-CN" w:eastAsia="zh-CN"/>
        </w:rPr>
        <w:t>；公务用车运行费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预算数3.00万元，决算数3.00万元，预决算差异率0.00%，主要原因是：</w:t>
      </w:r>
      <w:r>
        <w:rPr>
          <w:rFonts w:hint="eastAsia" w:ascii="仿宋_GB2312" w:eastAsia="仿宋_GB2312"/>
          <w:sz w:val="32"/>
          <w:szCs w:val="32"/>
        </w:rPr>
        <w:t>公务用车运行费预决算一致，无差异</w:t>
      </w:r>
      <w:r>
        <w:rPr>
          <w:rFonts w:hint="eastAsia" w:ascii="仿宋_GB2312" w:eastAsia="仿宋_GB2312"/>
          <w:color w:val="auto"/>
          <w:sz w:val="32"/>
          <w:szCs w:val="32"/>
          <w:highlight w:val="none"/>
          <w:lang w:val="zh-CN" w:eastAsia="zh-CN"/>
        </w:rPr>
        <w:t>；公务接待费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预算数0.00万元，决算数0.00万元，预决算差异率0.00%，主要原因是：本年</w:t>
      </w:r>
      <w:r>
        <w:rPr>
          <w:rFonts w:hint="eastAsia" w:ascii="仿宋_GB2312" w:eastAsia="仿宋_GB2312"/>
          <w:sz w:val="32"/>
          <w:szCs w:val="32"/>
        </w:rPr>
        <w:t>无</w:t>
      </w:r>
      <w:r>
        <w:rPr>
          <w:rFonts w:hint="eastAsia" w:ascii="仿宋_GB2312" w:eastAsia="仿宋_GB2312"/>
          <w:color w:val="auto"/>
          <w:sz w:val="32"/>
          <w:szCs w:val="32"/>
          <w:highlight w:val="none"/>
          <w:lang w:val="zh-CN" w:eastAsia="zh-CN"/>
        </w:rPr>
        <w:t>公务接待</w:t>
      </w:r>
      <w:r>
        <w:rPr>
          <w:rFonts w:hint="eastAsia" w:ascii="仿宋_GB2312" w:eastAsia="仿宋_GB2312"/>
          <w:color w:val="auto"/>
          <w:sz w:val="32"/>
          <w:szCs w:val="32"/>
          <w:highlight w:val="none"/>
          <w:lang w:val="en-US" w:eastAsia="zh-CN"/>
        </w:rPr>
        <w:t>来访，公务接待费未支出</w:t>
      </w:r>
      <w:r>
        <w:rPr>
          <w:rFonts w:hint="eastAsia" w:ascii="仿宋_GB2312" w:eastAsia="仿宋_GB2312"/>
          <w:color w:val="auto"/>
          <w:sz w:val="32"/>
          <w:szCs w:val="32"/>
          <w:highlight w:val="none"/>
          <w:lang w:val="zh-CN"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8" w:name="_Toc5810"/>
      <w:bookmarkStart w:id="19" w:name="_Toc7927"/>
      <w:r>
        <w:rPr>
          <w:rFonts w:hint="eastAsia" w:ascii="黑体" w:hAnsi="黑体" w:eastAsia="黑体" w:cs="宋体"/>
          <w:bCs/>
          <w:color w:val="auto"/>
          <w:kern w:val="0"/>
          <w:sz w:val="32"/>
          <w:szCs w:val="32"/>
          <w:highlight w:val="none"/>
          <w:lang w:val="en-US" w:eastAsia="zh-CN"/>
        </w:rPr>
        <w:t>八</w:t>
      </w:r>
      <w:r>
        <w:rPr>
          <w:rFonts w:hint="eastAsia" w:ascii="黑体" w:hAnsi="黑体" w:eastAsia="黑体" w:cs="宋体"/>
          <w:bCs/>
          <w:color w:val="auto"/>
          <w:kern w:val="0"/>
          <w:sz w:val="32"/>
          <w:szCs w:val="32"/>
          <w:highlight w:val="none"/>
          <w:lang w:eastAsia="zh-CN"/>
        </w:rPr>
        <w:t>、政府性基金预算财政拨款收入支出决算情况说明</w:t>
      </w:r>
      <w:bookmarkEnd w:id="18"/>
      <w:bookmarkEnd w:id="19"/>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本年度无政府性基金预算财政拨款收入、支出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政府性基金预算财政拨款收入支出决算表为空表。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九</w:t>
      </w:r>
      <w:r>
        <w:rPr>
          <w:rFonts w:hint="eastAsia" w:ascii="黑体" w:hAnsi="黑体" w:eastAsia="黑体" w:cs="宋体"/>
          <w:bCs/>
          <w:color w:val="auto"/>
          <w:kern w:val="0"/>
          <w:sz w:val="32"/>
          <w:szCs w:val="32"/>
          <w:highlight w:val="none"/>
          <w:lang w:eastAsia="zh-CN"/>
        </w:rPr>
        <w:t>、国有资本经营预算财政拨款收入支出决算情况说明</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本年度无国有资本经营预算财政拨款收入、支出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，国有资本经营</w:t>
      </w:r>
      <w:r>
        <w:rPr>
          <w:rFonts w:hint="eastAsia" w:ascii="仿宋_GB2312" w:eastAsia="仿宋_GB2312"/>
          <w:color w:val="auto"/>
          <w:sz w:val="32"/>
          <w:szCs w:val="32"/>
          <w:highlight w:val="none"/>
        </w:rPr>
        <w:t>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0" w:name="_Toc1235"/>
      <w:bookmarkStart w:id="21" w:name="_Toc7314"/>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rPr>
        <w:t>、其他重要事项的情况</w:t>
      </w:r>
      <w:r>
        <w:rPr>
          <w:rFonts w:hint="eastAsia" w:ascii="黑体" w:hAnsi="黑体" w:eastAsia="黑体" w:cs="宋体"/>
          <w:bCs/>
          <w:color w:val="auto"/>
          <w:kern w:val="0"/>
          <w:sz w:val="32"/>
          <w:szCs w:val="32"/>
          <w:highlight w:val="none"/>
          <w:lang w:eastAsia="zh-CN"/>
        </w:rPr>
        <w:t>说明</w:t>
      </w:r>
      <w:bookmarkEnd w:id="20"/>
      <w:bookmarkEnd w:id="2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rPr>
      </w:pPr>
      <w:bookmarkStart w:id="22" w:name="_Toc13105"/>
      <w:bookmarkStart w:id="23" w:name="_Toc14519"/>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机关运行经费支出情况</w:t>
      </w:r>
      <w:bookmarkEnd w:id="22"/>
      <w:bookmarkEnd w:id="23"/>
    </w:p>
    <w:p>
      <w:pPr>
        <w:ind w:firstLine="640" w:firstLineChars="200"/>
        <w:rPr>
          <w:rFonts w:hint="eastAsia" w:ascii="Times New Roman" w:hAnsi="Times New Roman" w:eastAsia="仿宋_GB2312" w:cs="Times New Roman"/>
          <w:color w:val="auto"/>
          <w:sz w:val="32"/>
          <w:szCs w:val="32"/>
          <w:highlight w:val="none"/>
          <w:lang w:val="zh-CN" w:eastAsia="zh-CN"/>
        </w:rPr>
      </w:pPr>
      <w:bookmarkStart w:id="24" w:name="_Toc26704"/>
      <w:bookmarkStart w:id="25" w:name="_Toc227"/>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en-US" w:eastAsia="zh-CN"/>
        </w:rPr>
        <w:t>新疆维吾尔自治区塔里木河流域干流管理局上游管理处</w:t>
      </w:r>
      <w:r>
        <w:rPr>
          <w:rFonts w:hint="eastAsia" w:ascii="Times New Roman" w:hAnsi="Times New Roman" w:eastAsia="仿宋_GB2312" w:cs="Times New Roman"/>
          <w:color w:val="auto"/>
          <w:sz w:val="32"/>
          <w:szCs w:val="32"/>
          <w:highlight w:val="none"/>
          <w:lang w:val="zh-CN" w:eastAsia="zh-CN"/>
        </w:rPr>
        <w:t>（事业单位）公用经费支出65.02万元，比上年增加8.61万元，增长15.27%，主要原因是：</w:t>
      </w:r>
      <w:r>
        <w:rPr>
          <w:rFonts w:hint="eastAsia" w:ascii="仿宋_GB2312" w:eastAsia="仿宋_GB2312"/>
          <w:sz w:val="32"/>
          <w:szCs w:val="32"/>
        </w:rPr>
        <w:t>因在职人员工资晋升，基数上调，导致公用经费</w:t>
      </w:r>
      <w:r>
        <w:rPr>
          <w:rFonts w:hint="eastAsia" w:ascii="仿宋_GB2312" w:eastAsia="仿宋_GB2312"/>
          <w:sz w:val="32"/>
          <w:szCs w:val="32"/>
          <w:lang w:val="en-US" w:eastAsia="zh-CN"/>
        </w:rPr>
        <w:t>中</w:t>
      </w:r>
      <w:r>
        <w:rPr>
          <w:rFonts w:hint="eastAsia" w:ascii="仿宋_GB2312" w:eastAsia="仿宋_GB2312"/>
          <w:sz w:val="32"/>
          <w:szCs w:val="32"/>
        </w:rPr>
        <w:t>工会经费、福利费</w:t>
      </w:r>
      <w:r>
        <w:rPr>
          <w:rFonts w:hint="eastAsia" w:ascii="仿宋_GB2312" w:eastAsia="仿宋_GB2312"/>
          <w:sz w:val="32"/>
          <w:szCs w:val="32"/>
          <w:lang w:val="en-US" w:eastAsia="zh-CN"/>
        </w:rPr>
        <w:t>的支出</w:t>
      </w:r>
      <w:r>
        <w:rPr>
          <w:rFonts w:hint="eastAsia" w:ascii="仿宋_GB2312" w:eastAsia="仿宋_GB2312"/>
          <w:sz w:val="32"/>
          <w:szCs w:val="32"/>
        </w:rPr>
        <w:t>有所</w:t>
      </w:r>
      <w:r>
        <w:rPr>
          <w:rFonts w:hint="eastAsia" w:ascii="仿宋_GB2312" w:eastAsia="仿宋_GB2312"/>
          <w:sz w:val="32"/>
          <w:szCs w:val="32"/>
          <w:lang w:val="en-US" w:eastAsia="zh-CN"/>
        </w:rPr>
        <w:t>增加</w:t>
      </w:r>
      <w:r>
        <w:rPr>
          <w:rFonts w:hint="eastAsia" w:ascii="Times New Roman" w:hAnsi="Times New Roman" w:eastAsia="仿宋_GB2312" w:cs="Times New Roman"/>
          <w:color w:val="auto"/>
          <w:sz w:val="32"/>
          <w:szCs w:val="32"/>
          <w:highlight w:val="none"/>
          <w:lang w:val="zh-CN"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r>
        <w:rPr>
          <w:rFonts w:hint="eastAsia" w:ascii="Times New Roman" w:hAnsi="Times New Roman" w:eastAsia="黑体" w:cs="Times New Roman"/>
          <w:color w:val="auto"/>
          <w:sz w:val="32"/>
          <w:szCs w:val="30"/>
          <w:highlight w:val="none"/>
          <w:lang w:val="zh-CN" w:eastAsia="zh-CN"/>
        </w:rPr>
        <w:t>（二）政府采购情况</w:t>
      </w:r>
      <w:bookmarkEnd w:id="24"/>
      <w:bookmarkEnd w:id="2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rPr>
      </w:pPr>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zh-CN"/>
        </w:rPr>
        <w:t>政府采购支出总额</w:t>
      </w:r>
      <w:r>
        <w:rPr>
          <w:rFonts w:hint="eastAsia" w:ascii="Times New Roman" w:hAnsi="Times New Roman" w:eastAsia="仿宋_GB2312" w:cs="Times New Roman"/>
          <w:color w:val="auto"/>
          <w:sz w:val="32"/>
          <w:szCs w:val="32"/>
          <w:highlight w:val="none"/>
          <w:lang w:val="zh-CN" w:eastAsia="zh-CN"/>
        </w:rPr>
        <w:t>33.44万元</w:t>
      </w:r>
      <w:r>
        <w:rPr>
          <w:rFonts w:hint="eastAsia" w:ascii="Times New Roman" w:hAnsi="Times New Roman" w:eastAsia="仿宋_GB2312" w:cs="Times New Roman"/>
          <w:color w:val="auto"/>
          <w:sz w:val="32"/>
          <w:szCs w:val="32"/>
          <w:highlight w:val="none"/>
          <w:lang w:val="zh-CN"/>
        </w:rPr>
        <w:t>，</w:t>
      </w:r>
      <w:r>
        <w:rPr>
          <w:rFonts w:hint="eastAsia" w:ascii="Times New Roman" w:hAnsi="Times New Roman" w:eastAsia="仿宋_GB2312" w:cs="Times New Roman"/>
          <w:color w:val="auto"/>
          <w:sz w:val="32"/>
          <w:szCs w:val="32"/>
          <w:highlight w:val="none"/>
          <w:lang w:val="zh-CN" w:eastAsia="zh-CN"/>
        </w:rPr>
        <w:t>其中：政府采购货物支出13.72万元、政府采购工程支出0.00万元、政府采购服务支出19.72万元。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zh-CN" w:eastAsia="zh-CN"/>
        </w:rPr>
        <w:t>授予中小企业合同金额21.97万元，占政府采购支出总额的65.69</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zh-CN" w:eastAsia="zh-CN"/>
        </w:rPr>
        <w:t>，其中：授予小微企业合同金额14.94万元，占政府采购支出总额的44.67</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bookmarkStart w:id="26" w:name="_Toc8391"/>
      <w:bookmarkStart w:id="27" w:name="_Toc4591"/>
      <w:r>
        <w:rPr>
          <w:rFonts w:hint="eastAsia" w:ascii="Times New Roman" w:hAnsi="Times New Roman" w:eastAsia="黑体" w:cs="Times New Roman"/>
          <w:color w:val="auto"/>
          <w:sz w:val="32"/>
          <w:szCs w:val="30"/>
          <w:highlight w:val="none"/>
          <w:lang w:val="zh-CN" w:eastAsia="zh-CN"/>
        </w:rPr>
        <w:t>（三）国有资产占用情况说明</w:t>
      </w:r>
      <w:bookmarkEnd w:id="26"/>
      <w:bookmarkEnd w:id="2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eastAsia="zh-CN"/>
        </w:rPr>
      </w:pPr>
      <w:r>
        <w:rPr>
          <w:rFonts w:hint="eastAsia" w:ascii="Times New Roman" w:hAnsi="Times New Roman" w:eastAsia="仿宋_GB2312" w:cs="Times New Roman"/>
          <w:color w:val="auto"/>
          <w:sz w:val="32"/>
          <w:szCs w:val="32"/>
          <w:highlight w:val="none"/>
          <w:lang w:val="en-US" w:eastAsia="zh-CN"/>
        </w:rPr>
        <w:t>截至2023</w:t>
      </w:r>
      <w:r>
        <w:rPr>
          <w:rFonts w:hint="eastAsia" w:ascii="Times New Roman" w:hAnsi="Times New Roman" w:eastAsia="仿宋_GB2312" w:cs="Times New Roman"/>
          <w:color w:val="auto"/>
          <w:sz w:val="32"/>
          <w:szCs w:val="32"/>
          <w:highlight w:val="none"/>
          <w:lang w:val="zh-CN" w:eastAsia="zh-CN"/>
        </w:rPr>
        <w:t>年</w:t>
      </w:r>
      <w:r>
        <w:rPr>
          <w:rFonts w:hint="eastAsia" w:ascii="Times New Roman" w:hAnsi="Times New Roman" w:eastAsia="仿宋_GB2312" w:cs="Times New Roman"/>
          <w:color w:val="auto"/>
          <w:sz w:val="32"/>
          <w:szCs w:val="32"/>
          <w:highlight w:val="none"/>
          <w:lang w:val="en-US" w:eastAsia="zh-CN"/>
        </w:rPr>
        <w:t>12月31日</w:t>
      </w:r>
      <w:r>
        <w:rPr>
          <w:rFonts w:hint="eastAsia"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固定资产原值</w:t>
      </w:r>
      <w:r>
        <w:rPr>
          <w:rFonts w:hint="eastAsia" w:ascii="Times New Roman" w:hAnsi="Times New Roman" w:eastAsia="仿宋_GB2312" w:cs="Times New Roman"/>
          <w:color w:val="auto"/>
          <w:sz w:val="32"/>
          <w:szCs w:val="32"/>
          <w:highlight w:val="none"/>
          <w:lang w:val="zh-CN" w:eastAsia="zh-CN"/>
        </w:rPr>
        <w:t>25.25</w:t>
      </w:r>
      <w:r>
        <w:rPr>
          <w:rFonts w:hint="eastAsia" w:ascii="Times New Roman" w:hAnsi="Times New Roman" w:eastAsia="仿宋_GB2312" w:cs="Times New Roman"/>
          <w:color w:val="auto"/>
          <w:sz w:val="32"/>
          <w:szCs w:val="32"/>
          <w:highlight w:val="none"/>
          <w:lang w:val="en-US" w:eastAsia="zh-CN"/>
        </w:rPr>
        <w:t>万元，房</w:t>
      </w:r>
      <w:r>
        <w:rPr>
          <w:rFonts w:hint="eastAsia" w:ascii="Times New Roman" w:hAnsi="Times New Roman" w:eastAsia="仿宋_GB2312" w:cs="Times New Roman"/>
          <w:color w:val="auto"/>
          <w:sz w:val="32"/>
          <w:szCs w:val="32"/>
          <w:highlight w:val="none"/>
          <w:lang w:val="zh-CN" w:eastAsia="zh-CN"/>
        </w:rPr>
        <w:t>屋0.0平方米，价值0.00万元。车辆0辆，价值0.00万元，其中：副部（省）级及以上领导用车0辆、主要</w:t>
      </w:r>
      <w:r>
        <w:rPr>
          <w:rFonts w:hint="eastAsia" w:ascii="Times New Roman" w:hAnsi="Times New Roman" w:eastAsia="仿宋_GB2312" w:cs="Times New Roman"/>
          <w:color w:val="auto"/>
          <w:sz w:val="32"/>
          <w:szCs w:val="32"/>
          <w:highlight w:val="none"/>
          <w:lang w:val="en-US" w:eastAsia="zh-CN"/>
        </w:rPr>
        <w:t>负责人</w:t>
      </w:r>
      <w:r>
        <w:rPr>
          <w:rFonts w:hint="eastAsia" w:ascii="Times New Roman" w:hAnsi="Times New Roman" w:eastAsia="仿宋_GB2312" w:cs="Times New Roman"/>
          <w:color w:val="auto"/>
          <w:sz w:val="32"/>
          <w:szCs w:val="32"/>
          <w:highlight w:val="none"/>
          <w:lang w:val="zh-CN" w:eastAsia="zh-CN"/>
        </w:rPr>
        <w:t>用车0辆、机要通信用车0辆、应急保障用车0辆、执法执勤用车0辆、特种专业技术用车0辆、离退休干部</w:t>
      </w:r>
      <w:r>
        <w:rPr>
          <w:rFonts w:hint="eastAsia" w:ascii="Times New Roman" w:hAnsi="Times New Roman" w:eastAsia="仿宋_GB2312" w:cs="Times New Roman"/>
          <w:color w:val="auto"/>
          <w:sz w:val="32"/>
          <w:szCs w:val="32"/>
          <w:highlight w:val="none"/>
          <w:lang w:val="en-US" w:eastAsia="zh-CN"/>
        </w:rPr>
        <w:t>服务</w:t>
      </w:r>
      <w:r>
        <w:rPr>
          <w:rFonts w:hint="eastAsia" w:ascii="Times New Roman" w:hAnsi="Times New Roman" w:eastAsia="仿宋_GB2312" w:cs="Times New Roman"/>
          <w:color w:val="auto"/>
          <w:sz w:val="32"/>
          <w:szCs w:val="32"/>
          <w:highlight w:val="none"/>
          <w:lang w:val="zh-CN" w:eastAsia="zh-CN"/>
        </w:rPr>
        <w:t>用车0辆、其他用车0辆，其他用车主要是：</w:t>
      </w:r>
      <w:r>
        <w:rPr>
          <w:rFonts w:hint="eastAsia" w:ascii="仿宋_GB2312" w:eastAsia="仿宋_GB2312"/>
          <w:sz w:val="32"/>
          <w:szCs w:val="32"/>
        </w:rPr>
        <w:t>我单位无其他用车</w:t>
      </w:r>
      <w:r>
        <w:rPr>
          <w:rFonts w:hint="eastAsia" w:ascii="Times New Roman" w:hAnsi="Times New Roman" w:eastAsia="仿宋_GB2312" w:cs="Times New Roman"/>
          <w:color w:val="auto"/>
          <w:sz w:val="32"/>
          <w:szCs w:val="32"/>
          <w:highlight w:val="none"/>
          <w:lang w:val="zh-CN" w:eastAsia="zh-CN"/>
        </w:rPr>
        <w:t>；单价100万元（含）以上设备（不含车辆）0</w:t>
      </w:r>
      <w:r>
        <w:rPr>
          <w:rFonts w:hint="eastAsia" w:ascii="Times New Roman" w:hAnsi="Times New Roman" w:eastAsia="仿宋_GB2312" w:cs="Times New Roman"/>
          <w:color w:val="auto"/>
          <w:sz w:val="32"/>
          <w:szCs w:val="32"/>
          <w:highlight w:val="none"/>
          <w:lang w:val="en-US" w:eastAsia="zh-CN"/>
        </w:rPr>
        <w:t>台（</w:t>
      </w:r>
      <w:r>
        <w:rPr>
          <w:rFonts w:hint="eastAsia" w:ascii="Times New Roman" w:hAnsi="Times New Roman" w:eastAsia="仿宋_GB2312" w:cs="Times New Roman"/>
          <w:color w:val="auto"/>
          <w:sz w:val="32"/>
          <w:szCs w:val="32"/>
          <w:highlight w:val="none"/>
          <w:lang w:val="zh-CN" w:eastAsia="zh-CN"/>
        </w:rPr>
        <w:t>套）。</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8" w:name="_Toc435"/>
      <w:bookmarkStart w:id="29" w:name="_Toc11283"/>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一</w:t>
      </w:r>
      <w:r>
        <w:rPr>
          <w:rFonts w:hint="eastAsia" w:ascii="黑体" w:hAnsi="黑体" w:eastAsia="黑体" w:cs="宋体"/>
          <w:bCs/>
          <w:color w:val="auto"/>
          <w:kern w:val="0"/>
          <w:sz w:val="32"/>
          <w:szCs w:val="32"/>
          <w:highlight w:val="none"/>
          <w:lang w:eastAsia="zh-CN"/>
        </w:rPr>
        <w:t>、预算绩效的情况说明</w:t>
      </w:r>
      <w:bookmarkEnd w:id="28"/>
      <w:bookmarkEnd w:id="29"/>
    </w:p>
    <w:p>
      <w:pPr>
        <w:ind w:firstLine="640" w:firstLineChars="200"/>
        <w:rPr>
          <w:rFonts w:ascii="仿宋_GB2312" w:eastAsia="仿宋_GB2312"/>
          <w:sz w:val="32"/>
          <w:szCs w:val="32"/>
        </w:rPr>
      </w:pPr>
      <w:r>
        <w:rPr>
          <w:rFonts w:hint="eastAsia" w:ascii="仿宋_GB2312" w:eastAsia="仿宋_GB2312"/>
          <w:sz w:val="32"/>
          <w:szCs w:val="32"/>
        </w:rPr>
        <w:t>根据预算绩效管理要求，我单位</w:t>
      </w:r>
      <w:r>
        <w:rPr>
          <w:rFonts w:ascii="仿宋_GB2312" w:eastAsia="仿宋_GB2312"/>
          <w:sz w:val="32"/>
          <w:szCs w:val="32"/>
        </w:rPr>
        <w:t>202</w:t>
      </w:r>
      <w:r>
        <w:rPr>
          <w:rFonts w:hint="eastAsia" w:ascii="仿宋_GB2312" w:eastAsia="仿宋_GB2312"/>
          <w:sz w:val="32"/>
          <w:szCs w:val="32"/>
          <w:lang w:val="en-US" w:eastAsia="zh-CN"/>
        </w:rPr>
        <w:t>3</w:t>
      </w:r>
      <w:r>
        <w:rPr>
          <w:rFonts w:hint="eastAsia" w:ascii="仿宋_GB2312" w:eastAsia="仿宋_GB2312"/>
          <w:sz w:val="32"/>
          <w:szCs w:val="32"/>
        </w:rPr>
        <w:t>年度开展预算绩效评价项目</w:t>
      </w:r>
      <w:r>
        <w:rPr>
          <w:rFonts w:ascii="仿宋_GB2312" w:eastAsia="仿宋_GB2312"/>
          <w:sz w:val="32"/>
          <w:szCs w:val="32"/>
        </w:rPr>
        <w:t>0</w:t>
      </w:r>
      <w:r>
        <w:rPr>
          <w:rFonts w:hint="eastAsia" w:ascii="仿宋_GB2312" w:eastAsia="仿宋_GB2312"/>
          <w:sz w:val="32"/>
          <w:szCs w:val="32"/>
        </w:rPr>
        <w:t>个，全年预算数0.00万元，全年执行数0.00万元，我单位整体支出绩效自评表由主管部门编报并公开</w:t>
      </w:r>
      <w:r>
        <w:rPr>
          <w:rFonts w:hint="eastAsia" w:ascii="仿宋_GB2312" w:eastAsia="仿宋_GB2312"/>
          <w:sz w:val="32"/>
          <w:szCs w:val="32"/>
          <w:lang w:eastAsia="zh-CN"/>
        </w:rPr>
        <w:t>。</w:t>
      </w:r>
      <w:r>
        <w:rPr>
          <w:rFonts w:hint="eastAsia" w:ascii="仿宋_GB2312" w:eastAsia="仿宋_GB2312"/>
          <w:sz w:val="32"/>
          <w:szCs w:val="32"/>
        </w:rPr>
        <w:t>预算绩效管理取得的成效：</w:t>
      </w:r>
      <w:r>
        <w:rPr>
          <w:rFonts w:ascii="仿宋_GB2312" w:eastAsia="仿宋_GB2312"/>
          <w:sz w:val="32"/>
          <w:szCs w:val="32"/>
        </w:rPr>
        <w:t>干流管理局</w:t>
      </w:r>
      <w:r>
        <w:rPr>
          <w:rFonts w:hint="eastAsia" w:ascii="仿宋_GB2312" w:eastAsia="仿宋_GB2312"/>
          <w:sz w:val="32"/>
          <w:szCs w:val="32"/>
          <w:lang w:eastAsia="zh-CN"/>
        </w:rPr>
        <w:t>上游</w:t>
      </w:r>
      <w:r>
        <w:rPr>
          <w:rFonts w:ascii="仿宋_GB2312" w:eastAsia="仿宋_GB2312"/>
          <w:sz w:val="32"/>
          <w:szCs w:val="32"/>
        </w:rPr>
        <w:t>管理处无项目支出，无预算绩效自评</w:t>
      </w:r>
      <w:r>
        <w:rPr>
          <w:rFonts w:hint="eastAsia" w:ascii="仿宋_GB2312" w:eastAsia="仿宋_GB2312"/>
          <w:sz w:val="32"/>
          <w:szCs w:val="32"/>
        </w:rPr>
        <w:t>。发现的问题及原因：</w:t>
      </w:r>
      <w:r>
        <w:rPr>
          <w:rFonts w:ascii="仿宋_GB2312" w:eastAsia="仿宋_GB2312"/>
          <w:sz w:val="32"/>
          <w:szCs w:val="32"/>
        </w:rPr>
        <w:t>干流管理局</w:t>
      </w:r>
      <w:r>
        <w:rPr>
          <w:rFonts w:hint="eastAsia" w:ascii="仿宋_GB2312" w:eastAsia="仿宋_GB2312"/>
          <w:sz w:val="32"/>
          <w:szCs w:val="32"/>
          <w:lang w:eastAsia="zh-CN"/>
        </w:rPr>
        <w:t>上游</w:t>
      </w:r>
      <w:r>
        <w:rPr>
          <w:rFonts w:ascii="仿宋_GB2312" w:eastAsia="仿宋_GB2312"/>
          <w:sz w:val="32"/>
          <w:szCs w:val="32"/>
        </w:rPr>
        <w:t>管理处无项目支出，无预算绩效自评</w:t>
      </w:r>
      <w:r>
        <w:rPr>
          <w:rFonts w:hint="eastAsia" w:ascii="仿宋_GB2312" w:eastAsia="仿宋_GB2312"/>
          <w:sz w:val="32"/>
          <w:szCs w:val="32"/>
        </w:rPr>
        <w:t>。下一步改进措施：</w:t>
      </w:r>
      <w:r>
        <w:rPr>
          <w:rFonts w:ascii="仿宋_GB2312" w:eastAsia="仿宋_GB2312"/>
          <w:sz w:val="32"/>
          <w:szCs w:val="32"/>
        </w:rPr>
        <w:t>干流管理局</w:t>
      </w:r>
      <w:r>
        <w:rPr>
          <w:rFonts w:hint="eastAsia" w:ascii="仿宋_GB2312" w:eastAsia="仿宋_GB2312"/>
          <w:sz w:val="32"/>
          <w:szCs w:val="32"/>
          <w:lang w:eastAsia="zh-CN"/>
        </w:rPr>
        <w:t>上游</w:t>
      </w:r>
      <w:r>
        <w:rPr>
          <w:rFonts w:ascii="仿宋_GB2312" w:eastAsia="仿宋_GB2312"/>
          <w:sz w:val="32"/>
          <w:szCs w:val="32"/>
        </w:rPr>
        <w:t>管理处无项目支出，无预算绩效自评</w:t>
      </w:r>
      <w:r>
        <w:rPr>
          <w:rFonts w:hint="eastAsia" w:ascii="仿宋_GB2312" w:eastAsia="仿宋_GB2312"/>
          <w:sz w:val="32"/>
          <w:szCs w:val="32"/>
        </w:rPr>
        <w:t>。</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二</w:t>
      </w:r>
      <w:r>
        <w:rPr>
          <w:rFonts w:hint="eastAsia" w:ascii="黑体" w:hAnsi="黑体" w:eastAsia="黑体" w:cs="宋体"/>
          <w:bCs/>
          <w:color w:val="auto"/>
          <w:kern w:val="0"/>
          <w:sz w:val="32"/>
          <w:szCs w:val="32"/>
          <w:highlight w:val="none"/>
          <w:lang w:eastAsia="zh-CN"/>
        </w:rPr>
        <w:t>、其他需说明的事项</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本单位无其他需说明事项。</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30" w:name="_Toc3250"/>
      <w:bookmarkStart w:id="31" w:name="_Toc24143"/>
      <w:r>
        <w:rPr>
          <w:rFonts w:hint="eastAsia" w:ascii="黑体" w:hAnsi="黑体" w:eastAsia="黑体"/>
          <w:color w:val="auto"/>
          <w:sz w:val="32"/>
          <w:szCs w:val="32"/>
          <w:highlight w:val="none"/>
        </w:rPr>
        <w:br w:type="page"/>
      </w: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三</w:t>
      </w:r>
      <w:r>
        <w:rPr>
          <w:rFonts w:hint="eastAsia" w:ascii="黑体" w:hAnsi="黑体" w:eastAsia="黑体"/>
          <w:color w:val="auto"/>
          <w:sz w:val="32"/>
          <w:szCs w:val="32"/>
          <w:highlight w:val="none"/>
        </w:rPr>
        <w:t>部分 专业名词解释</w:t>
      </w:r>
      <w:bookmarkEnd w:id="30"/>
      <w:bookmarkEnd w:id="31"/>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一、</w:t>
      </w:r>
      <w:r>
        <w:rPr>
          <w:rFonts w:hint="eastAsia" w:ascii="仿宋_GB2312" w:eastAsia="仿宋_GB2312"/>
          <w:b/>
          <w:bCs/>
          <w:color w:val="auto"/>
          <w:sz w:val="32"/>
          <w:szCs w:val="32"/>
          <w:highlight w:val="none"/>
        </w:rPr>
        <w:t>财政拨款收入：</w:t>
      </w:r>
      <w:r>
        <w:rPr>
          <w:rFonts w:hint="eastAsia" w:ascii="仿宋_GB2312" w:eastAsia="仿宋_GB2312"/>
          <w:color w:val="auto"/>
          <w:sz w:val="32"/>
          <w:szCs w:val="32"/>
          <w:highlight w:val="none"/>
        </w:rPr>
        <w:t>指同级财政当年拨付的资金。</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二、</w:t>
      </w:r>
      <w:r>
        <w:rPr>
          <w:rFonts w:hint="eastAsia" w:ascii="仿宋_GB2312" w:eastAsia="仿宋_GB2312"/>
          <w:b/>
          <w:bCs/>
          <w:color w:val="auto"/>
          <w:sz w:val="32"/>
          <w:szCs w:val="32"/>
          <w:highlight w:val="none"/>
        </w:rPr>
        <w:t>上级补助收入：</w:t>
      </w:r>
      <w:r>
        <w:rPr>
          <w:rFonts w:hint="eastAsia" w:ascii="仿宋_GB2312" w:eastAsia="仿宋_GB2312"/>
          <w:color w:val="auto"/>
          <w:sz w:val="32"/>
          <w:szCs w:val="32"/>
          <w:highlight w:val="none"/>
        </w:rPr>
        <w:t>指事业单位从主管部门和上级单位取得的非财政补助收入。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三、</w:t>
      </w:r>
      <w:r>
        <w:rPr>
          <w:rFonts w:hint="eastAsia" w:ascii="仿宋_GB2312" w:eastAsia="仿宋_GB2312"/>
          <w:b/>
          <w:bCs/>
          <w:color w:val="auto"/>
          <w:sz w:val="32"/>
          <w:szCs w:val="32"/>
          <w:highlight w:val="none"/>
        </w:rPr>
        <w:t>事业收入：</w:t>
      </w:r>
      <w:r>
        <w:rPr>
          <w:rFonts w:hint="eastAsia" w:ascii="仿宋_GB2312" w:eastAsia="仿宋_GB2312"/>
          <w:color w:val="auto"/>
          <w:sz w:val="32"/>
          <w:szCs w:val="32"/>
          <w:highlight w:val="none"/>
        </w:rPr>
        <w:t>指事业单位开展专业业务活动及其辅助活动所取得的收入。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四、</w:t>
      </w:r>
      <w:r>
        <w:rPr>
          <w:rFonts w:hint="eastAsia" w:ascii="仿宋_GB2312" w:eastAsia="仿宋_GB2312"/>
          <w:b/>
          <w:bCs/>
          <w:color w:val="auto"/>
          <w:sz w:val="32"/>
          <w:szCs w:val="32"/>
          <w:highlight w:val="none"/>
        </w:rPr>
        <w:t>经营收入：</w:t>
      </w:r>
      <w:r>
        <w:rPr>
          <w:rFonts w:hint="eastAsia" w:ascii="仿宋_GB2312" w:eastAsia="仿宋_GB2312"/>
          <w:color w:val="auto"/>
          <w:sz w:val="32"/>
          <w:szCs w:val="32"/>
          <w:highlight w:val="none"/>
        </w:rPr>
        <w:t>指事业单位在专业业务活动及其辅助活动之外开展非独立核算经营活动取得的收入。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五、</w:t>
      </w:r>
      <w:r>
        <w:rPr>
          <w:rFonts w:hint="eastAsia" w:ascii="仿宋_GB2312" w:eastAsia="仿宋_GB2312"/>
          <w:b/>
          <w:bCs/>
          <w:color w:val="auto"/>
          <w:sz w:val="32"/>
          <w:szCs w:val="32"/>
          <w:highlight w:val="none"/>
        </w:rPr>
        <w:t>附属单位上缴收入：</w:t>
      </w:r>
      <w:r>
        <w:rPr>
          <w:rFonts w:hint="eastAsia" w:ascii="仿宋_GB2312" w:eastAsia="仿宋_GB2312"/>
          <w:color w:val="auto"/>
          <w:sz w:val="32"/>
          <w:szCs w:val="32"/>
          <w:highlight w:val="none"/>
        </w:rPr>
        <w:t>指事业单位附属的独立核算单位按有关规定上缴的收入。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六、</w:t>
      </w:r>
      <w:r>
        <w:rPr>
          <w:rFonts w:hint="eastAsia" w:ascii="仿宋_GB2312" w:eastAsia="仿宋_GB2312"/>
          <w:b/>
          <w:bCs/>
          <w:color w:val="auto"/>
          <w:sz w:val="32"/>
          <w:szCs w:val="32"/>
          <w:highlight w:val="none"/>
        </w:rPr>
        <w:t>其他收入：</w:t>
      </w:r>
      <w:r>
        <w:rPr>
          <w:rFonts w:hint="eastAsia" w:ascii="仿宋_GB2312" w:eastAsia="仿宋_GB2312"/>
          <w:color w:val="auto"/>
          <w:sz w:val="32"/>
          <w:szCs w:val="32"/>
          <w:highlight w:val="none"/>
        </w:rPr>
        <w:t>指除上述“财政拨款收入”、“事业收入”、“经营收入”、“附属单位上缴收入”等之外取得的收入。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七、</w:t>
      </w:r>
      <w:r>
        <w:rPr>
          <w:rFonts w:hint="eastAsia" w:ascii="仿宋_GB2312" w:eastAsia="仿宋_GB2312"/>
          <w:b/>
          <w:bCs/>
          <w:color w:val="auto"/>
          <w:sz w:val="32"/>
          <w:szCs w:val="32"/>
          <w:highlight w:val="none"/>
          <w:lang w:eastAsia="zh-CN"/>
        </w:rPr>
        <w:t>年初</w:t>
      </w:r>
      <w:r>
        <w:rPr>
          <w:rFonts w:hint="eastAsia" w:ascii="仿宋_GB2312" w:eastAsia="仿宋_GB2312"/>
          <w:b/>
          <w:bCs/>
          <w:color w:val="auto"/>
          <w:sz w:val="32"/>
          <w:szCs w:val="32"/>
          <w:highlight w:val="none"/>
        </w:rPr>
        <w:t>结转和结余：</w:t>
      </w:r>
      <w:r>
        <w:rPr>
          <w:rFonts w:hint="eastAsia" w:ascii="仿宋_GB2312" w:eastAsia="仿宋_GB2312"/>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八、</w:t>
      </w:r>
      <w:r>
        <w:rPr>
          <w:rFonts w:hint="eastAsia" w:ascii="仿宋_GB2312" w:eastAsia="仿宋_GB2312"/>
          <w:b/>
          <w:bCs/>
          <w:color w:val="auto"/>
          <w:sz w:val="32"/>
          <w:szCs w:val="32"/>
          <w:highlight w:val="none"/>
        </w:rPr>
        <w:t>年末结转和结余：</w:t>
      </w:r>
      <w:r>
        <w:rPr>
          <w:rFonts w:hint="eastAsia" w:ascii="仿宋_GB2312" w:eastAsia="仿宋_GB2312"/>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九、</w:t>
      </w:r>
      <w:r>
        <w:rPr>
          <w:rFonts w:hint="eastAsia" w:ascii="仿宋_GB2312" w:eastAsia="仿宋_GB2312"/>
          <w:b/>
          <w:bCs/>
          <w:color w:val="auto"/>
          <w:sz w:val="32"/>
          <w:szCs w:val="32"/>
          <w:highlight w:val="none"/>
        </w:rPr>
        <w:t>基本支出：</w:t>
      </w:r>
      <w:r>
        <w:rPr>
          <w:rFonts w:hint="eastAsia" w:ascii="仿宋_GB2312" w:eastAsia="仿宋_GB2312"/>
          <w:color w:val="auto"/>
          <w:sz w:val="32"/>
          <w:szCs w:val="32"/>
          <w:highlight w:val="none"/>
        </w:rPr>
        <w:t>指为保障机构正常运转、完成日常工作任务而发生的人员支出和公用支出。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w:t>
      </w:r>
      <w:r>
        <w:rPr>
          <w:rFonts w:hint="eastAsia" w:ascii="仿宋_GB2312" w:eastAsia="仿宋_GB2312"/>
          <w:b/>
          <w:bCs/>
          <w:color w:val="auto"/>
          <w:sz w:val="32"/>
          <w:szCs w:val="32"/>
          <w:highlight w:val="none"/>
        </w:rPr>
        <w:t>项目支出：</w:t>
      </w:r>
      <w:r>
        <w:rPr>
          <w:rFonts w:hint="eastAsia" w:ascii="仿宋_GB2312" w:eastAsia="仿宋_GB2312"/>
          <w:color w:val="auto"/>
          <w:sz w:val="32"/>
          <w:szCs w:val="32"/>
          <w:highlight w:val="none"/>
        </w:rPr>
        <w:t>指在基本支出之外为完成特定行政任务和事业发展目标所发生的支出。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十一、</w:t>
      </w:r>
      <w:r>
        <w:rPr>
          <w:rFonts w:hint="eastAsia" w:ascii="仿宋_GB2312" w:eastAsia="仿宋_GB2312"/>
          <w:b/>
          <w:bCs/>
          <w:color w:val="auto"/>
          <w:sz w:val="32"/>
          <w:szCs w:val="32"/>
          <w:highlight w:val="none"/>
        </w:rPr>
        <w:t>经营支出：</w:t>
      </w:r>
      <w:r>
        <w:rPr>
          <w:rFonts w:hint="eastAsia" w:ascii="仿宋_GB2312" w:eastAsia="仿宋_GB2312"/>
          <w:color w:val="auto"/>
          <w:sz w:val="32"/>
          <w:szCs w:val="32"/>
          <w:highlight w:val="none"/>
        </w:rPr>
        <w:t>指事业单位在专业业务活动及其辅助活动之外开展非独立核算经营活动发生的支出。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十二、</w:t>
      </w:r>
      <w:r>
        <w:rPr>
          <w:rFonts w:hint="eastAsia" w:ascii="仿宋_GB2312" w:eastAsia="仿宋_GB2312"/>
          <w:b/>
          <w:bCs/>
          <w:color w:val="auto"/>
          <w:sz w:val="32"/>
          <w:szCs w:val="32"/>
          <w:highlight w:val="none"/>
        </w:rPr>
        <w:t>对附属单位补助支出：</w:t>
      </w:r>
      <w:r>
        <w:rPr>
          <w:rFonts w:hint="eastAsia" w:ascii="仿宋_GB2312" w:eastAsia="仿宋_GB2312"/>
          <w:color w:val="auto"/>
          <w:sz w:val="32"/>
          <w:szCs w:val="32"/>
          <w:highlight w:val="none"/>
        </w:rPr>
        <w:t>指事业单位发生的用非财政预算资金对附属单位的补助支出。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val="en-US" w:eastAsia="zh-CN"/>
        </w:rPr>
        <w:t>十三、</w:t>
      </w:r>
      <w:r>
        <w:rPr>
          <w:rFonts w:hint="eastAsia" w:ascii="仿宋_GB2312" w:eastAsia="仿宋_GB2312"/>
          <w:b/>
          <w:bCs/>
          <w:color w:val="auto"/>
          <w:sz w:val="32"/>
          <w:szCs w:val="32"/>
          <w:highlight w:val="none"/>
        </w:rPr>
        <w:t>“三公”经费：</w:t>
      </w:r>
      <w:r>
        <w:rPr>
          <w:rFonts w:hint="eastAsia" w:ascii="仿宋_GB2312" w:eastAsia="仿宋_GB2312"/>
          <w:color w:val="auto"/>
          <w:sz w:val="32"/>
          <w:szCs w:val="32"/>
          <w:highlight w:val="none"/>
        </w:rPr>
        <w:t>指用财政拨款安排的因公出国（境）费、公务用车购置及运行费和公务接待费。其中，因公出国（境）费反映单位公务出国（境）的</w:t>
      </w:r>
      <w:r>
        <w:rPr>
          <w:rFonts w:hint="eastAsia" w:ascii="仿宋_GB2312" w:eastAsia="仿宋_GB2312"/>
          <w:color w:val="auto"/>
          <w:sz w:val="32"/>
          <w:szCs w:val="32"/>
          <w:highlight w:val="none"/>
          <w:lang w:eastAsia="zh-CN"/>
        </w:rPr>
        <w:t>国际旅费、国外城市间交通费、</w:t>
      </w:r>
      <w:r>
        <w:rPr>
          <w:rFonts w:hint="eastAsia" w:ascii="仿宋_GB2312" w:eastAsia="仿宋_GB2312"/>
          <w:color w:val="auto"/>
          <w:sz w:val="32"/>
          <w:szCs w:val="32"/>
          <w:highlight w:val="none"/>
        </w:rPr>
        <w:t>住宿费、伙食费、培训费、</w:t>
      </w:r>
      <w:r>
        <w:rPr>
          <w:rFonts w:hint="eastAsia" w:ascii="仿宋_GB2312" w:eastAsia="仿宋_GB2312"/>
          <w:color w:val="auto"/>
          <w:sz w:val="32"/>
          <w:szCs w:val="32"/>
          <w:highlight w:val="none"/>
          <w:lang w:eastAsia="zh-CN"/>
        </w:rPr>
        <w:t>公</w:t>
      </w:r>
      <w:r>
        <w:rPr>
          <w:rFonts w:hint="eastAsia" w:ascii="仿宋_GB2312" w:eastAsia="仿宋_GB2312"/>
          <w:color w:val="auto"/>
          <w:sz w:val="32"/>
          <w:szCs w:val="32"/>
          <w:highlight w:val="none"/>
        </w:rPr>
        <w:t>杂费等支出；公务用车购置费</w:t>
      </w:r>
      <w:r>
        <w:rPr>
          <w:rFonts w:hint="eastAsia" w:ascii="仿宋_GB2312" w:eastAsia="仿宋_GB2312"/>
          <w:color w:val="auto"/>
          <w:sz w:val="32"/>
          <w:szCs w:val="32"/>
          <w:highlight w:val="none"/>
          <w:lang w:eastAsia="zh-CN"/>
        </w:rPr>
        <w:t>反映公务用车购置支出（含车辆购置税、牌照费）；</w:t>
      </w:r>
      <w:r>
        <w:rPr>
          <w:rFonts w:hint="eastAsia" w:ascii="仿宋_GB2312" w:eastAsia="仿宋_GB2312"/>
          <w:color w:val="auto"/>
          <w:sz w:val="32"/>
          <w:szCs w:val="32"/>
          <w:highlight w:val="none"/>
        </w:rPr>
        <w:t>公务用车运行</w:t>
      </w:r>
      <w:r>
        <w:rPr>
          <w:rFonts w:hint="eastAsia" w:ascii="仿宋_GB2312" w:eastAsia="仿宋_GB2312"/>
          <w:color w:val="auto"/>
          <w:sz w:val="32"/>
          <w:szCs w:val="32"/>
          <w:highlight w:val="none"/>
          <w:lang w:eastAsia="zh-CN"/>
        </w:rPr>
        <w:t>维护</w:t>
      </w:r>
      <w:r>
        <w:rPr>
          <w:rFonts w:hint="eastAsia" w:ascii="仿宋_GB2312" w:eastAsia="仿宋_GB2312"/>
          <w:color w:val="auto"/>
          <w:sz w:val="32"/>
          <w:szCs w:val="32"/>
          <w:highlight w:val="none"/>
        </w:rPr>
        <w:t>费反映</w:t>
      </w:r>
      <w:r>
        <w:rPr>
          <w:rFonts w:hint="eastAsia" w:ascii="仿宋_GB2312" w:eastAsia="仿宋_GB2312"/>
          <w:color w:val="auto"/>
          <w:sz w:val="32"/>
          <w:szCs w:val="32"/>
          <w:highlight w:val="none"/>
          <w:lang w:eastAsia="zh-CN"/>
        </w:rPr>
        <w:t>单位按规定保留的公务用车燃料费、维修费、</w:t>
      </w:r>
      <w:r>
        <w:rPr>
          <w:rFonts w:hint="eastAsia" w:ascii="仿宋_GB2312" w:eastAsia="仿宋_GB2312"/>
          <w:color w:val="auto"/>
          <w:sz w:val="32"/>
          <w:szCs w:val="32"/>
          <w:highlight w:val="none"/>
        </w:rPr>
        <w:t>过路过桥费、保险费、安全奖励费用等支出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公务接待费反映单位按规定开支的各类公务接待（含外宾接待）</w:t>
      </w:r>
      <w:r>
        <w:rPr>
          <w:rFonts w:hint="eastAsia" w:ascii="仿宋_GB2312" w:eastAsia="仿宋_GB2312"/>
          <w:color w:val="auto"/>
          <w:sz w:val="32"/>
          <w:szCs w:val="32"/>
          <w:highlight w:val="none"/>
          <w:lang w:eastAsia="zh-CN"/>
        </w:rPr>
        <w:t>费用</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十四、</w:t>
      </w:r>
      <w:r>
        <w:rPr>
          <w:rFonts w:hint="eastAsia" w:ascii="仿宋_GB2312" w:eastAsia="仿宋_GB2312"/>
          <w:b/>
          <w:bCs/>
          <w:color w:val="auto"/>
          <w:sz w:val="32"/>
          <w:szCs w:val="32"/>
          <w:highlight w:val="none"/>
        </w:rPr>
        <w:t>机关运行经费：</w:t>
      </w:r>
      <w:r>
        <w:rPr>
          <w:rFonts w:hint="eastAsia" w:ascii="仿宋_GB2312" w:eastAsia="仿宋_GB2312"/>
          <w:color w:val="auto"/>
          <w:sz w:val="32"/>
          <w:szCs w:val="32"/>
          <w:highlight w:val="none"/>
        </w:rPr>
        <w:t>行政单位和参照公务员法管理的事业单位财政拨款基本支出中的公用经费支出。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r>
        <w:rPr>
          <w:rFonts w:hint="eastAsia" w:ascii="仿宋_GB2312" w:eastAsia="仿宋_GB2312"/>
          <w:color w:val="auto"/>
          <w:sz w:val="32"/>
          <w:szCs w:val="32"/>
          <w:highlight w:val="none"/>
        </w:rPr>
        <w:br w:type="page"/>
      </w:r>
      <w:r>
        <w:rPr>
          <w:rFonts w:hint="eastAsia" w:ascii="黑体" w:hAnsi="黑体" w:eastAsia="黑体"/>
          <w:color w:val="auto"/>
          <w:sz w:val="32"/>
          <w:szCs w:val="32"/>
          <w:highlight w:val="none"/>
        </w:rPr>
        <w:t>第四部分 部门决算报表（见附表）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2" w:name="_Toc2183"/>
      <w:bookmarkStart w:id="33" w:name="_Toc6062"/>
      <w:r>
        <w:rPr>
          <w:rFonts w:hint="eastAsia" w:ascii="黑体" w:hAnsi="黑体" w:eastAsia="仿宋_GB2312" w:cs="宋体"/>
          <w:bCs/>
          <w:color w:val="auto"/>
          <w:kern w:val="0"/>
          <w:sz w:val="32"/>
          <w:szCs w:val="32"/>
          <w:highlight w:val="none"/>
        </w:rPr>
        <w:t>一、《收入支出决算总表》</w:t>
      </w:r>
      <w:bookmarkEnd w:id="32"/>
      <w:bookmarkEnd w:id="3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4" w:name="_Toc30364"/>
      <w:bookmarkStart w:id="35" w:name="_Toc24532"/>
      <w:r>
        <w:rPr>
          <w:rFonts w:hint="eastAsia" w:ascii="黑体" w:hAnsi="黑体" w:eastAsia="仿宋_GB2312" w:cs="宋体"/>
          <w:bCs/>
          <w:color w:val="auto"/>
          <w:kern w:val="0"/>
          <w:sz w:val="32"/>
          <w:szCs w:val="32"/>
          <w:highlight w:val="none"/>
        </w:rPr>
        <w:t>二、《收入决算表》</w:t>
      </w:r>
      <w:bookmarkEnd w:id="34"/>
      <w:bookmarkEnd w:id="3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6" w:name="_Toc21304"/>
      <w:bookmarkStart w:id="37" w:name="_Toc32434"/>
      <w:r>
        <w:rPr>
          <w:rFonts w:hint="eastAsia" w:ascii="黑体" w:hAnsi="黑体" w:eastAsia="仿宋_GB2312" w:cs="宋体"/>
          <w:bCs/>
          <w:color w:val="auto"/>
          <w:kern w:val="0"/>
          <w:sz w:val="32"/>
          <w:szCs w:val="32"/>
          <w:highlight w:val="none"/>
        </w:rPr>
        <w:t>三、《支出决算表》</w:t>
      </w:r>
      <w:bookmarkEnd w:id="36"/>
      <w:bookmarkEnd w:id="3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8" w:name="_Toc28786"/>
      <w:bookmarkStart w:id="39" w:name="_Toc14238"/>
      <w:r>
        <w:rPr>
          <w:rFonts w:hint="eastAsia" w:ascii="黑体" w:hAnsi="黑体" w:eastAsia="仿宋_GB2312" w:cs="宋体"/>
          <w:bCs/>
          <w:color w:val="auto"/>
          <w:kern w:val="0"/>
          <w:sz w:val="32"/>
          <w:szCs w:val="32"/>
          <w:highlight w:val="none"/>
        </w:rPr>
        <w:t>四、《财政拨款收入支出决算总表》</w:t>
      </w:r>
      <w:bookmarkEnd w:id="38"/>
      <w:bookmarkEnd w:id="3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0" w:name="_Toc14869"/>
      <w:bookmarkStart w:id="41" w:name="_Toc10347"/>
      <w:r>
        <w:rPr>
          <w:rFonts w:hint="eastAsia" w:ascii="黑体" w:hAnsi="黑体" w:eastAsia="仿宋_GB2312" w:cs="宋体"/>
          <w:bCs/>
          <w:color w:val="auto"/>
          <w:kern w:val="0"/>
          <w:sz w:val="32"/>
          <w:szCs w:val="32"/>
          <w:highlight w:val="none"/>
        </w:rPr>
        <w:t>五、《一般公共预算财政拨款支出决算表》</w:t>
      </w:r>
      <w:bookmarkEnd w:id="40"/>
      <w:bookmarkEnd w:id="4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2" w:name="_Toc5626"/>
      <w:bookmarkStart w:id="43" w:name="_Toc8884"/>
      <w:r>
        <w:rPr>
          <w:rFonts w:hint="eastAsia" w:ascii="黑体" w:hAnsi="黑体" w:eastAsia="仿宋_GB2312" w:cs="宋体"/>
          <w:bCs/>
          <w:color w:val="auto"/>
          <w:kern w:val="0"/>
          <w:sz w:val="32"/>
          <w:szCs w:val="32"/>
          <w:highlight w:val="none"/>
        </w:rPr>
        <w:t>六、《一般公共预算财政拨款基本支出决算表》</w:t>
      </w:r>
      <w:bookmarkEnd w:id="42"/>
      <w:bookmarkEnd w:id="4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七、</w:t>
      </w:r>
      <w:bookmarkStart w:id="44" w:name="_Toc32663"/>
      <w:bookmarkStart w:id="45" w:name="_Toc29106"/>
      <w:r>
        <w:rPr>
          <w:rFonts w:hint="eastAsia" w:ascii="黑体" w:hAnsi="黑体" w:eastAsia="仿宋_GB2312" w:cs="宋体"/>
          <w:bCs/>
          <w:color w:val="auto"/>
          <w:kern w:val="0"/>
          <w:sz w:val="32"/>
          <w:szCs w:val="32"/>
          <w:highlight w:val="none"/>
        </w:rPr>
        <w:t>《财政拨款“三公”经费支出决算表》</w:t>
      </w:r>
      <w:bookmarkEnd w:id="44"/>
      <w:bookmarkEnd w:id="4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6" w:name="_Toc7643"/>
      <w:bookmarkStart w:id="47" w:name="_Toc5453"/>
      <w:r>
        <w:rPr>
          <w:rFonts w:hint="eastAsia" w:ascii="黑体" w:hAnsi="黑体" w:eastAsia="仿宋_GB2312" w:cs="宋体"/>
          <w:bCs/>
          <w:color w:val="auto"/>
          <w:kern w:val="0"/>
          <w:sz w:val="32"/>
          <w:szCs w:val="32"/>
          <w:highlight w:val="none"/>
        </w:rPr>
        <w:t>八、《政府性基金预算财政拨款收入支出决算表》</w:t>
      </w:r>
      <w:bookmarkEnd w:id="46"/>
      <w:bookmarkEnd w:id="4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lang w:val="en-US" w:eastAsia="zh-CN"/>
        </w:rPr>
        <w:t>九</w:t>
      </w:r>
      <w:r>
        <w:rPr>
          <w:rFonts w:hint="eastAsia" w:ascii="黑体" w:hAnsi="黑体" w:eastAsia="仿宋_GB2312" w:cs="宋体"/>
          <w:bCs/>
          <w:color w:val="auto"/>
          <w:kern w:val="0"/>
          <w:sz w:val="32"/>
          <w:szCs w:val="32"/>
          <w:highlight w:val="none"/>
        </w:rPr>
        <w:t>、《</w:t>
      </w:r>
      <w:r>
        <w:rPr>
          <w:rFonts w:hint="eastAsia" w:ascii="黑体" w:hAnsi="黑体" w:eastAsia="仿宋_GB2312" w:cs="宋体"/>
          <w:bCs/>
          <w:color w:val="auto"/>
          <w:kern w:val="0"/>
          <w:sz w:val="32"/>
          <w:szCs w:val="32"/>
          <w:highlight w:val="none"/>
          <w:lang w:eastAsia="zh-CN"/>
        </w:rPr>
        <w:t>国有资本经营</w:t>
      </w:r>
      <w:r>
        <w:rPr>
          <w:rFonts w:hint="eastAsia" w:ascii="黑体" w:hAnsi="黑体" w:eastAsia="仿宋_GB2312" w:cs="宋体"/>
          <w:bCs/>
          <w:color w:val="auto"/>
          <w:kern w:val="0"/>
          <w:sz w:val="32"/>
          <w:szCs w:val="32"/>
          <w:highlight w:val="none"/>
        </w:rPr>
        <w:t>预算财政拨款收入支出决算表》</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VjNjk1ZGVkM2M4YzlmYjQxMDYzMWVmMDg3OTgyNzMifQ=="/>
    <w:docVar w:name="KSO_WPS_MARK_KEY" w:val="41ee2a61-2d54-4f93-83be-afdb9a40d732"/>
  </w:docVars>
  <w:rsids>
    <w:rsidRoot w:val="00000000"/>
    <w:rsid w:val="00213C59"/>
    <w:rsid w:val="003210CE"/>
    <w:rsid w:val="00B70D59"/>
    <w:rsid w:val="00F52A8D"/>
    <w:rsid w:val="01630A04"/>
    <w:rsid w:val="019404F8"/>
    <w:rsid w:val="024737BC"/>
    <w:rsid w:val="028E13EB"/>
    <w:rsid w:val="02BD3108"/>
    <w:rsid w:val="02F73D26"/>
    <w:rsid w:val="034D4FEF"/>
    <w:rsid w:val="035D1785"/>
    <w:rsid w:val="039F47CE"/>
    <w:rsid w:val="03B57575"/>
    <w:rsid w:val="03E05CE8"/>
    <w:rsid w:val="03F973EE"/>
    <w:rsid w:val="043E5B56"/>
    <w:rsid w:val="04C04386"/>
    <w:rsid w:val="04FA68C4"/>
    <w:rsid w:val="053F5AE6"/>
    <w:rsid w:val="057C0B0F"/>
    <w:rsid w:val="059C5BCD"/>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9E87633"/>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36506"/>
    <w:rsid w:val="0E640559"/>
    <w:rsid w:val="0F1113DA"/>
    <w:rsid w:val="0F78534A"/>
    <w:rsid w:val="0F89358A"/>
    <w:rsid w:val="0F8C6D51"/>
    <w:rsid w:val="105B0B5E"/>
    <w:rsid w:val="112E58D0"/>
    <w:rsid w:val="11731CAC"/>
    <w:rsid w:val="119500A0"/>
    <w:rsid w:val="11C0733B"/>
    <w:rsid w:val="11D50D17"/>
    <w:rsid w:val="11DF131B"/>
    <w:rsid w:val="120E0809"/>
    <w:rsid w:val="127F665A"/>
    <w:rsid w:val="12F7068C"/>
    <w:rsid w:val="14207DC0"/>
    <w:rsid w:val="14B932DA"/>
    <w:rsid w:val="150A66AF"/>
    <w:rsid w:val="154C1139"/>
    <w:rsid w:val="158C5B77"/>
    <w:rsid w:val="160D1149"/>
    <w:rsid w:val="162E461F"/>
    <w:rsid w:val="163563C0"/>
    <w:rsid w:val="164315EF"/>
    <w:rsid w:val="16557DFE"/>
    <w:rsid w:val="167268FB"/>
    <w:rsid w:val="16D50C50"/>
    <w:rsid w:val="16E120E1"/>
    <w:rsid w:val="17385A05"/>
    <w:rsid w:val="173B3901"/>
    <w:rsid w:val="176747F9"/>
    <w:rsid w:val="17954A6E"/>
    <w:rsid w:val="180059E9"/>
    <w:rsid w:val="184510FD"/>
    <w:rsid w:val="190648B0"/>
    <w:rsid w:val="19071D6C"/>
    <w:rsid w:val="19BC1F42"/>
    <w:rsid w:val="19C92FDD"/>
    <w:rsid w:val="19D26CD4"/>
    <w:rsid w:val="19E60D19"/>
    <w:rsid w:val="1A3E3450"/>
    <w:rsid w:val="1A606D71"/>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83A91"/>
    <w:rsid w:val="1FED69B6"/>
    <w:rsid w:val="2064678E"/>
    <w:rsid w:val="20DC1AB9"/>
    <w:rsid w:val="20DD6197"/>
    <w:rsid w:val="212631E0"/>
    <w:rsid w:val="21A53757"/>
    <w:rsid w:val="21B26104"/>
    <w:rsid w:val="221236C6"/>
    <w:rsid w:val="22B833F6"/>
    <w:rsid w:val="22D7662C"/>
    <w:rsid w:val="23326B7F"/>
    <w:rsid w:val="2380045B"/>
    <w:rsid w:val="239A7E40"/>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1704CD"/>
    <w:rsid w:val="314029C9"/>
    <w:rsid w:val="31C63837"/>
    <w:rsid w:val="31C82E39"/>
    <w:rsid w:val="32601BAD"/>
    <w:rsid w:val="329F6389"/>
    <w:rsid w:val="32CB171C"/>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BB481E"/>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CC7DF1"/>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525B10"/>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0F47110"/>
    <w:rsid w:val="51025EB1"/>
    <w:rsid w:val="51141503"/>
    <w:rsid w:val="518D0ED5"/>
    <w:rsid w:val="51FD37AF"/>
    <w:rsid w:val="525C687F"/>
    <w:rsid w:val="5288688A"/>
    <w:rsid w:val="52F647F7"/>
    <w:rsid w:val="52F92565"/>
    <w:rsid w:val="53D03877"/>
    <w:rsid w:val="53FA5565"/>
    <w:rsid w:val="542F73CA"/>
    <w:rsid w:val="5430786D"/>
    <w:rsid w:val="54C811C0"/>
    <w:rsid w:val="556A442D"/>
    <w:rsid w:val="55DA564E"/>
    <w:rsid w:val="55F46B8C"/>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95141D"/>
    <w:rsid w:val="5AB34579"/>
    <w:rsid w:val="5AFC6609"/>
    <w:rsid w:val="5B113480"/>
    <w:rsid w:val="5BD456CE"/>
    <w:rsid w:val="5BDA775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058B5"/>
    <w:rsid w:val="669B4528"/>
    <w:rsid w:val="66CC12D7"/>
    <w:rsid w:val="67134CEF"/>
    <w:rsid w:val="671F1ABD"/>
    <w:rsid w:val="67521A59"/>
    <w:rsid w:val="67C304AB"/>
    <w:rsid w:val="68024591"/>
    <w:rsid w:val="680D18B3"/>
    <w:rsid w:val="683F0658"/>
    <w:rsid w:val="685C1EF3"/>
    <w:rsid w:val="689C6793"/>
    <w:rsid w:val="68DB0208"/>
    <w:rsid w:val="68FB170C"/>
    <w:rsid w:val="691B3D98"/>
    <w:rsid w:val="693748F0"/>
    <w:rsid w:val="69846A0E"/>
    <w:rsid w:val="69AD798C"/>
    <w:rsid w:val="69D005C0"/>
    <w:rsid w:val="69D80B96"/>
    <w:rsid w:val="6B68175F"/>
    <w:rsid w:val="6BFD799F"/>
    <w:rsid w:val="6C4A2E5A"/>
    <w:rsid w:val="6C8138D0"/>
    <w:rsid w:val="6CEF0725"/>
    <w:rsid w:val="6D4B2604"/>
    <w:rsid w:val="6D8030E4"/>
    <w:rsid w:val="6E0E35C4"/>
    <w:rsid w:val="6E0F7A08"/>
    <w:rsid w:val="6E3947F5"/>
    <w:rsid w:val="6E9817AB"/>
    <w:rsid w:val="6E9C74ED"/>
    <w:rsid w:val="6E9F662F"/>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D6237B"/>
    <w:rsid w:val="7AE952D2"/>
    <w:rsid w:val="7B3E36DA"/>
    <w:rsid w:val="7C976D69"/>
    <w:rsid w:val="7CD752DA"/>
    <w:rsid w:val="7CDE40AB"/>
    <w:rsid w:val="7CF057E2"/>
    <w:rsid w:val="7D1548B5"/>
    <w:rsid w:val="7DF84014"/>
    <w:rsid w:val="7E207949"/>
    <w:rsid w:val="7E5C0A47"/>
    <w:rsid w:val="7E670C75"/>
    <w:rsid w:val="7EE24272"/>
    <w:rsid w:val="7EEA6053"/>
    <w:rsid w:val="7F1E7AAB"/>
    <w:rsid w:val="7F487C04"/>
    <w:rsid w:val="7FB45F21"/>
    <w:rsid w:val="7FE57088"/>
    <w:rsid w:val="7FF37F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1">
    <w:name w:val="Strong"/>
    <w:basedOn w:val="10"/>
    <w:qFormat/>
    <w:uiPriority w:val="0"/>
    <w:rPr>
      <w:b/>
    </w:rPr>
  </w:style>
  <w:style w:type="paragraph" w:customStyle="1" w:styleId="12">
    <w:name w:val="WPSOffice手动目录 3"/>
    <w:qFormat/>
    <w:uiPriority w:val="0"/>
    <w:pPr>
      <w:ind w:leftChars="400"/>
    </w:pPr>
    <w:rPr>
      <w:rFonts w:ascii="Times New Roman" w:hAnsi="Times New Roman" w:eastAsia="宋体" w:cs="Times New Roman"/>
      <w:sz w:val="20"/>
      <w:szCs w:val="20"/>
    </w:rPr>
  </w:style>
  <w:style w:type="paragraph" w:customStyle="1" w:styleId="13">
    <w:name w:val="WPSOffice手动目录 2"/>
    <w:qFormat/>
    <w:uiPriority w:val="0"/>
    <w:pPr>
      <w:ind w:leftChars="200"/>
    </w:pPr>
    <w:rPr>
      <w:rFonts w:ascii="Times New Roman" w:hAnsi="Times New Roman" w:eastAsia="宋体" w:cs="Times New Roman"/>
      <w:sz w:val="20"/>
      <w:szCs w:val="20"/>
    </w:rPr>
  </w:style>
  <w:style w:type="paragraph" w:customStyle="1" w:styleId="14">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6223</Words>
  <Characters>6945</Characters>
  <Lines>0</Lines>
  <Paragraphs>0</Paragraphs>
  <TotalTime>10</TotalTime>
  <ScaleCrop>false</ScaleCrop>
  <LinksUpToDate>false</LinksUpToDate>
  <CharactersWithSpaces>6956</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DELL</cp:lastModifiedBy>
  <dcterms:modified xsi:type="dcterms:W3CDTF">2024-09-02T03:42:18Z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D624B15633CD43C8BF9435464A96BF70</vt:lpwstr>
  </property>
</Properties>
</file>