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560" w:lineRule="exact"/>
        <w:textAlignment w:val="auto"/>
        <w:rPr>
          <w:rFonts w:hint="default" w:ascii="Times New Roman" w:hAnsi="Times New Roman" w:eastAsia="黑体" w:cs="Times New Roman"/>
          <w:color w:val="auto"/>
          <w:sz w:val="32"/>
          <w:szCs w:val="32"/>
          <w:highlight w:val="none"/>
        </w:rPr>
      </w:pPr>
    </w:p>
    <w:p>
      <w:pPr>
        <w:keepNext w:val="0"/>
        <w:keepLines w:val="0"/>
        <w:pageBreakBefore w:val="0"/>
        <w:widowControl w:val="0"/>
        <w:kinsoku/>
        <w:wordWrap/>
        <w:overflowPunct/>
        <w:topLinePunct w:val="0"/>
        <w:bidi w:val="0"/>
        <w:adjustRightInd/>
        <w:snapToGrid/>
        <w:spacing w:line="560" w:lineRule="exact"/>
        <w:jc w:val="center"/>
        <w:textAlignment w:val="auto"/>
        <w:rPr>
          <w:rFonts w:hint="default" w:ascii="Times New Roman" w:hAnsi="Times New Roman" w:eastAsia="方正小标宋_GBK" w:cs="Times New Roman"/>
          <w:color w:val="auto"/>
          <w:sz w:val="44"/>
          <w:szCs w:val="44"/>
          <w:highlight w:val="none"/>
        </w:rPr>
      </w:pPr>
    </w:p>
    <w:p>
      <w:pPr>
        <w:keepNext w:val="0"/>
        <w:keepLines w:val="0"/>
        <w:pageBreakBefore w:val="0"/>
        <w:widowControl w:val="0"/>
        <w:kinsoku/>
        <w:wordWrap/>
        <w:overflowPunct/>
        <w:topLinePunct w:val="0"/>
        <w:bidi w:val="0"/>
        <w:adjustRightInd/>
        <w:snapToGrid/>
        <w:spacing w:line="560" w:lineRule="exact"/>
        <w:jc w:val="center"/>
        <w:textAlignment w:val="auto"/>
        <w:rPr>
          <w:rFonts w:hint="default" w:ascii="Times New Roman" w:hAnsi="Times New Roman" w:eastAsia="方正小标宋_GBK" w:cs="Times New Roman"/>
          <w:color w:val="auto"/>
          <w:w w:val="90"/>
          <w:sz w:val="44"/>
          <w:szCs w:val="44"/>
          <w:highlight w:val="none"/>
          <w:lang w:val="en-US" w:eastAsia="zh-CN"/>
        </w:rPr>
      </w:pPr>
      <w:r>
        <w:rPr>
          <w:rFonts w:hint="default" w:ascii="Times New Roman" w:hAnsi="Times New Roman" w:eastAsia="方正小标宋_GBK" w:cs="Times New Roman"/>
          <w:color w:val="auto"/>
          <w:w w:val="90"/>
          <w:sz w:val="44"/>
          <w:szCs w:val="44"/>
          <w:highlight w:val="none"/>
          <w:lang w:val="en-US" w:eastAsia="zh-CN"/>
        </w:rPr>
        <w:t>新疆维吾尔自治区农牧水利资金监督检查所</w:t>
      </w:r>
    </w:p>
    <w:p>
      <w:pPr>
        <w:keepNext w:val="0"/>
        <w:keepLines w:val="0"/>
        <w:pageBreakBefore w:val="0"/>
        <w:widowControl w:val="0"/>
        <w:kinsoku/>
        <w:wordWrap/>
        <w:overflowPunct/>
        <w:topLinePunct w:val="0"/>
        <w:bidi w:val="0"/>
        <w:adjustRightInd/>
        <w:snapToGrid/>
        <w:spacing w:line="560" w:lineRule="exact"/>
        <w:jc w:val="center"/>
        <w:textAlignment w:val="auto"/>
        <w:rPr>
          <w:rFonts w:hint="default" w:ascii="Times New Roman" w:hAnsi="Times New Roman" w:eastAsia="方正小标宋_GBK" w:cs="Times New Roman"/>
          <w:color w:val="auto"/>
          <w:sz w:val="44"/>
          <w:szCs w:val="44"/>
          <w:highlight w:val="none"/>
        </w:rPr>
      </w:pPr>
      <w:r>
        <w:rPr>
          <w:rFonts w:hint="default" w:ascii="Times New Roman" w:hAnsi="Times New Roman" w:eastAsia="方正小标宋_GBK" w:cs="Times New Roman"/>
          <w:color w:val="auto"/>
          <w:sz w:val="44"/>
          <w:szCs w:val="44"/>
          <w:highlight w:val="none"/>
          <w:lang w:eastAsia="zh-CN"/>
        </w:rPr>
        <w:t xml:space="preserve"> 2023年度</w:t>
      </w:r>
      <w:r>
        <w:rPr>
          <w:rFonts w:hint="default" w:ascii="Times New Roman" w:hAnsi="Times New Roman" w:eastAsia="方正小标宋_GBK" w:cs="Times New Roman"/>
          <w:color w:val="auto"/>
          <w:sz w:val="44"/>
          <w:szCs w:val="44"/>
          <w:highlight w:val="none"/>
        </w:rPr>
        <w:t>部门决算</w:t>
      </w:r>
    </w:p>
    <w:p>
      <w:pPr>
        <w:keepNext w:val="0"/>
        <w:keepLines w:val="0"/>
        <w:pageBreakBefore w:val="0"/>
        <w:widowControl w:val="0"/>
        <w:kinsoku/>
        <w:wordWrap/>
        <w:overflowPunct/>
        <w:topLinePunct w:val="0"/>
        <w:bidi w:val="0"/>
        <w:adjustRightInd/>
        <w:snapToGrid/>
        <w:spacing w:line="560" w:lineRule="exact"/>
        <w:jc w:val="center"/>
        <w:textAlignment w:val="auto"/>
        <w:rPr>
          <w:rFonts w:hint="default" w:ascii="Times New Roman" w:hAnsi="Times New Roman" w:eastAsia="方正小标宋_GBK" w:cs="Times New Roman"/>
          <w:color w:val="auto"/>
          <w:sz w:val="44"/>
          <w:szCs w:val="44"/>
          <w:highlight w:val="none"/>
        </w:rPr>
      </w:pPr>
      <w:r>
        <w:rPr>
          <w:rFonts w:hint="default" w:ascii="Times New Roman" w:hAnsi="Times New Roman" w:eastAsia="方正小标宋_GBK" w:cs="Times New Roman"/>
          <w:color w:val="auto"/>
          <w:sz w:val="44"/>
          <w:szCs w:val="44"/>
          <w:highlight w:val="none"/>
        </w:rPr>
        <w:t>公开说明</w:t>
      </w:r>
    </w:p>
    <w:p>
      <w:pPr>
        <w:keepNext w:val="0"/>
        <w:keepLines w:val="0"/>
        <w:pageBreakBefore w:val="0"/>
        <w:kinsoku/>
        <w:wordWrap/>
        <w:overflowPunct/>
        <w:topLinePunct w:val="0"/>
        <w:bidi w:val="0"/>
        <w:adjustRightInd/>
        <w:snapToGrid/>
        <w:spacing w:line="560" w:lineRule="exact"/>
        <w:textAlignment w:val="auto"/>
        <w:rPr>
          <w:rFonts w:hint="default" w:ascii="Times New Roman" w:hAnsi="Times New Roman" w:eastAsia="方正小标宋_GBK" w:cs="Times New Roman"/>
          <w:color w:val="auto"/>
          <w:sz w:val="44"/>
          <w:szCs w:val="44"/>
          <w:highlight w:val="none"/>
        </w:rPr>
      </w:pPr>
      <w:r>
        <w:rPr>
          <w:rFonts w:hint="default" w:ascii="Times New Roman" w:hAnsi="Times New Roman" w:eastAsia="方正小标宋_GBK" w:cs="Times New Roman"/>
          <w:color w:val="auto"/>
          <w:sz w:val="44"/>
          <w:szCs w:val="44"/>
          <w:highlight w:val="none"/>
        </w:rPr>
        <w:br w:type="page"/>
      </w:r>
    </w:p>
    <w:p>
      <w:pPr>
        <w:keepNext w:val="0"/>
        <w:keepLines w:val="0"/>
        <w:pageBreakBefore w:val="0"/>
        <w:widowControl w:val="0"/>
        <w:kinsoku/>
        <w:wordWrap/>
        <w:overflowPunct/>
        <w:topLinePunct w:val="0"/>
        <w:autoSpaceDE/>
        <w:autoSpaceDN/>
        <w:bidi w:val="0"/>
        <w:adjustRightInd/>
        <w:snapToGrid/>
        <w:spacing w:line="560" w:lineRule="exact"/>
        <w:ind w:left="0" w:leftChars="0"/>
        <w:jc w:val="center"/>
        <w:textAlignment w:val="auto"/>
        <w:rPr>
          <w:rFonts w:hint="default" w:ascii="Times New Roman" w:hAnsi="Times New Roman" w:eastAsia="仿宋_GB2312" w:cs="Times New Roman"/>
          <w:b w:val="0"/>
          <w:bCs/>
          <w:color w:val="auto"/>
          <w:kern w:val="0"/>
          <w:sz w:val="32"/>
          <w:szCs w:val="32"/>
          <w:highlight w:val="none"/>
        </w:rPr>
      </w:pPr>
      <w:r>
        <w:rPr>
          <w:rFonts w:hint="default" w:ascii="Times New Roman" w:hAnsi="Times New Roman" w:eastAsia="仿宋_GB2312" w:cs="Times New Roman"/>
          <w:b/>
          <w:bCs w:val="0"/>
          <w:color w:val="auto"/>
          <w:kern w:val="0"/>
          <w:sz w:val="36"/>
          <w:szCs w:val="36"/>
          <w:highlight w:val="none"/>
        </w:rPr>
        <w:t>目  录</w:t>
      </w:r>
    </w:p>
    <w:p>
      <w:pPr>
        <w:pStyle w:val="6"/>
        <w:keepNext w:val="0"/>
        <w:keepLines w:val="0"/>
        <w:pageBreakBefore w:val="0"/>
        <w:widowControl w:val="0"/>
        <w:tabs>
          <w:tab w:val="right" w:pos="8306"/>
        </w:tabs>
        <w:kinsoku/>
        <w:wordWrap/>
        <w:overflowPunct/>
        <w:topLinePunct w:val="0"/>
        <w:autoSpaceDE/>
        <w:autoSpaceDN/>
        <w:bidi w:val="0"/>
        <w:adjustRightInd/>
        <w:snapToGrid/>
        <w:spacing w:line="560" w:lineRule="exact"/>
        <w:ind w:left="0" w:leftChars="0"/>
        <w:textAlignment w:val="auto"/>
        <w:rPr>
          <w:rFonts w:hint="default" w:ascii="Times New Roman" w:hAnsi="Times New Roman" w:eastAsia="仿宋_GB2312" w:cs="Times New Roman"/>
          <w:b/>
          <w:bCs/>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TOC \o "1-3" \n  \h \u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b/>
          <w:bCs/>
          <w:color w:val="auto"/>
          <w:sz w:val="32"/>
          <w:szCs w:val="32"/>
          <w:highlight w:val="none"/>
        </w:rPr>
        <w:fldChar w:fldCharType="begin"/>
      </w:r>
      <w:r>
        <w:rPr>
          <w:rFonts w:hint="default" w:ascii="Times New Roman" w:hAnsi="Times New Roman" w:eastAsia="仿宋_GB2312" w:cs="Times New Roman"/>
          <w:b/>
          <w:bCs/>
          <w:color w:val="auto"/>
          <w:sz w:val="32"/>
          <w:szCs w:val="32"/>
          <w:highlight w:val="none"/>
        </w:rPr>
        <w:instrText xml:space="preserve"> HYPERLINK \l _Toc32314 </w:instrText>
      </w:r>
      <w:r>
        <w:rPr>
          <w:rFonts w:hint="default" w:ascii="Times New Roman" w:hAnsi="Times New Roman" w:eastAsia="仿宋_GB2312" w:cs="Times New Roman"/>
          <w:b/>
          <w:bCs/>
          <w:color w:val="auto"/>
          <w:sz w:val="32"/>
          <w:szCs w:val="32"/>
          <w:highlight w:val="none"/>
        </w:rPr>
        <w:fldChar w:fldCharType="separate"/>
      </w:r>
      <w:r>
        <w:rPr>
          <w:rFonts w:hint="default" w:ascii="Times New Roman" w:hAnsi="Times New Roman" w:eastAsia="仿宋_GB2312" w:cs="Times New Roman"/>
          <w:b/>
          <w:bCs/>
          <w:color w:val="auto"/>
          <w:sz w:val="32"/>
          <w:szCs w:val="32"/>
          <w:highlight w:val="none"/>
        </w:rPr>
        <w:t xml:space="preserve">第一部分 </w:t>
      </w:r>
      <w:r>
        <w:rPr>
          <w:rFonts w:hint="default" w:ascii="Times New Roman" w:hAnsi="Times New Roman" w:eastAsia="仿宋_GB2312" w:cs="Times New Roman"/>
          <w:b/>
          <w:bCs/>
          <w:color w:val="auto"/>
          <w:sz w:val="32"/>
          <w:szCs w:val="32"/>
          <w:highlight w:val="none"/>
          <w:lang w:eastAsia="zh-CN"/>
        </w:rPr>
        <w:t>单位</w:t>
      </w:r>
      <w:r>
        <w:rPr>
          <w:rFonts w:hint="default" w:ascii="Times New Roman" w:hAnsi="Times New Roman" w:eastAsia="仿宋_GB2312" w:cs="Times New Roman"/>
          <w:b/>
          <w:bCs/>
          <w:color w:val="auto"/>
          <w:sz w:val="32"/>
          <w:szCs w:val="32"/>
          <w:highlight w:val="none"/>
        </w:rPr>
        <w:t>概况</w:t>
      </w:r>
      <w:r>
        <w:rPr>
          <w:rFonts w:hint="default" w:ascii="Times New Roman" w:hAnsi="Times New Roman" w:eastAsia="仿宋_GB2312" w:cs="Times New Roman"/>
          <w:b/>
          <w:bCs/>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560" w:lineRule="exact"/>
        <w:ind w:left="0" w:leftChars="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HYPERLINK \l _Toc30567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bCs/>
          <w:color w:val="auto"/>
          <w:kern w:val="0"/>
          <w:sz w:val="32"/>
          <w:szCs w:val="32"/>
          <w:highlight w:val="none"/>
        </w:rPr>
        <w:t>一、主要职能</w:t>
      </w:r>
      <w:r>
        <w:rPr>
          <w:rFonts w:hint="default" w:ascii="Times New Roman" w:hAnsi="Times New Roman" w:eastAsia="仿宋_GB2312" w:cs="Times New Roman"/>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560" w:lineRule="exact"/>
        <w:ind w:left="0" w:leftChars="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HYPERLINK \l _Toc2151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bCs/>
          <w:color w:val="auto"/>
          <w:kern w:val="0"/>
          <w:sz w:val="32"/>
          <w:szCs w:val="32"/>
          <w:highlight w:val="none"/>
        </w:rPr>
        <w:t>二、机构设置</w:t>
      </w:r>
      <w:r>
        <w:rPr>
          <w:rFonts w:hint="default" w:ascii="Times New Roman" w:hAnsi="Times New Roman" w:eastAsia="仿宋_GB2312" w:cs="Times New Roman"/>
          <w:bCs/>
          <w:color w:val="auto"/>
          <w:kern w:val="0"/>
          <w:sz w:val="32"/>
          <w:szCs w:val="32"/>
          <w:highlight w:val="none"/>
          <w:lang w:eastAsia="zh-CN"/>
        </w:rPr>
        <w:t>及人员</w:t>
      </w:r>
      <w:r>
        <w:rPr>
          <w:rFonts w:hint="default" w:ascii="Times New Roman" w:hAnsi="Times New Roman" w:eastAsia="仿宋_GB2312" w:cs="Times New Roman"/>
          <w:bCs/>
          <w:color w:val="auto"/>
          <w:kern w:val="0"/>
          <w:sz w:val="32"/>
          <w:szCs w:val="32"/>
          <w:highlight w:val="none"/>
        </w:rPr>
        <w:t>情况</w:t>
      </w:r>
      <w:r>
        <w:rPr>
          <w:rFonts w:hint="default" w:ascii="Times New Roman" w:hAnsi="Times New Roman" w:eastAsia="仿宋_GB2312" w:cs="Times New Roman"/>
          <w:color w:val="auto"/>
          <w:sz w:val="32"/>
          <w:szCs w:val="32"/>
          <w:highlight w:val="none"/>
        </w:rPr>
        <w:fldChar w:fldCharType="end"/>
      </w:r>
    </w:p>
    <w:p>
      <w:pPr>
        <w:pStyle w:val="6"/>
        <w:keepNext w:val="0"/>
        <w:keepLines w:val="0"/>
        <w:pageBreakBefore w:val="0"/>
        <w:widowControl w:val="0"/>
        <w:tabs>
          <w:tab w:val="right" w:pos="8306"/>
        </w:tabs>
        <w:kinsoku/>
        <w:wordWrap/>
        <w:overflowPunct/>
        <w:topLinePunct w:val="0"/>
        <w:autoSpaceDE/>
        <w:autoSpaceDN/>
        <w:bidi w:val="0"/>
        <w:adjustRightInd/>
        <w:snapToGrid/>
        <w:spacing w:line="560" w:lineRule="exact"/>
        <w:ind w:left="0" w:leftChars="0"/>
        <w:textAlignment w:val="auto"/>
        <w:rPr>
          <w:rFonts w:hint="default" w:ascii="Times New Roman" w:hAnsi="Times New Roman" w:eastAsia="仿宋_GB2312" w:cs="Times New Roman"/>
          <w:b/>
          <w:bCs/>
          <w:color w:val="auto"/>
          <w:sz w:val="32"/>
          <w:szCs w:val="32"/>
          <w:highlight w:val="none"/>
        </w:rPr>
      </w:pPr>
      <w:r>
        <w:rPr>
          <w:rFonts w:hint="default" w:ascii="Times New Roman" w:hAnsi="Times New Roman" w:eastAsia="仿宋_GB2312" w:cs="Times New Roman"/>
          <w:b/>
          <w:bCs/>
          <w:color w:val="auto"/>
          <w:sz w:val="32"/>
          <w:szCs w:val="32"/>
          <w:highlight w:val="none"/>
        </w:rPr>
        <w:fldChar w:fldCharType="begin"/>
      </w:r>
      <w:r>
        <w:rPr>
          <w:rFonts w:hint="default" w:ascii="Times New Roman" w:hAnsi="Times New Roman" w:eastAsia="仿宋_GB2312" w:cs="Times New Roman"/>
          <w:b/>
          <w:bCs/>
          <w:color w:val="auto"/>
          <w:sz w:val="32"/>
          <w:szCs w:val="32"/>
          <w:highlight w:val="none"/>
        </w:rPr>
        <w:instrText xml:space="preserve"> HYPERLINK \l _Toc29374 </w:instrText>
      </w:r>
      <w:r>
        <w:rPr>
          <w:rFonts w:hint="default" w:ascii="Times New Roman" w:hAnsi="Times New Roman" w:eastAsia="仿宋_GB2312" w:cs="Times New Roman"/>
          <w:b/>
          <w:bCs/>
          <w:color w:val="auto"/>
          <w:sz w:val="32"/>
          <w:szCs w:val="32"/>
          <w:highlight w:val="none"/>
        </w:rPr>
        <w:fldChar w:fldCharType="separate"/>
      </w:r>
      <w:r>
        <w:rPr>
          <w:rFonts w:hint="default" w:ascii="Times New Roman" w:hAnsi="Times New Roman" w:eastAsia="仿宋_GB2312" w:cs="Times New Roman"/>
          <w:b/>
          <w:bCs/>
          <w:color w:val="auto"/>
          <w:sz w:val="32"/>
          <w:szCs w:val="32"/>
          <w:highlight w:val="none"/>
        </w:rPr>
        <w:t>第二部分 部门决算情况说明</w:t>
      </w:r>
      <w:r>
        <w:rPr>
          <w:rFonts w:hint="default" w:ascii="Times New Roman" w:hAnsi="Times New Roman" w:eastAsia="仿宋_GB2312" w:cs="Times New Roman"/>
          <w:b/>
          <w:bCs/>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560" w:lineRule="exact"/>
        <w:ind w:left="0" w:leftChars="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HYPERLINK \l _Toc25314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bCs/>
          <w:color w:val="auto"/>
          <w:kern w:val="0"/>
          <w:sz w:val="32"/>
          <w:szCs w:val="32"/>
          <w:highlight w:val="none"/>
        </w:rPr>
        <w:t>一、收入支出决算总体情况说明</w:t>
      </w:r>
      <w:r>
        <w:rPr>
          <w:rFonts w:hint="default" w:ascii="Times New Roman" w:hAnsi="Times New Roman" w:eastAsia="仿宋_GB2312" w:cs="Times New Roman"/>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560" w:lineRule="exact"/>
        <w:ind w:left="0" w:leftChars="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HYPERLINK \l _Toc12142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bCs/>
          <w:color w:val="auto"/>
          <w:kern w:val="0"/>
          <w:sz w:val="32"/>
          <w:szCs w:val="32"/>
          <w:highlight w:val="none"/>
          <w:lang w:eastAsia="zh-CN"/>
        </w:rPr>
        <w:t>二、</w:t>
      </w:r>
      <w:r>
        <w:rPr>
          <w:rFonts w:hint="default" w:ascii="Times New Roman" w:hAnsi="Times New Roman" w:eastAsia="仿宋_GB2312" w:cs="Times New Roman"/>
          <w:bCs/>
          <w:color w:val="auto"/>
          <w:kern w:val="0"/>
          <w:sz w:val="32"/>
          <w:szCs w:val="32"/>
          <w:highlight w:val="none"/>
        </w:rPr>
        <w:t>收入</w:t>
      </w:r>
      <w:r>
        <w:rPr>
          <w:rFonts w:hint="default" w:ascii="Times New Roman" w:hAnsi="Times New Roman" w:eastAsia="仿宋_GB2312" w:cs="Times New Roman"/>
          <w:bCs/>
          <w:color w:val="auto"/>
          <w:kern w:val="0"/>
          <w:sz w:val="32"/>
          <w:szCs w:val="32"/>
          <w:highlight w:val="none"/>
          <w:lang w:eastAsia="zh-CN"/>
        </w:rPr>
        <w:t>决算</w:t>
      </w:r>
      <w:r>
        <w:rPr>
          <w:rFonts w:hint="default" w:ascii="Times New Roman" w:hAnsi="Times New Roman" w:eastAsia="仿宋_GB2312" w:cs="Times New Roman"/>
          <w:bCs/>
          <w:color w:val="auto"/>
          <w:kern w:val="0"/>
          <w:sz w:val="32"/>
          <w:szCs w:val="32"/>
          <w:highlight w:val="none"/>
        </w:rPr>
        <w:t>情况说明</w:t>
      </w:r>
      <w:r>
        <w:rPr>
          <w:rFonts w:hint="default" w:ascii="Times New Roman" w:hAnsi="Times New Roman" w:eastAsia="仿宋_GB2312" w:cs="Times New Roman"/>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560" w:lineRule="exact"/>
        <w:ind w:left="0" w:leftChars="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HYPERLINK \l _Toc13201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bCs/>
          <w:color w:val="auto"/>
          <w:kern w:val="0"/>
          <w:sz w:val="32"/>
          <w:szCs w:val="32"/>
          <w:highlight w:val="none"/>
          <w:lang w:eastAsia="zh-CN"/>
        </w:rPr>
        <w:t>三、支出决算情况说明</w:t>
      </w:r>
      <w:r>
        <w:rPr>
          <w:rFonts w:hint="default" w:ascii="Times New Roman" w:hAnsi="Times New Roman" w:eastAsia="仿宋_GB2312" w:cs="Times New Roman"/>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560" w:lineRule="exact"/>
        <w:ind w:left="0" w:leftChars="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HYPERLINK \l _Toc26564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bCs/>
          <w:color w:val="auto"/>
          <w:kern w:val="0"/>
          <w:sz w:val="32"/>
          <w:szCs w:val="32"/>
          <w:highlight w:val="none"/>
          <w:lang w:eastAsia="zh-CN"/>
        </w:rPr>
        <w:t>四、财政拨款收入支出决算总体情况说明</w:t>
      </w:r>
      <w:r>
        <w:rPr>
          <w:rFonts w:hint="default" w:ascii="Times New Roman" w:hAnsi="Times New Roman" w:eastAsia="仿宋_GB2312" w:cs="Times New Roman"/>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560" w:lineRule="exact"/>
        <w:ind w:left="0" w:leftChars="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HYPERLINK \l _Toc20360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bCs/>
          <w:color w:val="auto"/>
          <w:kern w:val="0"/>
          <w:sz w:val="32"/>
          <w:szCs w:val="32"/>
          <w:highlight w:val="none"/>
          <w:lang w:eastAsia="zh-CN"/>
        </w:rPr>
        <w:t>五、一般公共预算财政拨款支出决算情况说明</w:t>
      </w:r>
      <w:r>
        <w:rPr>
          <w:rFonts w:hint="default" w:ascii="Times New Roman" w:hAnsi="Times New Roman" w:eastAsia="仿宋_GB2312" w:cs="Times New Roman"/>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560" w:lineRule="exact"/>
        <w:ind w:left="0" w:leftChars="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HYPERLINK \l _Toc30870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bCs/>
          <w:color w:val="auto"/>
          <w:kern w:val="0"/>
          <w:sz w:val="32"/>
          <w:szCs w:val="32"/>
          <w:highlight w:val="none"/>
          <w:lang w:eastAsia="zh-CN"/>
        </w:rPr>
        <w:t>六、一般公共预算财政拨款基本支出决算情况说明</w:t>
      </w:r>
      <w:r>
        <w:rPr>
          <w:rFonts w:hint="default" w:ascii="Times New Roman" w:hAnsi="Times New Roman" w:eastAsia="仿宋_GB2312" w:cs="Times New Roman"/>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560" w:lineRule="exact"/>
        <w:ind w:left="0" w:leftChars="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HYPERLINK \l _Toc21518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bCs/>
          <w:color w:val="auto"/>
          <w:kern w:val="0"/>
          <w:sz w:val="32"/>
          <w:szCs w:val="32"/>
          <w:highlight w:val="none"/>
          <w:lang w:eastAsia="zh-CN"/>
        </w:rPr>
        <w:t>七</w:t>
      </w:r>
      <w:r>
        <w:rPr>
          <w:rFonts w:hint="default" w:ascii="Times New Roman" w:hAnsi="Times New Roman" w:eastAsia="仿宋_GB2312" w:cs="Times New Roman"/>
          <w:bCs/>
          <w:color w:val="auto"/>
          <w:kern w:val="0"/>
          <w:sz w:val="32"/>
          <w:szCs w:val="32"/>
          <w:highlight w:val="none"/>
        </w:rPr>
        <w:t>、</w:t>
      </w:r>
      <w:r>
        <w:rPr>
          <w:rFonts w:hint="default" w:ascii="Times New Roman" w:hAnsi="Times New Roman" w:eastAsia="仿宋_GB2312" w:cs="Times New Roman"/>
          <w:bCs/>
          <w:color w:val="auto"/>
          <w:kern w:val="0"/>
          <w:sz w:val="32"/>
          <w:szCs w:val="32"/>
          <w:highlight w:val="none"/>
          <w:lang w:eastAsia="zh-CN"/>
        </w:rPr>
        <w:t>财政拨款</w:t>
      </w:r>
      <w:r>
        <w:rPr>
          <w:rFonts w:hint="default" w:ascii="Times New Roman" w:hAnsi="Times New Roman" w:eastAsia="仿宋_GB2312" w:cs="Times New Roman"/>
          <w:bCs/>
          <w:color w:val="auto"/>
          <w:kern w:val="0"/>
          <w:sz w:val="32"/>
          <w:szCs w:val="32"/>
          <w:highlight w:val="none"/>
        </w:rPr>
        <w:t>“三公”经费支出</w:t>
      </w:r>
      <w:r>
        <w:rPr>
          <w:rFonts w:hint="default" w:ascii="Times New Roman" w:hAnsi="Times New Roman" w:eastAsia="仿宋_GB2312" w:cs="Times New Roman"/>
          <w:bCs/>
          <w:color w:val="auto"/>
          <w:kern w:val="0"/>
          <w:sz w:val="32"/>
          <w:szCs w:val="32"/>
          <w:highlight w:val="none"/>
          <w:lang w:eastAsia="zh-CN"/>
        </w:rPr>
        <w:t>决算</w:t>
      </w:r>
      <w:r>
        <w:rPr>
          <w:rFonts w:hint="default" w:ascii="Times New Roman" w:hAnsi="Times New Roman" w:eastAsia="仿宋_GB2312" w:cs="Times New Roman"/>
          <w:bCs/>
          <w:color w:val="auto"/>
          <w:kern w:val="0"/>
          <w:sz w:val="32"/>
          <w:szCs w:val="32"/>
          <w:highlight w:val="none"/>
        </w:rPr>
        <w:t>情况</w:t>
      </w:r>
      <w:r>
        <w:rPr>
          <w:rFonts w:hint="default" w:ascii="Times New Roman" w:hAnsi="Times New Roman" w:eastAsia="仿宋_GB2312" w:cs="Times New Roman"/>
          <w:bCs/>
          <w:color w:val="auto"/>
          <w:kern w:val="0"/>
          <w:sz w:val="32"/>
          <w:szCs w:val="32"/>
          <w:highlight w:val="none"/>
          <w:lang w:eastAsia="zh-CN"/>
        </w:rPr>
        <w:t>说明</w:t>
      </w:r>
      <w:r>
        <w:rPr>
          <w:rFonts w:hint="default" w:ascii="Times New Roman" w:hAnsi="Times New Roman" w:eastAsia="仿宋_GB2312" w:cs="Times New Roman"/>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560" w:lineRule="exact"/>
        <w:ind w:left="0" w:leftChars="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HYPERLINK \l _Toc5810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bCs/>
          <w:color w:val="auto"/>
          <w:kern w:val="0"/>
          <w:sz w:val="32"/>
          <w:szCs w:val="32"/>
          <w:highlight w:val="none"/>
          <w:lang w:val="en-US" w:eastAsia="zh-CN"/>
        </w:rPr>
        <w:t>八、</w:t>
      </w:r>
      <w:r>
        <w:rPr>
          <w:rFonts w:hint="default" w:ascii="Times New Roman" w:hAnsi="Times New Roman" w:eastAsia="仿宋_GB2312" w:cs="Times New Roman"/>
          <w:bCs/>
          <w:color w:val="auto"/>
          <w:kern w:val="0"/>
          <w:sz w:val="32"/>
          <w:szCs w:val="32"/>
          <w:highlight w:val="none"/>
          <w:lang w:eastAsia="zh-CN"/>
        </w:rPr>
        <w:t>政府性基金预算财政拨款收入支出决算情况说明</w:t>
      </w:r>
      <w:r>
        <w:rPr>
          <w:rFonts w:hint="default" w:ascii="Times New Roman" w:hAnsi="Times New Roman" w:eastAsia="仿宋_GB2312" w:cs="Times New Roman"/>
          <w:color w:val="auto"/>
          <w:sz w:val="32"/>
          <w:szCs w:val="32"/>
          <w:highlight w:val="none"/>
        </w:rPr>
        <w:fldChar w:fldCharType="end"/>
      </w:r>
    </w:p>
    <w:p>
      <w:pPr>
        <w:keepNext w:val="0"/>
        <w:keepLines w:val="0"/>
        <w:pageBreakBefore w:val="0"/>
        <w:kinsoku/>
        <w:wordWrap/>
        <w:overflowPunct/>
        <w:topLinePunct w:val="0"/>
        <w:bidi w:val="0"/>
        <w:adjustRightInd/>
        <w:snapToGrid/>
        <w:spacing w:line="560" w:lineRule="exact"/>
        <w:textAlignment w:val="auto"/>
        <w:rPr>
          <w:rFonts w:hint="default" w:ascii="Times New Roman" w:hAnsi="Times New Roman" w:cs="Times New Roman"/>
          <w:color w:val="auto"/>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HYPERLINK \l _Toc5810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bCs/>
          <w:color w:val="auto"/>
          <w:kern w:val="0"/>
          <w:sz w:val="32"/>
          <w:szCs w:val="32"/>
          <w:highlight w:val="none"/>
          <w:lang w:val="en-US" w:eastAsia="zh-CN"/>
        </w:rPr>
        <w:t>九</w:t>
      </w:r>
      <w:r>
        <w:rPr>
          <w:rFonts w:hint="default" w:ascii="Times New Roman" w:hAnsi="Times New Roman" w:eastAsia="仿宋_GB2312" w:cs="Times New Roman"/>
          <w:bCs/>
          <w:color w:val="auto"/>
          <w:kern w:val="0"/>
          <w:sz w:val="32"/>
          <w:szCs w:val="32"/>
          <w:highlight w:val="none"/>
          <w:lang w:eastAsia="zh-CN"/>
        </w:rPr>
        <w:t>、国有资本经营预算财政拨款收入支出决算情况说明</w:t>
      </w:r>
      <w:r>
        <w:rPr>
          <w:rFonts w:hint="default" w:ascii="Times New Roman" w:hAnsi="Times New Roman" w:eastAsia="仿宋_GB2312" w:cs="Times New Roman"/>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560" w:lineRule="exact"/>
        <w:ind w:left="0" w:leftChars="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HYPERLINK \l _Toc1235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color w:val="auto"/>
          <w:sz w:val="32"/>
          <w:szCs w:val="32"/>
          <w:highlight w:val="none"/>
          <w:lang w:eastAsia="zh-CN"/>
        </w:rPr>
        <w:t>十</w:t>
      </w:r>
      <w:r>
        <w:rPr>
          <w:rFonts w:hint="default" w:ascii="Times New Roman" w:hAnsi="Times New Roman" w:eastAsia="仿宋_GB2312" w:cs="Times New Roman"/>
          <w:bCs/>
          <w:color w:val="auto"/>
          <w:kern w:val="0"/>
          <w:sz w:val="32"/>
          <w:szCs w:val="32"/>
          <w:highlight w:val="none"/>
        </w:rPr>
        <w:t>、其他重要事项的情况</w:t>
      </w:r>
      <w:r>
        <w:rPr>
          <w:rFonts w:hint="default" w:ascii="Times New Roman" w:hAnsi="Times New Roman" w:eastAsia="仿宋_GB2312" w:cs="Times New Roman"/>
          <w:bCs/>
          <w:color w:val="auto"/>
          <w:kern w:val="0"/>
          <w:sz w:val="32"/>
          <w:szCs w:val="32"/>
          <w:highlight w:val="none"/>
          <w:lang w:eastAsia="zh-CN"/>
        </w:rPr>
        <w:t>说明</w:t>
      </w:r>
      <w:r>
        <w:rPr>
          <w:rFonts w:hint="default" w:ascii="Times New Roman" w:hAnsi="Times New Roman" w:eastAsia="仿宋_GB2312" w:cs="Times New Roman"/>
          <w:color w:val="auto"/>
          <w:sz w:val="32"/>
          <w:szCs w:val="32"/>
          <w:highlight w:val="none"/>
        </w:rPr>
        <w:fldChar w:fldCharType="end"/>
      </w:r>
    </w:p>
    <w:p>
      <w:pPr>
        <w:pStyle w:val="3"/>
        <w:keepNext w:val="0"/>
        <w:keepLines w:val="0"/>
        <w:pageBreakBefore w:val="0"/>
        <w:widowControl w:val="0"/>
        <w:tabs>
          <w:tab w:val="right" w:pos="8306"/>
        </w:tabs>
        <w:kinsoku/>
        <w:wordWrap/>
        <w:overflowPunct/>
        <w:topLinePunct w:val="0"/>
        <w:autoSpaceDE/>
        <w:autoSpaceDN/>
        <w:bidi w:val="0"/>
        <w:adjustRightInd/>
        <w:snapToGrid/>
        <w:spacing w:line="560" w:lineRule="exact"/>
        <w:ind w:left="0" w:leftChars="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HYPERLINK \l _Toc14519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color w:val="auto"/>
          <w:sz w:val="32"/>
          <w:szCs w:val="32"/>
          <w:highlight w:val="none"/>
          <w:lang w:eastAsia="zh-CN"/>
        </w:rPr>
        <w:t>（一）</w:t>
      </w:r>
      <w:r>
        <w:rPr>
          <w:rFonts w:hint="default" w:ascii="Times New Roman" w:hAnsi="Times New Roman" w:eastAsia="仿宋_GB2312" w:cs="Times New Roman"/>
          <w:color w:val="auto"/>
          <w:sz w:val="32"/>
          <w:szCs w:val="32"/>
          <w:highlight w:val="none"/>
        </w:rPr>
        <w:t>机关运行经费支出情况</w:t>
      </w:r>
      <w:r>
        <w:rPr>
          <w:rFonts w:hint="default" w:ascii="Times New Roman" w:hAnsi="Times New Roman" w:eastAsia="仿宋_GB2312" w:cs="Times New Roman"/>
          <w:color w:val="auto"/>
          <w:sz w:val="32"/>
          <w:szCs w:val="32"/>
          <w:highlight w:val="none"/>
        </w:rPr>
        <w:fldChar w:fldCharType="end"/>
      </w:r>
    </w:p>
    <w:p>
      <w:pPr>
        <w:pStyle w:val="3"/>
        <w:keepNext w:val="0"/>
        <w:keepLines w:val="0"/>
        <w:pageBreakBefore w:val="0"/>
        <w:widowControl w:val="0"/>
        <w:tabs>
          <w:tab w:val="right" w:pos="8306"/>
        </w:tabs>
        <w:kinsoku/>
        <w:wordWrap/>
        <w:overflowPunct/>
        <w:topLinePunct w:val="0"/>
        <w:autoSpaceDE/>
        <w:autoSpaceDN/>
        <w:bidi w:val="0"/>
        <w:adjustRightInd/>
        <w:snapToGrid/>
        <w:spacing w:line="560" w:lineRule="exact"/>
        <w:ind w:left="0" w:leftChars="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HYPERLINK \l _Toc227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color w:val="auto"/>
          <w:sz w:val="32"/>
          <w:szCs w:val="32"/>
          <w:highlight w:val="none"/>
          <w:lang w:eastAsia="zh-CN"/>
        </w:rPr>
        <w:t>（二）政府采购情况</w:t>
      </w:r>
      <w:r>
        <w:rPr>
          <w:rFonts w:hint="default" w:ascii="Times New Roman" w:hAnsi="Times New Roman" w:eastAsia="仿宋_GB2312" w:cs="Times New Roman"/>
          <w:color w:val="auto"/>
          <w:sz w:val="32"/>
          <w:szCs w:val="32"/>
          <w:highlight w:val="none"/>
        </w:rPr>
        <w:fldChar w:fldCharType="end"/>
      </w:r>
    </w:p>
    <w:p>
      <w:pPr>
        <w:pStyle w:val="3"/>
        <w:keepNext w:val="0"/>
        <w:keepLines w:val="0"/>
        <w:pageBreakBefore w:val="0"/>
        <w:widowControl w:val="0"/>
        <w:tabs>
          <w:tab w:val="right" w:pos="8306"/>
        </w:tabs>
        <w:kinsoku/>
        <w:wordWrap/>
        <w:overflowPunct/>
        <w:topLinePunct w:val="0"/>
        <w:autoSpaceDE/>
        <w:autoSpaceDN/>
        <w:bidi w:val="0"/>
        <w:adjustRightInd/>
        <w:snapToGrid/>
        <w:spacing w:line="560" w:lineRule="exact"/>
        <w:ind w:left="0" w:leftChars="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HYPERLINK \l _Toc8391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color w:val="auto"/>
          <w:sz w:val="32"/>
          <w:szCs w:val="32"/>
          <w:highlight w:val="none"/>
          <w:lang w:eastAsia="zh-CN"/>
        </w:rPr>
        <w:t>（三）国有资产占用情况说明</w:t>
      </w:r>
      <w:r>
        <w:rPr>
          <w:rFonts w:hint="default" w:ascii="Times New Roman" w:hAnsi="Times New Roman" w:eastAsia="仿宋_GB2312" w:cs="Times New Roman"/>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560" w:lineRule="exact"/>
        <w:ind w:left="0" w:leftChars="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HYPERLINK \l _Toc11283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bCs/>
          <w:color w:val="auto"/>
          <w:kern w:val="0"/>
          <w:sz w:val="32"/>
          <w:szCs w:val="32"/>
          <w:highlight w:val="none"/>
          <w:lang w:eastAsia="zh-CN"/>
        </w:rPr>
        <w:t>十</w:t>
      </w:r>
      <w:r>
        <w:rPr>
          <w:rFonts w:hint="default" w:ascii="Times New Roman" w:hAnsi="Times New Roman" w:eastAsia="仿宋_GB2312" w:cs="Times New Roman"/>
          <w:bCs/>
          <w:color w:val="auto"/>
          <w:kern w:val="0"/>
          <w:sz w:val="32"/>
          <w:szCs w:val="32"/>
          <w:highlight w:val="none"/>
          <w:lang w:val="en-US" w:eastAsia="zh-CN"/>
        </w:rPr>
        <w:t>一</w:t>
      </w:r>
      <w:r>
        <w:rPr>
          <w:rFonts w:hint="default" w:ascii="Times New Roman" w:hAnsi="Times New Roman" w:eastAsia="仿宋_GB2312" w:cs="Times New Roman"/>
          <w:bCs/>
          <w:color w:val="auto"/>
          <w:kern w:val="0"/>
          <w:sz w:val="32"/>
          <w:szCs w:val="32"/>
          <w:highlight w:val="none"/>
          <w:lang w:eastAsia="zh-CN"/>
        </w:rPr>
        <w:t>、预算绩效的情况说明</w:t>
      </w:r>
      <w:r>
        <w:rPr>
          <w:rFonts w:hint="default" w:ascii="Times New Roman" w:hAnsi="Times New Roman" w:eastAsia="仿宋_GB2312" w:cs="Times New Roman"/>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560" w:lineRule="exact"/>
        <w:ind w:left="0" w:leftChars="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十二、其他需说明的事项</w:t>
      </w:r>
    </w:p>
    <w:p>
      <w:pPr>
        <w:pStyle w:val="6"/>
        <w:keepNext w:val="0"/>
        <w:keepLines w:val="0"/>
        <w:pageBreakBefore w:val="0"/>
        <w:widowControl w:val="0"/>
        <w:tabs>
          <w:tab w:val="right" w:pos="8306"/>
        </w:tabs>
        <w:kinsoku/>
        <w:wordWrap/>
        <w:overflowPunct/>
        <w:topLinePunct w:val="0"/>
        <w:autoSpaceDE/>
        <w:autoSpaceDN/>
        <w:bidi w:val="0"/>
        <w:adjustRightInd/>
        <w:snapToGrid/>
        <w:spacing w:line="560" w:lineRule="exact"/>
        <w:ind w:left="0" w:leftChars="0"/>
        <w:textAlignment w:val="auto"/>
        <w:rPr>
          <w:rFonts w:hint="default" w:ascii="Times New Roman" w:hAnsi="Times New Roman" w:eastAsia="仿宋_GB2312" w:cs="Times New Roman"/>
          <w:b/>
          <w:bCs/>
          <w:color w:val="auto"/>
          <w:sz w:val="32"/>
          <w:szCs w:val="32"/>
          <w:highlight w:val="none"/>
        </w:rPr>
      </w:pPr>
      <w:r>
        <w:rPr>
          <w:rFonts w:hint="default" w:ascii="Times New Roman" w:hAnsi="Times New Roman" w:eastAsia="仿宋_GB2312" w:cs="Times New Roman"/>
          <w:b/>
          <w:bCs/>
          <w:color w:val="auto"/>
          <w:sz w:val="32"/>
          <w:szCs w:val="32"/>
          <w:highlight w:val="none"/>
        </w:rPr>
        <w:fldChar w:fldCharType="begin"/>
      </w:r>
      <w:r>
        <w:rPr>
          <w:rFonts w:hint="default" w:ascii="Times New Roman" w:hAnsi="Times New Roman" w:eastAsia="仿宋_GB2312" w:cs="Times New Roman"/>
          <w:b/>
          <w:bCs/>
          <w:color w:val="auto"/>
          <w:sz w:val="32"/>
          <w:szCs w:val="32"/>
          <w:highlight w:val="none"/>
        </w:rPr>
        <w:instrText xml:space="preserve"> HYPERLINK \l _Toc3250 </w:instrText>
      </w:r>
      <w:r>
        <w:rPr>
          <w:rFonts w:hint="default" w:ascii="Times New Roman" w:hAnsi="Times New Roman" w:eastAsia="仿宋_GB2312" w:cs="Times New Roman"/>
          <w:b/>
          <w:bCs/>
          <w:color w:val="auto"/>
          <w:sz w:val="32"/>
          <w:szCs w:val="32"/>
          <w:highlight w:val="none"/>
        </w:rPr>
        <w:fldChar w:fldCharType="separate"/>
      </w:r>
      <w:r>
        <w:rPr>
          <w:rFonts w:hint="default" w:ascii="Times New Roman" w:hAnsi="Times New Roman" w:eastAsia="仿宋_GB2312" w:cs="Times New Roman"/>
          <w:b/>
          <w:bCs/>
          <w:color w:val="auto"/>
          <w:sz w:val="32"/>
          <w:szCs w:val="32"/>
          <w:highlight w:val="none"/>
        </w:rPr>
        <w:t>第三部分 专业名词解释</w:t>
      </w:r>
      <w:r>
        <w:rPr>
          <w:rFonts w:hint="default" w:ascii="Times New Roman" w:hAnsi="Times New Roman" w:eastAsia="仿宋_GB2312" w:cs="Times New Roman"/>
          <w:b/>
          <w:bCs/>
          <w:color w:val="auto"/>
          <w:sz w:val="32"/>
          <w:szCs w:val="32"/>
          <w:highlight w:val="none"/>
        </w:rPr>
        <w:fldChar w:fldCharType="end"/>
      </w:r>
    </w:p>
    <w:p>
      <w:pPr>
        <w:pStyle w:val="6"/>
        <w:keepNext w:val="0"/>
        <w:keepLines w:val="0"/>
        <w:pageBreakBefore w:val="0"/>
        <w:widowControl w:val="0"/>
        <w:tabs>
          <w:tab w:val="right" w:pos="8306"/>
        </w:tabs>
        <w:kinsoku/>
        <w:wordWrap/>
        <w:overflowPunct/>
        <w:topLinePunct w:val="0"/>
        <w:autoSpaceDE/>
        <w:autoSpaceDN/>
        <w:bidi w:val="0"/>
        <w:adjustRightInd/>
        <w:snapToGrid/>
        <w:spacing w:line="560" w:lineRule="exact"/>
        <w:ind w:left="0" w:leftChars="0"/>
        <w:textAlignment w:val="auto"/>
        <w:rPr>
          <w:rFonts w:hint="default" w:ascii="Times New Roman" w:hAnsi="Times New Roman" w:eastAsia="仿宋_GB2312" w:cs="Times New Roman"/>
          <w:b/>
          <w:bCs/>
          <w:color w:val="auto"/>
          <w:sz w:val="32"/>
          <w:szCs w:val="32"/>
          <w:highlight w:val="none"/>
        </w:rPr>
      </w:pPr>
      <w:r>
        <w:rPr>
          <w:rFonts w:hint="default" w:ascii="Times New Roman" w:hAnsi="Times New Roman" w:eastAsia="仿宋_GB2312" w:cs="Times New Roman"/>
          <w:b/>
          <w:bCs/>
          <w:color w:val="auto"/>
          <w:sz w:val="32"/>
          <w:szCs w:val="32"/>
          <w:highlight w:val="none"/>
        </w:rPr>
        <w:fldChar w:fldCharType="begin"/>
      </w:r>
      <w:r>
        <w:rPr>
          <w:rFonts w:hint="default" w:ascii="Times New Roman" w:hAnsi="Times New Roman" w:eastAsia="仿宋_GB2312" w:cs="Times New Roman"/>
          <w:b/>
          <w:bCs/>
          <w:color w:val="auto"/>
          <w:sz w:val="32"/>
          <w:szCs w:val="32"/>
          <w:highlight w:val="none"/>
        </w:rPr>
        <w:instrText xml:space="preserve"> HYPERLINK \l _Toc22784 </w:instrText>
      </w:r>
      <w:r>
        <w:rPr>
          <w:rFonts w:hint="default" w:ascii="Times New Roman" w:hAnsi="Times New Roman" w:eastAsia="仿宋_GB2312" w:cs="Times New Roman"/>
          <w:b/>
          <w:bCs/>
          <w:color w:val="auto"/>
          <w:sz w:val="32"/>
          <w:szCs w:val="32"/>
          <w:highlight w:val="none"/>
        </w:rPr>
        <w:fldChar w:fldCharType="separate"/>
      </w:r>
      <w:r>
        <w:rPr>
          <w:rFonts w:hint="default" w:ascii="Times New Roman" w:hAnsi="Times New Roman" w:eastAsia="仿宋_GB2312" w:cs="Times New Roman"/>
          <w:b/>
          <w:bCs/>
          <w:color w:val="auto"/>
          <w:sz w:val="32"/>
          <w:szCs w:val="32"/>
          <w:highlight w:val="none"/>
        </w:rPr>
        <w:t>第四部分 部门决算报表（见附表）</w:t>
      </w:r>
      <w:r>
        <w:rPr>
          <w:rFonts w:hint="default" w:ascii="Times New Roman" w:hAnsi="Times New Roman" w:eastAsia="仿宋_GB2312" w:cs="Times New Roman"/>
          <w:b/>
          <w:bCs/>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560" w:lineRule="exact"/>
        <w:ind w:left="0" w:leftChars="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HYPERLINK \l _Toc2183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bCs/>
          <w:color w:val="auto"/>
          <w:kern w:val="0"/>
          <w:sz w:val="32"/>
          <w:szCs w:val="32"/>
          <w:highlight w:val="none"/>
        </w:rPr>
        <w:t>一、《收入支出决算总表》</w:t>
      </w:r>
      <w:r>
        <w:rPr>
          <w:rFonts w:hint="default" w:ascii="Times New Roman" w:hAnsi="Times New Roman" w:eastAsia="仿宋_GB2312" w:cs="Times New Roman"/>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560" w:lineRule="exact"/>
        <w:ind w:left="0" w:leftChars="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HYPERLINK \l _Toc24532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bCs/>
          <w:color w:val="auto"/>
          <w:kern w:val="0"/>
          <w:sz w:val="32"/>
          <w:szCs w:val="32"/>
          <w:highlight w:val="none"/>
        </w:rPr>
        <w:t>二、《收入决算表》</w:t>
      </w:r>
      <w:r>
        <w:rPr>
          <w:rFonts w:hint="default" w:ascii="Times New Roman" w:hAnsi="Times New Roman" w:eastAsia="仿宋_GB2312" w:cs="Times New Roman"/>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560" w:lineRule="exact"/>
        <w:ind w:left="0" w:leftChars="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HYPERLINK \l _Toc32434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bCs/>
          <w:color w:val="auto"/>
          <w:kern w:val="0"/>
          <w:sz w:val="32"/>
          <w:szCs w:val="32"/>
          <w:highlight w:val="none"/>
        </w:rPr>
        <w:t>三、《支出决算表》</w:t>
      </w:r>
      <w:r>
        <w:rPr>
          <w:rFonts w:hint="default" w:ascii="Times New Roman" w:hAnsi="Times New Roman" w:eastAsia="仿宋_GB2312" w:cs="Times New Roman"/>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560" w:lineRule="exact"/>
        <w:ind w:left="0" w:leftChars="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HYPERLINK \l _Toc28786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bCs/>
          <w:color w:val="auto"/>
          <w:kern w:val="0"/>
          <w:sz w:val="32"/>
          <w:szCs w:val="32"/>
          <w:highlight w:val="none"/>
        </w:rPr>
        <w:t>四、《财政拨款收入支出决算总表》</w:t>
      </w:r>
      <w:r>
        <w:rPr>
          <w:rFonts w:hint="default" w:ascii="Times New Roman" w:hAnsi="Times New Roman" w:eastAsia="仿宋_GB2312" w:cs="Times New Roman"/>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560" w:lineRule="exact"/>
        <w:ind w:left="0" w:leftChars="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HYPERLINK \l _Toc14869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bCs/>
          <w:color w:val="auto"/>
          <w:kern w:val="0"/>
          <w:sz w:val="32"/>
          <w:szCs w:val="32"/>
          <w:highlight w:val="none"/>
        </w:rPr>
        <w:t>五、《一般公共预算财政拨款支出决算表》</w:t>
      </w:r>
      <w:r>
        <w:rPr>
          <w:rFonts w:hint="default" w:ascii="Times New Roman" w:hAnsi="Times New Roman" w:eastAsia="仿宋_GB2312" w:cs="Times New Roman"/>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560" w:lineRule="exact"/>
        <w:ind w:left="0" w:leftChars="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HYPERLINK \l _Toc8884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bCs/>
          <w:color w:val="auto"/>
          <w:kern w:val="0"/>
          <w:sz w:val="32"/>
          <w:szCs w:val="32"/>
          <w:highlight w:val="none"/>
        </w:rPr>
        <w:t>六、《一般公共预算财政拨款基本支出决算表》</w:t>
      </w:r>
      <w:r>
        <w:rPr>
          <w:rFonts w:hint="default" w:ascii="Times New Roman" w:hAnsi="Times New Roman" w:eastAsia="仿宋_GB2312" w:cs="Times New Roman"/>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560" w:lineRule="exact"/>
        <w:ind w:left="0" w:leftChars="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HYPERLINK \l _Toc29106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bCs/>
          <w:color w:val="auto"/>
          <w:kern w:val="0"/>
          <w:sz w:val="32"/>
          <w:szCs w:val="32"/>
          <w:highlight w:val="none"/>
        </w:rPr>
        <w:t>七、《财政拨款“三公”经费支出决算表》</w:t>
      </w:r>
      <w:r>
        <w:rPr>
          <w:rFonts w:hint="default" w:ascii="Times New Roman" w:hAnsi="Times New Roman" w:eastAsia="仿宋_GB2312" w:cs="Times New Roman"/>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560" w:lineRule="exact"/>
        <w:ind w:left="0" w:leftChars="0"/>
        <w:textAlignment w:val="auto"/>
        <w:rPr>
          <w:rFonts w:hint="default" w:ascii="Times New Roman" w:hAnsi="Times New Roman" w:eastAsia="仿宋_GB2312" w:cs="Times New Roman"/>
          <w:bCs/>
          <w:color w:val="auto"/>
          <w:kern w:val="0"/>
          <w:sz w:val="32"/>
          <w:szCs w:val="32"/>
          <w:highlight w:val="none"/>
        </w:rPr>
      </w:pPr>
      <w:r>
        <w:rPr>
          <w:rFonts w:hint="default" w:ascii="Times New Roman" w:hAnsi="Times New Roman" w:eastAsia="仿宋_GB2312" w:cs="Times New Roman"/>
          <w:bCs/>
          <w:color w:val="auto"/>
          <w:kern w:val="0"/>
          <w:sz w:val="32"/>
          <w:szCs w:val="32"/>
          <w:highlight w:val="none"/>
        </w:rPr>
        <w:fldChar w:fldCharType="begin"/>
      </w:r>
      <w:r>
        <w:rPr>
          <w:rFonts w:hint="default" w:ascii="Times New Roman" w:hAnsi="Times New Roman" w:eastAsia="仿宋_GB2312" w:cs="Times New Roman"/>
          <w:bCs/>
          <w:color w:val="auto"/>
          <w:kern w:val="0"/>
          <w:sz w:val="32"/>
          <w:szCs w:val="32"/>
          <w:highlight w:val="none"/>
        </w:rPr>
        <w:instrText xml:space="preserve"> HYPERLINK \l _Toc7643 </w:instrText>
      </w:r>
      <w:r>
        <w:rPr>
          <w:rFonts w:hint="default" w:ascii="Times New Roman" w:hAnsi="Times New Roman" w:eastAsia="仿宋_GB2312" w:cs="Times New Roman"/>
          <w:bCs/>
          <w:color w:val="auto"/>
          <w:kern w:val="0"/>
          <w:sz w:val="32"/>
          <w:szCs w:val="32"/>
          <w:highlight w:val="none"/>
        </w:rPr>
        <w:fldChar w:fldCharType="separate"/>
      </w:r>
      <w:r>
        <w:rPr>
          <w:rFonts w:hint="default" w:ascii="Times New Roman" w:hAnsi="Times New Roman" w:eastAsia="仿宋_GB2312" w:cs="Times New Roman"/>
          <w:bCs/>
          <w:color w:val="auto"/>
          <w:kern w:val="0"/>
          <w:sz w:val="32"/>
          <w:szCs w:val="32"/>
          <w:highlight w:val="none"/>
          <w:lang w:val="en-US" w:eastAsia="zh-CN"/>
        </w:rPr>
        <w:t>八、</w:t>
      </w:r>
      <w:r>
        <w:rPr>
          <w:rFonts w:hint="default" w:ascii="Times New Roman" w:hAnsi="Times New Roman" w:eastAsia="仿宋_GB2312" w:cs="Times New Roman"/>
          <w:bCs/>
          <w:color w:val="auto"/>
          <w:kern w:val="0"/>
          <w:sz w:val="32"/>
          <w:szCs w:val="32"/>
          <w:highlight w:val="none"/>
        </w:rPr>
        <w:t>《政府性基金预算财政拨款收入支出决算表》</w:t>
      </w:r>
      <w:r>
        <w:rPr>
          <w:rFonts w:hint="default" w:ascii="Times New Roman" w:hAnsi="Times New Roman" w:eastAsia="仿宋_GB2312" w:cs="Times New Roman"/>
          <w:bCs/>
          <w:color w:val="auto"/>
          <w:kern w:val="0"/>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560" w:lineRule="exact"/>
        <w:ind w:left="0" w:leftChars="0"/>
        <w:textAlignment w:val="auto"/>
        <w:rPr>
          <w:rFonts w:hint="default" w:ascii="Times New Roman" w:hAnsi="Times New Roman" w:eastAsia="仿宋_GB2312" w:cs="Times New Roman"/>
          <w:bCs/>
          <w:color w:val="auto"/>
          <w:kern w:val="0"/>
          <w:sz w:val="32"/>
          <w:szCs w:val="32"/>
          <w:highlight w:val="none"/>
          <w:lang w:eastAsia="zh-CN"/>
        </w:rPr>
      </w:pPr>
      <w:r>
        <w:rPr>
          <w:rFonts w:hint="default" w:ascii="Times New Roman" w:hAnsi="Times New Roman" w:eastAsia="仿宋_GB2312" w:cs="Times New Roman"/>
          <w:bCs/>
          <w:color w:val="auto"/>
          <w:kern w:val="0"/>
          <w:sz w:val="32"/>
          <w:szCs w:val="32"/>
          <w:highlight w:val="none"/>
          <w:lang w:val="en-US" w:eastAsia="zh-CN"/>
        </w:rPr>
        <w:t>九</w:t>
      </w:r>
      <w:r>
        <w:rPr>
          <w:rFonts w:hint="default" w:ascii="Times New Roman" w:hAnsi="Times New Roman" w:eastAsia="仿宋_GB2312" w:cs="Times New Roman"/>
          <w:bCs/>
          <w:color w:val="auto"/>
          <w:kern w:val="0"/>
          <w:sz w:val="32"/>
          <w:szCs w:val="32"/>
          <w:highlight w:val="none"/>
          <w:lang w:eastAsia="zh-CN"/>
        </w:rPr>
        <w:t>、《国有资本经营</w:t>
      </w:r>
      <w:r>
        <w:rPr>
          <w:rFonts w:hint="default" w:ascii="Times New Roman" w:hAnsi="Times New Roman" w:eastAsia="仿宋_GB2312" w:cs="Times New Roman"/>
          <w:bCs/>
          <w:color w:val="auto"/>
          <w:kern w:val="0"/>
          <w:sz w:val="32"/>
          <w:szCs w:val="32"/>
          <w:highlight w:val="none"/>
        </w:rPr>
        <w:t>预算财政拨款收入支出决算表</w:t>
      </w:r>
      <w:r>
        <w:rPr>
          <w:rFonts w:hint="default" w:ascii="Times New Roman" w:hAnsi="Times New Roman" w:eastAsia="仿宋_GB2312" w:cs="Times New Roman"/>
          <w:bCs/>
          <w:color w:val="auto"/>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left="0" w:leftChars="0"/>
        <w:jc w:val="both"/>
        <w:textAlignment w:val="auto"/>
        <w:rPr>
          <w:rFonts w:hint="default" w:ascii="Times New Roman" w:hAnsi="Times New Roman" w:cs="Times New Roman"/>
          <w:color w:val="auto"/>
          <w:highlight w:val="none"/>
        </w:rPr>
      </w:pPr>
      <w:r>
        <w:rPr>
          <w:rFonts w:hint="default" w:ascii="Times New Roman" w:hAnsi="Times New Roman" w:eastAsia="仿宋_GB2312" w:cs="Times New Roman"/>
          <w:color w:val="auto"/>
          <w:sz w:val="32"/>
          <w:szCs w:val="32"/>
          <w:highlight w:val="none"/>
        </w:rPr>
        <w:fldChar w:fldCharType="end"/>
      </w:r>
    </w:p>
    <w:p>
      <w:pPr>
        <w:keepNext w:val="0"/>
        <w:keepLines w:val="0"/>
        <w:pageBreakBefore w:val="0"/>
        <w:kinsoku/>
        <w:wordWrap/>
        <w:overflowPunct/>
        <w:topLinePunct w:val="0"/>
        <w:bidi w:val="0"/>
        <w:adjustRightInd/>
        <w:snapToGrid/>
        <w:spacing w:line="560" w:lineRule="exact"/>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br w:type="page"/>
      </w: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outlineLvl w:val="0"/>
        <w:rPr>
          <w:rFonts w:hint="default" w:ascii="Times New Roman" w:hAnsi="Times New Roman" w:eastAsia="黑体" w:cs="Times New Roman"/>
          <w:color w:val="auto"/>
          <w:sz w:val="32"/>
          <w:szCs w:val="32"/>
          <w:highlight w:val="none"/>
        </w:rPr>
      </w:pPr>
      <w:bookmarkStart w:id="0" w:name="_Toc32314"/>
      <w:bookmarkStart w:id="1" w:name="_Toc24028"/>
      <w:r>
        <w:rPr>
          <w:rFonts w:hint="default" w:ascii="Times New Roman" w:hAnsi="Times New Roman" w:eastAsia="黑体" w:cs="Times New Roman"/>
          <w:color w:val="auto"/>
          <w:sz w:val="32"/>
          <w:szCs w:val="32"/>
          <w:highlight w:val="none"/>
        </w:rPr>
        <w:t xml:space="preserve">第一部分 </w:t>
      </w:r>
      <w:r>
        <w:rPr>
          <w:rFonts w:hint="default" w:ascii="Times New Roman" w:hAnsi="Times New Roman" w:eastAsia="黑体" w:cs="Times New Roman"/>
          <w:color w:val="auto"/>
          <w:sz w:val="32"/>
          <w:szCs w:val="32"/>
          <w:highlight w:val="none"/>
          <w:lang w:eastAsia="zh-CN"/>
        </w:rPr>
        <w:t>单位</w:t>
      </w:r>
      <w:r>
        <w:rPr>
          <w:rFonts w:hint="default" w:ascii="Times New Roman" w:hAnsi="Times New Roman" w:eastAsia="黑体" w:cs="Times New Roman"/>
          <w:color w:val="auto"/>
          <w:sz w:val="32"/>
          <w:szCs w:val="32"/>
          <w:highlight w:val="none"/>
        </w:rPr>
        <w:t>概况</w:t>
      </w:r>
      <w:bookmarkEnd w:id="0"/>
      <w:bookmarkEnd w:id="1"/>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1"/>
        <w:rPr>
          <w:rFonts w:hint="default" w:ascii="Times New Roman" w:hAnsi="Times New Roman" w:eastAsia="黑体" w:cs="Times New Roman"/>
          <w:bCs/>
          <w:color w:val="auto"/>
          <w:kern w:val="0"/>
          <w:sz w:val="32"/>
          <w:szCs w:val="32"/>
          <w:highlight w:val="none"/>
        </w:rPr>
      </w:pPr>
      <w:bookmarkStart w:id="2" w:name="_Toc30738"/>
      <w:bookmarkStart w:id="3" w:name="_Toc30567"/>
      <w:r>
        <w:rPr>
          <w:rFonts w:hint="default" w:ascii="Times New Roman" w:hAnsi="Times New Roman" w:eastAsia="黑体" w:cs="Times New Roman"/>
          <w:bCs/>
          <w:color w:val="auto"/>
          <w:kern w:val="0"/>
          <w:sz w:val="32"/>
          <w:szCs w:val="32"/>
          <w:highlight w:val="none"/>
        </w:rPr>
        <w:t>一、主要职能</w:t>
      </w:r>
      <w:bookmarkEnd w:id="2"/>
      <w:bookmarkEnd w:id="3"/>
    </w:p>
    <w:p>
      <w:pPr>
        <w:keepNext w:val="0"/>
        <w:keepLines w:val="0"/>
        <w:pageBreakBefore w:val="0"/>
        <w:kinsoku/>
        <w:wordWrap/>
        <w:overflowPunct/>
        <w:topLinePunct w:val="0"/>
        <w:bidi w:val="0"/>
        <w:adjustRightInd/>
        <w:snapToGrid/>
        <w:spacing w:line="560" w:lineRule="exact"/>
        <w:textAlignment w:val="auto"/>
        <w:rPr>
          <w:rFonts w:hint="default" w:ascii="Times New Roman" w:hAnsi="Times New Roman" w:eastAsia="黑体" w:cs="Times New Roman"/>
          <w:bCs/>
          <w:kern w:val="0"/>
          <w:sz w:val="32"/>
          <w:szCs w:val="32"/>
        </w:rPr>
      </w:pPr>
      <w:bookmarkStart w:id="4" w:name="_Toc31238"/>
      <w:bookmarkStart w:id="5" w:name="_Toc2151"/>
      <w:r>
        <w:rPr>
          <w:rFonts w:hint="default" w:ascii="Times New Roman" w:hAnsi="Times New Roman" w:eastAsia="仿宋_GB2312" w:cs="Times New Roman"/>
          <w:sz w:val="32"/>
          <w:szCs w:val="32"/>
        </w:rPr>
        <w:t>　　(1)与</w:t>
      </w:r>
      <w:r>
        <w:rPr>
          <w:rFonts w:hint="default" w:ascii="Times New Roman" w:hAnsi="Times New Roman" w:eastAsia="仿宋_GB2312" w:cs="Times New Roman"/>
          <w:sz w:val="32"/>
          <w:szCs w:val="32"/>
          <w:lang w:val="en-US" w:eastAsia="zh-CN"/>
        </w:rPr>
        <w:t>新疆维吾尔自治区水利</w:t>
      </w:r>
      <w:r>
        <w:rPr>
          <w:rFonts w:hint="default" w:ascii="Times New Roman" w:hAnsi="Times New Roman" w:eastAsia="仿宋_GB2312" w:cs="Times New Roman"/>
          <w:sz w:val="32"/>
          <w:szCs w:val="32"/>
        </w:rPr>
        <w:t>厅规划计划处联合办公，组织监督检查水利基本建设项目计划和资金的落实、完成情况。</w:t>
      </w:r>
      <w:r>
        <w:rPr>
          <w:rFonts w:hint="default" w:ascii="Times New Roman" w:hAnsi="Times New Roman" w:eastAsia="仿宋_GB2312" w:cs="Times New Roman"/>
          <w:sz w:val="32"/>
          <w:szCs w:val="32"/>
        </w:rPr>
        <w:br w:type="textWrapping"/>
      </w:r>
      <w:r>
        <w:rPr>
          <w:rFonts w:hint="default" w:ascii="Times New Roman" w:hAnsi="Times New Roman" w:eastAsia="仿宋_GB2312" w:cs="Times New Roman"/>
          <w:sz w:val="32"/>
          <w:szCs w:val="32"/>
        </w:rPr>
        <w:t>　　(2)与</w:t>
      </w:r>
      <w:r>
        <w:rPr>
          <w:rFonts w:hint="default" w:ascii="Times New Roman" w:hAnsi="Times New Roman" w:eastAsia="仿宋_GB2312" w:cs="Times New Roman"/>
          <w:sz w:val="32"/>
          <w:szCs w:val="32"/>
          <w:lang w:val="en-US" w:eastAsia="zh-CN"/>
        </w:rPr>
        <w:t>新疆维吾尔自治区水利</w:t>
      </w:r>
      <w:r>
        <w:rPr>
          <w:rFonts w:hint="default" w:ascii="Times New Roman" w:hAnsi="Times New Roman" w:eastAsia="仿宋_GB2312" w:cs="Times New Roman"/>
          <w:sz w:val="32"/>
          <w:szCs w:val="32"/>
        </w:rPr>
        <w:t>厅规划计划处联合办公，组织提出中央预算内水利建设投资、中央水利发展资金、自治区区级水利建设资金、水利前期费规模、方向及年度安排计划，组织完成中央水利资金的绩效评价工作。</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1"/>
        <w:rPr>
          <w:rFonts w:hint="default" w:ascii="Times New Roman" w:hAnsi="Times New Roman" w:eastAsia="黑体" w:cs="Times New Roman"/>
          <w:bCs/>
          <w:color w:val="auto"/>
          <w:kern w:val="0"/>
          <w:sz w:val="32"/>
          <w:szCs w:val="32"/>
          <w:highlight w:val="none"/>
        </w:rPr>
      </w:pPr>
      <w:r>
        <w:rPr>
          <w:rFonts w:hint="default" w:ascii="Times New Roman" w:hAnsi="Times New Roman" w:eastAsia="黑体" w:cs="Times New Roman"/>
          <w:bCs/>
          <w:color w:val="auto"/>
          <w:kern w:val="0"/>
          <w:sz w:val="32"/>
          <w:szCs w:val="32"/>
          <w:highlight w:val="none"/>
        </w:rPr>
        <w:t>二、机构设置</w:t>
      </w:r>
      <w:r>
        <w:rPr>
          <w:rFonts w:hint="default" w:ascii="Times New Roman" w:hAnsi="Times New Roman" w:eastAsia="黑体" w:cs="Times New Roman"/>
          <w:bCs/>
          <w:color w:val="auto"/>
          <w:kern w:val="0"/>
          <w:sz w:val="32"/>
          <w:szCs w:val="32"/>
          <w:highlight w:val="none"/>
          <w:lang w:eastAsia="zh-CN"/>
        </w:rPr>
        <w:t>及</w:t>
      </w:r>
      <w:bookmarkEnd w:id="4"/>
      <w:r>
        <w:rPr>
          <w:rFonts w:hint="default" w:ascii="Times New Roman" w:hAnsi="Times New Roman" w:eastAsia="黑体" w:cs="Times New Roman"/>
          <w:bCs/>
          <w:color w:val="auto"/>
          <w:kern w:val="0"/>
          <w:sz w:val="32"/>
          <w:szCs w:val="32"/>
          <w:highlight w:val="none"/>
          <w:lang w:eastAsia="zh-CN"/>
        </w:rPr>
        <w:t>人员</w:t>
      </w:r>
      <w:r>
        <w:rPr>
          <w:rFonts w:hint="default" w:ascii="Times New Roman" w:hAnsi="Times New Roman" w:eastAsia="黑体" w:cs="Times New Roman"/>
          <w:bCs/>
          <w:color w:val="auto"/>
          <w:kern w:val="0"/>
          <w:sz w:val="32"/>
          <w:szCs w:val="32"/>
          <w:highlight w:val="none"/>
        </w:rPr>
        <w:t>情况</w:t>
      </w:r>
      <w:bookmarkEnd w:id="5"/>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default" w:ascii="Times New Roman" w:hAnsi="Times New Roman" w:eastAsia="仿宋_GB2312" w:cs="Times New Roman"/>
          <w:b/>
          <w:color w:val="auto"/>
          <w:sz w:val="32"/>
          <w:szCs w:val="32"/>
          <w:highlight w:val="none"/>
        </w:rPr>
      </w:pPr>
      <w:r>
        <w:rPr>
          <w:rFonts w:hint="default" w:ascii="Times New Roman" w:hAnsi="Times New Roman" w:eastAsia="仿宋_GB2312" w:cs="Times New Roman"/>
          <w:color w:val="auto"/>
          <w:sz w:val="32"/>
          <w:szCs w:val="32"/>
          <w:highlight w:val="none"/>
          <w:lang w:val="en-US" w:eastAsia="zh-CN"/>
        </w:rPr>
        <w:t>新疆维吾尔自治区农牧水利资金监督检查所</w:t>
      </w:r>
      <w:r>
        <w:rPr>
          <w:rFonts w:hint="default" w:ascii="Times New Roman" w:hAnsi="Times New Roman" w:eastAsia="仿宋_GB2312" w:cs="Times New Roman"/>
          <w:color w:val="auto"/>
          <w:sz w:val="32"/>
          <w:szCs w:val="32"/>
          <w:highlight w:val="none"/>
          <w:lang w:eastAsia="zh-CN"/>
        </w:rPr>
        <w:t>2023年度，</w:t>
      </w:r>
      <w:r>
        <w:rPr>
          <w:rFonts w:hint="default" w:ascii="Times New Roman" w:hAnsi="Times New Roman" w:eastAsia="仿宋_GB2312" w:cs="Times New Roman"/>
          <w:color w:val="auto"/>
          <w:sz w:val="32"/>
          <w:szCs w:val="32"/>
          <w:highlight w:val="none"/>
        </w:rPr>
        <w:t>实有人数</w:t>
      </w:r>
      <w:r>
        <w:rPr>
          <w:rFonts w:hint="default" w:ascii="Times New Roman" w:hAnsi="Times New Roman" w:eastAsia="仿宋_GB2312" w:cs="Times New Roman"/>
          <w:color w:val="auto"/>
          <w:sz w:val="32"/>
          <w:szCs w:val="32"/>
          <w:highlight w:val="none"/>
          <w:lang w:val="zh-CN" w:eastAsia="zh-CN"/>
        </w:rPr>
        <w:t>8</w:t>
      </w:r>
      <w:r>
        <w:rPr>
          <w:rFonts w:hint="default" w:ascii="Times New Roman" w:hAnsi="Times New Roman" w:eastAsia="仿宋_GB2312" w:cs="Times New Roman"/>
          <w:color w:val="auto"/>
          <w:sz w:val="32"/>
          <w:szCs w:val="32"/>
          <w:highlight w:val="none"/>
        </w:rPr>
        <w:t>人，其中：在职人员</w:t>
      </w:r>
      <w:r>
        <w:rPr>
          <w:rFonts w:hint="default" w:ascii="Times New Roman" w:hAnsi="Times New Roman" w:eastAsia="仿宋_GB2312" w:cs="Times New Roman"/>
          <w:color w:val="auto"/>
          <w:sz w:val="32"/>
          <w:szCs w:val="32"/>
          <w:highlight w:val="none"/>
          <w:lang w:val="zh-CN" w:eastAsia="zh-CN"/>
        </w:rPr>
        <w:t>6</w:t>
      </w:r>
      <w:r>
        <w:rPr>
          <w:rFonts w:hint="default" w:ascii="Times New Roman" w:hAnsi="Times New Roman" w:eastAsia="仿宋_GB2312" w:cs="Times New Roman"/>
          <w:color w:val="auto"/>
          <w:sz w:val="32"/>
          <w:szCs w:val="32"/>
          <w:highlight w:val="none"/>
        </w:rPr>
        <w:t>人</w:t>
      </w: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rPr>
        <w:t>离休人员</w:t>
      </w:r>
      <w:r>
        <w:rPr>
          <w:rFonts w:hint="default" w:ascii="Times New Roman" w:hAnsi="Times New Roman" w:eastAsia="仿宋_GB2312" w:cs="Times New Roman"/>
          <w:color w:val="auto"/>
          <w:sz w:val="32"/>
          <w:szCs w:val="32"/>
          <w:highlight w:val="none"/>
          <w:lang w:val="zh-CN" w:eastAsia="zh-CN"/>
        </w:rPr>
        <w:t>0</w:t>
      </w:r>
      <w:r>
        <w:rPr>
          <w:rFonts w:hint="default" w:ascii="Times New Roman" w:hAnsi="Times New Roman" w:eastAsia="仿宋_GB2312" w:cs="Times New Roman"/>
          <w:color w:val="auto"/>
          <w:sz w:val="32"/>
          <w:szCs w:val="32"/>
          <w:highlight w:val="none"/>
        </w:rPr>
        <w:t>人，退休人员</w:t>
      </w:r>
      <w:r>
        <w:rPr>
          <w:rFonts w:hint="default" w:ascii="Times New Roman" w:hAnsi="Times New Roman" w:eastAsia="仿宋_GB2312" w:cs="Times New Roman"/>
          <w:color w:val="auto"/>
          <w:sz w:val="32"/>
          <w:szCs w:val="32"/>
          <w:highlight w:val="none"/>
          <w:lang w:val="zh-CN" w:eastAsia="zh-CN"/>
        </w:rPr>
        <w:t>2</w:t>
      </w:r>
      <w:r>
        <w:rPr>
          <w:rFonts w:hint="default" w:ascii="Times New Roman" w:hAnsi="Times New Roman" w:eastAsia="仿宋_GB2312" w:cs="Times New Roman"/>
          <w:color w:val="auto"/>
          <w:sz w:val="32"/>
          <w:szCs w:val="32"/>
          <w:highlight w:val="none"/>
        </w:rPr>
        <w:t>人。</w:t>
      </w:r>
    </w:p>
    <w:p>
      <w:pPr>
        <w:keepNext w:val="0"/>
        <w:keepLines w:val="0"/>
        <w:pageBreakBefore w:val="0"/>
        <w:kinsoku/>
        <w:wordWrap/>
        <w:overflowPunct/>
        <w:topLinePunct w:val="0"/>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bCs/>
          <w:kern w:val="0"/>
          <w:sz w:val="32"/>
          <w:szCs w:val="32"/>
        </w:rPr>
        <w:t>单位无下属预算单位，下设</w:t>
      </w:r>
      <w:r>
        <w:rPr>
          <w:rFonts w:hint="default" w:ascii="Times New Roman" w:hAnsi="Times New Roman" w:eastAsia="仿宋_GB2312" w:cs="Times New Roman"/>
          <w:sz w:val="32"/>
          <w:szCs w:val="32"/>
        </w:rPr>
        <w:t>1</w:t>
      </w:r>
      <w:r>
        <w:rPr>
          <w:rFonts w:hint="default" w:ascii="Times New Roman" w:hAnsi="Times New Roman" w:eastAsia="仿宋_GB2312" w:cs="Times New Roman"/>
          <w:bCs/>
          <w:kern w:val="0"/>
          <w:sz w:val="32"/>
          <w:szCs w:val="32"/>
        </w:rPr>
        <w:t>个处室，分别是：办公室</w:t>
      </w:r>
      <w:r>
        <w:rPr>
          <w:rFonts w:hint="default" w:ascii="Times New Roman" w:hAnsi="Times New Roman" w:eastAsia="仿宋_GB2312" w:cs="Times New Roman"/>
          <w:kern w:val="0"/>
          <w:sz w:val="32"/>
          <w:szCs w:val="32"/>
        </w:rPr>
        <w:t>。</w:t>
      </w:r>
    </w:p>
    <w:p>
      <w:pPr>
        <w:keepNext w:val="0"/>
        <w:keepLines w:val="0"/>
        <w:pageBreakBefore w:val="0"/>
        <w:widowControl w:val="0"/>
        <w:kinsoku/>
        <w:wordWrap/>
        <w:overflowPunct/>
        <w:topLinePunct w:val="0"/>
        <w:bidi w:val="0"/>
        <w:adjustRightInd/>
        <w:snapToGrid/>
        <w:spacing w:line="560" w:lineRule="exact"/>
        <w:ind w:firstLine="640" w:firstLineChars="200"/>
        <w:jc w:val="both"/>
        <w:textAlignment w:val="auto"/>
        <w:rPr>
          <w:rFonts w:hint="default" w:ascii="Times New Roman" w:hAnsi="Times New Roman" w:eastAsia="仿宋_GB2312" w:cs="Times New Roman"/>
          <w:color w:val="auto"/>
          <w:kern w:val="0"/>
          <w:sz w:val="32"/>
          <w:szCs w:val="32"/>
          <w:highlight w:val="none"/>
        </w:rPr>
        <w:sectPr>
          <w:footerReference r:id="rId3" w:type="default"/>
          <w:pgSz w:w="11906" w:h="16838"/>
          <w:pgMar w:top="1440" w:right="1800" w:bottom="1440" w:left="1800" w:header="851" w:footer="992" w:gutter="0"/>
          <w:pgNumType w:fmt="numberInDash"/>
          <w:cols w:space="720" w:num="1"/>
          <w:docGrid w:type="lines" w:linePitch="312" w:charSpace="0"/>
        </w:sectPr>
      </w:pP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outlineLvl w:val="0"/>
        <w:rPr>
          <w:rFonts w:hint="default" w:ascii="Times New Roman" w:hAnsi="Times New Roman" w:eastAsia="黑体" w:cs="Times New Roman"/>
          <w:color w:val="auto"/>
          <w:sz w:val="32"/>
          <w:szCs w:val="32"/>
          <w:highlight w:val="none"/>
        </w:rPr>
      </w:pPr>
      <w:bookmarkStart w:id="6" w:name="_Toc3092"/>
      <w:bookmarkStart w:id="7" w:name="_Toc29374"/>
      <w:r>
        <w:rPr>
          <w:rFonts w:hint="default" w:ascii="Times New Roman" w:hAnsi="Times New Roman" w:eastAsia="黑体" w:cs="Times New Roman"/>
          <w:color w:val="auto"/>
          <w:sz w:val="32"/>
          <w:szCs w:val="32"/>
          <w:highlight w:val="none"/>
        </w:rPr>
        <w:t>第</w:t>
      </w:r>
      <w:r>
        <w:rPr>
          <w:rFonts w:hint="default" w:ascii="Times New Roman" w:hAnsi="Times New Roman" w:eastAsia="黑体" w:cs="Times New Roman"/>
          <w:color w:val="auto"/>
          <w:sz w:val="32"/>
          <w:szCs w:val="32"/>
          <w:highlight w:val="none"/>
          <w:lang w:val="en-US" w:eastAsia="zh-CN"/>
        </w:rPr>
        <w:t>二</w:t>
      </w:r>
      <w:r>
        <w:rPr>
          <w:rFonts w:hint="default" w:ascii="Times New Roman" w:hAnsi="Times New Roman" w:eastAsia="黑体" w:cs="Times New Roman"/>
          <w:color w:val="auto"/>
          <w:sz w:val="32"/>
          <w:szCs w:val="32"/>
          <w:highlight w:val="none"/>
        </w:rPr>
        <w:t>部分 部门决算情况说明</w:t>
      </w:r>
      <w:bookmarkEnd w:id="6"/>
      <w:bookmarkEnd w:id="7"/>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1"/>
        <w:rPr>
          <w:rFonts w:hint="default" w:ascii="Times New Roman" w:hAnsi="Times New Roman" w:eastAsia="黑体" w:cs="Times New Roman"/>
          <w:bCs/>
          <w:color w:val="auto"/>
          <w:kern w:val="0"/>
          <w:sz w:val="32"/>
          <w:szCs w:val="32"/>
          <w:highlight w:val="none"/>
        </w:rPr>
      </w:pPr>
      <w:bookmarkStart w:id="8" w:name="_Toc12566"/>
      <w:bookmarkStart w:id="9" w:name="_Toc25314"/>
      <w:r>
        <w:rPr>
          <w:rFonts w:hint="default" w:ascii="Times New Roman" w:hAnsi="Times New Roman" w:eastAsia="黑体" w:cs="Times New Roman"/>
          <w:bCs/>
          <w:color w:val="auto"/>
          <w:kern w:val="0"/>
          <w:sz w:val="32"/>
          <w:szCs w:val="32"/>
          <w:highlight w:val="none"/>
        </w:rPr>
        <w:t>一、收入支出决算总体情况说明</w:t>
      </w:r>
      <w:bookmarkEnd w:id="8"/>
      <w:bookmarkEnd w:id="9"/>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default" w:ascii="Times New Roman" w:hAnsi="Times New Roman" w:eastAsia="仿宋_GB2312" w:cs="Times New Roman"/>
          <w:color w:val="auto"/>
          <w:spacing w:val="0"/>
          <w:sz w:val="32"/>
          <w:szCs w:val="32"/>
          <w:highlight w:val="none"/>
          <w:lang w:eastAsia="zh-CN"/>
        </w:rPr>
      </w:pPr>
      <w:r>
        <w:rPr>
          <w:rFonts w:hint="default" w:ascii="Times New Roman" w:hAnsi="Times New Roman" w:eastAsia="仿宋_GB2312" w:cs="Times New Roman"/>
          <w:color w:val="auto"/>
          <w:spacing w:val="0"/>
          <w:sz w:val="32"/>
          <w:szCs w:val="32"/>
          <w:highlight w:val="none"/>
          <w:lang w:eastAsia="zh-CN"/>
        </w:rPr>
        <w:t>2023年度</w:t>
      </w:r>
      <w:r>
        <w:rPr>
          <w:rFonts w:hint="default" w:ascii="Times New Roman" w:hAnsi="Times New Roman" w:eastAsia="仿宋_GB2312" w:cs="Times New Roman"/>
          <w:color w:val="auto"/>
          <w:spacing w:val="0"/>
          <w:sz w:val="32"/>
          <w:szCs w:val="32"/>
          <w:highlight w:val="none"/>
          <w:lang w:val="en-US" w:eastAsia="zh-CN"/>
        </w:rPr>
        <w:t>收入总计</w:t>
      </w:r>
      <w:r>
        <w:rPr>
          <w:rFonts w:hint="default" w:ascii="Times New Roman" w:hAnsi="Times New Roman" w:eastAsia="仿宋_GB2312" w:cs="Times New Roman"/>
          <w:color w:val="auto"/>
          <w:spacing w:val="0"/>
          <w:sz w:val="32"/>
          <w:szCs w:val="32"/>
          <w:highlight w:val="none"/>
          <w:lang w:eastAsia="zh-CN"/>
        </w:rPr>
        <w:t>155.99万元，</w:t>
      </w:r>
      <w:r>
        <w:rPr>
          <w:rFonts w:hint="default" w:ascii="Times New Roman" w:hAnsi="Times New Roman" w:eastAsia="仿宋_GB2312" w:cs="Times New Roman"/>
          <w:color w:val="auto"/>
          <w:spacing w:val="0"/>
          <w:sz w:val="32"/>
          <w:szCs w:val="32"/>
          <w:highlight w:val="none"/>
          <w:lang w:val="en-US" w:eastAsia="zh-CN"/>
        </w:rPr>
        <w:t>其中：本年收入合计</w:t>
      </w:r>
      <w:r>
        <w:rPr>
          <w:rFonts w:hint="default" w:ascii="Times New Roman" w:hAnsi="Times New Roman" w:eastAsia="仿宋_GB2312" w:cs="Times New Roman"/>
          <w:color w:val="auto"/>
          <w:spacing w:val="0"/>
          <w:sz w:val="32"/>
          <w:szCs w:val="32"/>
          <w:highlight w:val="none"/>
          <w:lang w:eastAsia="zh-CN"/>
        </w:rPr>
        <w:t>148.39万元，使用非财政拨款结余0.00万元，年初结转和结余7.60万元。</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default" w:ascii="Times New Roman" w:hAnsi="Times New Roman" w:eastAsia="仿宋_GB2312" w:cs="Times New Roman"/>
          <w:color w:val="auto"/>
          <w:spacing w:val="0"/>
          <w:sz w:val="32"/>
          <w:szCs w:val="32"/>
          <w:highlight w:val="none"/>
          <w:lang w:eastAsia="zh-CN"/>
        </w:rPr>
      </w:pPr>
      <w:r>
        <w:rPr>
          <w:rFonts w:hint="default" w:ascii="Times New Roman" w:hAnsi="Times New Roman" w:eastAsia="仿宋_GB2312" w:cs="Times New Roman"/>
          <w:color w:val="auto"/>
          <w:spacing w:val="0"/>
          <w:sz w:val="32"/>
          <w:szCs w:val="32"/>
          <w:highlight w:val="none"/>
          <w:lang w:val="en-US" w:eastAsia="zh-CN"/>
        </w:rPr>
        <w:t>2023</w:t>
      </w:r>
      <w:r>
        <w:rPr>
          <w:rFonts w:hint="default" w:ascii="Times New Roman" w:hAnsi="Times New Roman" w:eastAsia="仿宋_GB2312" w:cs="Times New Roman"/>
          <w:color w:val="auto"/>
          <w:spacing w:val="0"/>
          <w:sz w:val="32"/>
          <w:szCs w:val="32"/>
          <w:highlight w:val="none"/>
          <w:lang w:eastAsia="zh-CN"/>
        </w:rPr>
        <w:t>年</w:t>
      </w:r>
      <w:r>
        <w:rPr>
          <w:rFonts w:hint="default" w:ascii="Times New Roman" w:hAnsi="Times New Roman" w:eastAsia="仿宋_GB2312" w:cs="Times New Roman"/>
          <w:color w:val="auto"/>
          <w:spacing w:val="0"/>
          <w:sz w:val="32"/>
          <w:szCs w:val="32"/>
          <w:highlight w:val="none"/>
          <w:lang w:val="en-US" w:eastAsia="zh-CN"/>
        </w:rPr>
        <w:t>度</w:t>
      </w:r>
      <w:r>
        <w:rPr>
          <w:rFonts w:hint="default" w:ascii="Times New Roman" w:hAnsi="Times New Roman" w:eastAsia="仿宋_GB2312" w:cs="Times New Roman"/>
          <w:color w:val="auto"/>
          <w:spacing w:val="0"/>
          <w:sz w:val="32"/>
          <w:szCs w:val="32"/>
          <w:highlight w:val="none"/>
          <w:lang w:eastAsia="zh-CN"/>
        </w:rPr>
        <w:t>支出</w:t>
      </w:r>
      <w:r>
        <w:rPr>
          <w:rFonts w:hint="default" w:ascii="Times New Roman" w:hAnsi="Times New Roman" w:eastAsia="仿宋_GB2312" w:cs="Times New Roman"/>
          <w:color w:val="auto"/>
          <w:spacing w:val="0"/>
          <w:sz w:val="32"/>
          <w:szCs w:val="32"/>
          <w:highlight w:val="none"/>
          <w:lang w:val="en-US" w:eastAsia="zh-CN"/>
        </w:rPr>
        <w:t>总计</w:t>
      </w:r>
      <w:r>
        <w:rPr>
          <w:rFonts w:hint="default" w:ascii="Times New Roman" w:hAnsi="Times New Roman" w:eastAsia="仿宋_GB2312" w:cs="Times New Roman"/>
          <w:color w:val="auto"/>
          <w:spacing w:val="0"/>
          <w:sz w:val="32"/>
          <w:szCs w:val="32"/>
          <w:highlight w:val="none"/>
          <w:lang w:eastAsia="zh-CN"/>
        </w:rPr>
        <w:t>155.99万元，</w:t>
      </w:r>
      <w:r>
        <w:rPr>
          <w:rFonts w:hint="default" w:ascii="Times New Roman" w:hAnsi="Times New Roman" w:eastAsia="仿宋_GB2312" w:cs="Times New Roman"/>
          <w:color w:val="auto"/>
          <w:spacing w:val="0"/>
          <w:sz w:val="32"/>
          <w:szCs w:val="32"/>
          <w:highlight w:val="none"/>
          <w:lang w:val="en-US" w:eastAsia="zh-CN"/>
        </w:rPr>
        <w:t>其中：本年支出合计</w:t>
      </w:r>
      <w:r>
        <w:rPr>
          <w:rFonts w:hint="default" w:ascii="Times New Roman" w:hAnsi="Times New Roman" w:eastAsia="仿宋_GB2312" w:cs="Times New Roman"/>
          <w:color w:val="auto"/>
          <w:spacing w:val="0"/>
          <w:sz w:val="32"/>
          <w:szCs w:val="32"/>
          <w:highlight w:val="none"/>
          <w:lang w:eastAsia="zh-CN"/>
        </w:rPr>
        <w:t>149.05万元，</w:t>
      </w:r>
      <w:r>
        <w:rPr>
          <w:rFonts w:hint="default" w:ascii="Times New Roman" w:hAnsi="Times New Roman" w:eastAsia="仿宋_GB2312" w:cs="Times New Roman"/>
          <w:color w:val="auto"/>
          <w:spacing w:val="0"/>
          <w:sz w:val="32"/>
          <w:szCs w:val="32"/>
          <w:highlight w:val="none"/>
          <w:lang w:val="en-US" w:eastAsia="zh-CN"/>
        </w:rPr>
        <w:t>结余分配</w:t>
      </w:r>
      <w:r>
        <w:rPr>
          <w:rFonts w:hint="default" w:ascii="Times New Roman" w:hAnsi="Times New Roman" w:eastAsia="仿宋_GB2312" w:cs="Times New Roman"/>
          <w:color w:val="auto"/>
          <w:spacing w:val="0"/>
          <w:sz w:val="32"/>
          <w:szCs w:val="32"/>
          <w:highlight w:val="none"/>
          <w:lang w:eastAsia="zh-CN"/>
        </w:rPr>
        <w:t>0.00万元，年末结转和结余6.94万元。</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default" w:ascii="Times New Roman" w:hAnsi="Times New Roman" w:eastAsia="仿宋_GB2312" w:cs="Times New Roman"/>
          <w:color w:val="auto"/>
          <w:spacing w:val="0"/>
          <w:sz w:val="32"/>
          <w:szCs w:val="32"/>
          <w:highlight w:val="none"/>
          <w:lang w:eastAsia="zh-CN"/>
        </w:rPr>
      </w:pPr>
      <w:r>
        <w:rPr>
          <w:rFonts w:hint="default" w:ascii="Times New Roman" w:hAnsi="Times New Roman" w:eastAsia="仿宋_GB2312" w:cs="Times New Roman"/>
          <w:color w:val="auto"/>
          <w:spacing w:val="0"/>
          <w:sz w:val="32"/>
          <w:szCs w:val="32"/>
          <w:highlight w:val="none"/>
          <w:lang w:val="en-US" w:eastAsia="zh-CN"/>
        </w:rPr>
        <w:t>收入支出总体与上年相比</w:t>
      </w:r>
      <w:r>
        <w:rPr>
          <w:rFonts w:hint="default" w:ascii="Times New Roman" w:hAnsi="Times New Roman" w:eastAsia="仿宋_GB2312" w:cs="Times New Roman"/>
          <w:color w:val="auto"/>
          <w:spacing w:val="0"/>
          <w:sz w:val="32"/>
          <w:szCs w:val="32"/>
          <w:highlight w:val="none"/>
          <w:lang w:eastAsia="zh-CN"/>
        </w:rPr>
        <w:t>，</w:t>
      </w:r>
      <w:r>
        <w:rPr>
          <w:rFonts w:hint="default" w:ascii="Times New Roman" w:hAnsi="Times New Roman" w:eastAsia="仿宋_GB2312" w:cs="Times New Roman"/>
          <w:color w:val="auto"/>
          <w:spacing w:val="0"/>
          <w:sz w:val="32"/>
          <w:szCs w:val="32"/>
          <w:highlight w:val="none"/>
          <w:lang w:val="zh-CN" w:eastAsia="zh-CN"/>
        </w:rPr>
        <w:t>增加15.13万元</w:t>
      </w:r>
      <w:r>
        <w:rPr>
          <w:rFonts w:hint="default" w:ascii="Times New Roman" w:hAnsi="Times New Roman" w:eastAsia="仿宋_GB2312" w:cs="Times New Roman"/>
          <w:color w:val="auto"/>
          <w:spacing w:val="0"/>
          <w:sz w:val="32"/>
          <w:szCs w:val="32"/>
          <w:highlight w:val="none"/>
          <w:lang w:eastAsia="zh-CN"/>
        </w:rPr>
        <w:t>，增长10.74%，主要原因是：</w:t>
      </w:r>
      <w:r>
        <w:rPr>
          <w:rFonts w:hint="default" w:ascii="Times New Roman" w:hAnsi="Times New Roman" w:eastAsia="仿宋_GB2312" w:cs="Times New Roman"/>
          <w:sz w:val="32"/>
          <w:szCs w:val="32"/>
        </w:rPr>
        <w:t>在职人员</w:t>
      </w:r>
      <w:r>
        <w:rPr>
          <w:rFonts w:hint="default" w:ascii="Times New Roman" w:hAnsi="Times New Roman" w:eastAsia="仿宋_GB2312" w:cs="Times New Roman"/>
          <w:sz w:val="32"/>
          <w:szCs w:val="32"/>
          <w:lang w:eastAsia="zh-CN"/>
        </w:rPr>
        <w:t>正常</w:t>
      </w:r>
      <w:r>
        <w:rPr>
          <w:rFonts w:hint="default" w:ascii="Times New Roman" w:hAnsi="Times New Roman" w:eastAsia="仿宋_GB2312" w:cs="Times New Roman"/>
          <w:sz w:val="32"/>
          <w:szCs w:val="32"/>
        </w:rPr>
        <w:t>职级晋升，</w:t>
      </w:r>
      <w:r>
        <w:rPr>
          <w:rFonts w:hint="default" w:ascii="Times New Roman" w:hAnsi="Times New Roman" w:eastAsia="仿宋_GB2312" w:cs="Times New Roman"/>
          <w:sz w:val="32"/>
          <w:szCs w:val="32"/>
          <w:lang w:eastAsia="zh-CN"/>
        </w:rPr>
        <w:t>各项缴费基数增加</w:t>
      </w:r>
      <w:r>
        <w:rPr>
          <w:rFonts w:hint="default" w:ascii="Times New Roman" w:hAnsi="Times New Roman" w:eastAsia="仿宋_GB2312" w:cs="Times New Roman"/>
          <w:color w:val="auto"/>
          <w:spacing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1"/>
        <w:rPr>
          <w:rFonts w:hint="default" w:ascii="Times New Roman" w:hAnsi="Times New Roman" w:eastAsia="黑体" w:cs="Times New Roman"/>
          <w:bCs/>
          <w:color w:val="auto"/>
          <w:kern w:val="0"/>
          <w:sz w:val="32"/>
          <w:szCs w:val="32"/>
          <w:highlight w:val="none"/>
        </w:rPr>
      </w:pPr>
      <w:bookmarkStart w:id="10" w:name="_Toc1979"/>
      <w:bookmarkStart w:id="11" w:name="_Toc12142"/>
      <w:r>
        <w:rPr>
          <w:rFonts w:hint="default" w:ascii="Times New Roman" w:hAnsi="Times New Roman" w:eastAsia="黑体" w:cs="Times New Roman"/>
          <w:bCs/>
          <w:color w:val="auto"/>
          <w:kern w:val="0"/>
          <w:sz w:val="32"/>
          <w:szCs w:val="32"/>
          <w:highlight w:val="none"/>
          <w:lang w:eastAsia="zh-CN"/>
        </w:rPr>
        <w:t>二、</w:t>
      </w:r>
      <w:r>
        <w:rPr>
          <w:rFonts w:hint="default" w:ascii="Times New Roman" w:hAnsi="Times New Roman" w:eastAsia="黑体" w:cs="Times New Roman"/>
          <w:bCs/>
          <w:color w:val="auto"/>
          <w:kern w:val="0"/>
          <w:sz w:val="32"/>
          <w:szCs w:val="32"/>
          <w:highlight w:val="none"/>
        </w:rPr>
        <w:t>收入</w:t>
      </w:r>
      <w:r>
        <w:rPr>
          <w:rFonts w:hint="default" w:ascii="Times New Roman" w:hAnsi="Times New Roman" w:eastAsia="黑体" w:cs="Times New Roman"/>
          <w:bCs/>
          <w:color w:val="auto"/>
          <w:kern w:val="0"/>
          <w:sz w:val="32"/>
          <w:szCs w:val="32"/>
          <w:highlight w:val="none"/>
          <w:lang w:eastAsia="zh-CN"/>
        </w:rPr>
        <w:t>决算</w:t>
      </w:r>
      <w:r>
        <w:rPr>
          <w:rFonts w:hint="default" w:ascii="Times New Roman" w:hAnsi="Times New Roman" w:eastAsia="黑体" w:cs="Times New Roman"/>
          <w:bCs/>
          <w:color w:val="auto"/>
          <w:kern w:val="0"/>
          <w:sz w:val="32"/>
          <w:szCs w:val="32"/>
          <w:highlight w:val="none"/>
        </w:rPr>
        <w:t>情况说明</w:t>
      </w:r>
      <w:bookmarkEnd w:id="10"/>
      <w:bookmarkEnd w:id="11"/>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本年收入</w:t>
      </w:r>
      <w:r>
        <w:rPr>
          <w:rFonts w:hint="default" w:ascii="Times New Roman" w:hAnsi="Times New Roman" w:eastAsia="仿宋_GB2312" w:cs="Times New Roman"/>
          <w:color w:val="auto"/>
          <w:sz w:val="32"/>
          <w:szCs w:val="32"/>
          <w:highlight w:val="none"/>
          <w:lang w:eastAsia="zh-CN"/>
        </w:rPr>
        <w:t>148.39</w:t>
      </w:r>
      <w:r>
        <w:rPr>
          <w:rFonts w:hint="default" w:ascii="Times New Roman" w:hAnsi="Times New Roman" w:eastAsia="仿宋_GB2312" w:cs="Times New Roman"/>
          <w:color w:val="auto"/>
          <w:sz w:val="32"/>
          <w:szCs w:val="32"/>
          <w:highlight w:val="none"/>
        </w:rPr>
        <w:t>万元，其中：财政拨款收入</w:t>
      </w:r>
      <w:r>
        <w:rPr>
          <w:rFonts w:hint="default" w:ascii="Times New Roman" w:hAnsi="Times New Roman" w:eastAsia="仿宋_GB2312" w:cs="Times New Roman"/>
          <w:color w:val="auto"/>
          <w:sz w:val="32"/>
          <w:szCs w:val="32"/>
          <w:highlight w:val="none"/>
          <w:lang w:val="zh-CN"/>
        </w:rPr>
        <w:t>148.36</w:t>
      </w:r>
      <w:r>
        <w:rPr>
          <w:rFonts w:hint="default" w:ascii="Times New Roman" w:hAnsi="Times New Roman" w:eastAsia="仿宋_GB2312" w:cs="Times New Roman"/>
          <w:color w:val="auto"/>
          <w:sz w:val="32"/>
          <w:szCs w:val="32"/>
          <w:highlight w:val="none"/>
        </w:rPr>
        <w:t>万元，占</w:t>
      </w:r>
      <w:r>
        <w:rPr>
          <w:rFonts w:hint="default" w:ascii="Times New Roman" w:hAnsi="Times New Roman" w:eastAsia="仿宋_GB2312" w:cs="Times New Roman"/>
          <w:color w:val="auto"/>
          <w:sz w:val="32"/>
          <w:szCs w:val="32"/>
          <w:highlight w:val="none"/>
          <w:lang w:val="zh-CN"/>
        </w:rPr>
        <w:t>99.98</w:t>
      </w: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rPr>
        <w:t>；上级补助收入</w:t>
      </w:r>
      <w:r>
        <w:rPr>
          <w:rFonts w:hint="default" w:ascii="Times New Roman" w:hAnsi="Times New Roman" w:eastAsia="仿宋_GB2312" w:cs="Times New Roman"/>
          <w:color w:val="auto"/>
          <w:sz w:val="32"/>
          <w:szCs w:val="32"/>
          <w:highlight w:val="none"/>
          <w:lang w:val="zh-CN"/>
        </w:rPr>
        <w:t>0.00</w:t>
      </w:r>
      <w:r>
        <w:rPr>
          <w:rFonts w:hint="default" w:ascii="Times New Roman" w:hAnsi="Times New Roman" w:eastAsia="仿宋_GB2312" w:cs="Times New Roman"/>
          <w:color w:val="auto"/>
          <w:sz w:val="32"/>
          <w:szCs w:val="32"/>
          <w:highlight w:val="none"/>
        </w:rPr>
        <w:t>万元，占</w:t>
      </w:r>
      <w:r>
        <w:rPr>
          <w:rFonts w:hint="default" w:ascii="Times New Roman" w:hAnsi="Times New Roman" w:eastAsia="仿宋_GB2312" w:cs="Times New Roman"/>
          <w:color w:val="auto"/>
          <w:sz w:val="32"/>
          <w:szCs w:val="32"/>
          <w:highlight w:val="none"/>
          <w:lang w:val="zh-CN"/>
        </w:rPr>
        <w:t>0.00</w:t>
      </w: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rPr>
        <w:t>；事业收入</w:t>
      </w:r>
      <w:r>
        <w:rPr>
          <w:rFonts w:hint="default" w:ascii="Times New Roman" w:hAnsi="Times New Roman" w:eastAsia="仿宋_GB2312" w:cs="Times New Roman"/>
          <w:color w:val="auto"/>
          <w:sz w:val="32"/>
          <w:szCs w:val="32"/>
          <w:highlight w:val="none"/>
          <w:lang w:val="zh-CN"/>
        </w:rPr>
        <w:t>0.00</w:t>
      </w:r>
      <w:r>
        <w:rPr>
          <w:rFonts w:hint="default" w:ascii="Times New Roman" w:hAnsi="Times New Roman" w:eastAsia="仿宋_GB2312" w:cs="Times New Roman"/>
          <w:color w:val="auto"/>
          <w:sz w:val="32"/>
          <w:szCs w:val="32"/>
          <w:highlight w:val="none"/>
        </w:rPr>
        <w:t>万元，占</w:t>
      </w:r>
      <w:r>
        <w:rPr>
          <w:rFonts w:hint="default" w:ascii="Times New Roman" w:hAnsi="Times New Roman" w:eastAsia="仿宋_GB2312" w:cs="Times New Roman"/>
          <w:color w:val="auto"/>
          <w:sz w:val="32"/>
          <w:szCs w:val="32"/>
          <w:highlight w:val="none"/>
          <w:lang w:val="zh-CN"/>
        </w:rPr>
        <w:t>0.00</w:t>
      </w: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rPr>
        <w:t>；经营收入</w:t>
      </w:r>
      <w:r>
        <w:rPr>
          <w:rFonts w:hint="default" w:ascii="Times New Roman" w:hAnsi="Times New Roman" w:eastAsia="仿宋_GB2312" w:cs="Times New Roman"/>
          <w:color w:val="auto"/>
          <w:sz w:val="32"/>
          <w:szCs w:val="32"/>
          <w:highlight w:val="none"/>
          <w:lang w:val="zh-CN"/>
        </w:rPr>
        <w:t>0.00</w:t>
      </w:r>
      <w:r>
        <w:rPr>
          <w:rFonts w:hint="default" w:ascii="Times New Roman" w:hAnsi="Times New Roman" w:eastAsia="仿宋_GB2312" w:cs="Times New Roman"/>
          <w:color w:val="auto"/>
          <w:sz w:val="32"/>
          <w:szCs w:val="32"/>
          <w:highlight w:val="none"/>
        </w:rPr>
        <w:t>万元，占</w:t>
      </w:r>
      <w:r>
        <w:rPr>
          <w:rFonts w:hint="default" w:ascii="Times New Roman" w:hAnsi="Times New Roman" w:eastAsia="仿宋_GB2312" w:cs="Times New Roman"/>
          <w:color w:val="auto"/>
          <w:sz w:val="32"/>
          <w:szCs w:val="32"/>
          <w:highlight w:val="none"/>
          <w:lang w:val="zh-CN"/>
        </w:rPr>
        <w:t>0.00</w:t>
      </w: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rPr>
        <w:t>；</w:t>
      </w:r>
      <w:r>
        <w:rPr>
          <w:rFonts w:hint="default" w:ascii="Times New Roman" w:hAnsi="Times New Roman" w:eastAsia="仿宋_GB2312" w:cs="Times New Roman"/>
          <w:color w:val="auto"/>
          <w:sz w:val="32"/>
          <w:szCs w:val="32"/>
          <w:highlight w:val="none"/>
          <w:lang w:eastAsia="zh-CN"/>
        </w:rPr>
        <w:t>附属单位上缴收入</w:t>
      </w:r>
      <w:r>
        <w:rPr>
          <w:rFonts w:hint="default" w:ascii="Times New Roman" w:hAnsi="Times New Roman" w:eastAsia="仿宋_GB2312" w:cs="Times New Roman"/>
          <w:color w:val="auto"/>
          <w:sz w:val="32"/>
          <w:szCs w:val="32"/>
          <w:highlight w:val="none"/>
          <w:lang w:val="zh-CN"/>
        </w:rPr>
        <w:t>0.00</w:t>
      </w:r>
      <w:r>
        <w:rPr>
          <w:rFonts w:hint="default" w:ascii="Times New Roman" w:hAnsi="Times New Roman" w:eastAsia="仿宋_GB2312" w:cs="Times New Roman"/>
          <w:color w:val="auto"/>
          <w:sz w:val="32"/>
          <w:szCs w:val="32"/>
          <w:highlight w:val="none"/>
        </w:rPr>
        <w:t>万元，占</w:t>
      </w:r>
      <w:r>
        <w:rPr>
          <w:rFonts w:hint="default" w:ascii="Times New Roman" w:hAnsi="Times New Roman" w:eastAsia="仿宋_GB2312" w:cs="Times New Roman"/>
          <w:color w:val="auto"/>
          <w:sz w:val="32"/>
          <w:szCs w:val="32"/>
          <w:highlight w:val="none"/>
          <w:lang w:val="zh-CN"/>
        </w:rPr>
        <w:t>0.00</w:t>
      </w: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rPr>
        <w:t>；其他收入</w:t>
      </w:r>
      <w:r>
        <w:rPr>
          <w:rFonts w:hint="default" w:ascii="Times New Roman" w:hAnsi="Times New Roman" w:eastAsia="仿宋_GB2312" w:cs="Times New Roman"/>
          <w:color w:val="auto"/>
          <w:sz w:val="32"/>
          <w:szCs w:val="32"/>
          <w:highlight w:val="none"/>
          <w:lang w:val="zh-CN"/>
        </w:rPr>
        <w:t>0.03</w:t>
      </w:r>
      <w:r>
        <w:rPr>
          <w:rFonts w:hint="default" w:ascii="Times New Roman" w:hAnsi="Times New Roman" w:eastAsia="仿宋_GB2312" w:cs="Times New Roman"/>
          <w:color w:val="auto"/>
          <w:sz w:val="32"/>
          <w:szCs w:val="32"/>
          <w:highlight w:val="none"/>
        </w:rPr>
        <w:t>万元，占</w:t>
      </w:r>
      <w:r>
        <w:rPr>
          <w:rFonts w:hint="default" w:ascii="Times New Roman" w:hAnsi="Times New Roman" w:eastAsia="仿宋_GB2312" w:cs="Times New Roman"/>
          <w:color w:val="auto"/>
          <w:sz w:val="32"/>
          <w:szCs w:val="32"/>
          <w:highlight w:val="none"/>
          <w:lang w:val="zh-CN"/>
        </w:rPr>
        <w:t>0.02</w:t>
      </w: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1"/>
        <w:rPr>
          <w:rFonts w:hint="default" w:ascii="Times New Roman" w:hAnsi="Times New Roman" w:eastAsia="黑体" w:cs="Times New Roman"/>
          <w:bCs/>
          <w:color w:val="auto"/>
          <w:kern w:val="0"/>
          <w:sz w:val="32"/>
          <w:szCs w:val="32"/>
          <w:highlight w:val="none"/>
          <w:lang w:eastAsia="zh-CN"/>
        </w:rPr>
      </w:pPr>
      <w:bookmarkStart w:id="12" w:name="_Toc13201"/>
      <w:bookmarkStart w:id="13" w:name="_Toc27961"/>
      <w:r>
        <w:rPr>
          <w:rFonts w:hint="default" w:ascii="Times New Roman" w:hAnsi="Times New Roman" w:eastAsia="黑体" w:cs="Times New Roman"/>
          <w:bCs/>
          <w:color w:val="auto"/>
          <w:kern w:val="0"/>
          <w:sz w:val="32"/>
          <w:szCs w:val="32"/>
          <w:highlight w:val="none"/>
          <w:lang w:eastAsia="zh-CN"/>
        </w:rPr>
        <w:t>三、支出决算情况说明</w:t>
      </w:r>
      <w:bookmarkEnd w:id="12"/>
      <w:bookmarkEnd w:id="13"/>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default" w:ascii="Times New Roman" w:hAnsi="Times New Roman" w:eastAsia="仿宋_GB2312" w:cs="Times New Roman"/>
          <w:color w:val="auto"/>
          <w:sz w:val="30"/>
          <w:szCs w:val="30"/>
          <w:highlight w:val="none"/>
          <w:lang w:val="zh-CN" w:eastAsia="zh-CN"/>
        </w:rPr>
      </w:pPr>
      <w:r>
        <w:rPr>
          <w:rFonts w:hint="default" w:ascii="Times New Roman" w:hAnsi="Times New Roman" w:eastAsia="仿宋_GB2312" w:cs="Times New Roman"/>
          <w:color w:val="auto"/>
          <w:sz w:val="32"/>
          <w:szCs w:val="32"/>
          <w:highlight w:val="none"/>
          <w:lang w:val="zh-CN" w:eastAsia="zh-CN"/>
        </w:rPr>
        <w:t>本年支出149.05万元，其中：基本支出139.05万元，占93.29%；项目支出10.00万元，占6.71%；上缴上级支出0.00万元，占0.00%；经营支出0.00万元，占0.00%；对附属单位补助支出0.00万元，占0.00%。</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1"/>
        <w:rPr>
          <w:rFonts w:hint="default" w:ascii="Times New Roman" w:hAnsi="Times New Roman" w:eastAsia="黑体" w:cs="Times New Roman"/>
          <w:bCs/>
          <w:color w:val="auto"/>
          <w:kern w:val="0"/>
          <w:sz w:val="32"/>
          <w:szCs w:val="32"/>
          <w:highlight w:val="none"/>
          <w:lang w:eastAsia="zh-CN"/>
        </w:rPr>
      </w:pPr>
      <w:bookmarkStart w:id="14" w:name="_Toc4393"/>
      <w:bookmarkStart w:id="15" w:name="_Toc26564"/>
      <w:r>
        <w:rPr>
          <w:rFonts w:hint="default" w:ascii="Times New Roman" w:hAnsi="Times New Roman" w:eastAsia="黑体" w:cs="Times New Roman"/>
          <w:bCs/>
          <w:color w:val="auto"/>
          <w:kern w:val="0"/>
          <w:sz w:val="32"/>
          <w:szCs w:val="32"/>
          <w:highlight w:val="none"/>
          <w:lang w:eastAsia="zh-CN"/>
        </w:rPr>
        <w:t>四、财政拨款收入支出决算总体情况说明</w:t>
      </w:r>
      <w:bookmarkEnd w:id="14"/>
      <w:bookmarkEnd w:id="15"/>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default" w:ascii="Times New Roman" w:hAnsi="Times New Roman" w:eastAsia="仿宋_GB2312" w:cs="Times New Roman"/>
          <w:color w:val="auto"/>
          <w:spacing w:val="0"/>
          <w:sz w:val="32"/>
          <w:szCs w:val="32"/>
          <w:highlight w:val="none"/>
          <w:lang w:eastAsia="zh-CN"/>
        </w:rPr>
      </w:pPr>
      <w:r>
        <w:rPr>
          <w:rFonts w:hint="default" w:ascii="Times New Roman" w:hAnsi="Times New Roman" w:eastAsia="仿宋_GB2312" w:cs="Times New Roman"/>
          <w:color w:val="auto"/>
          <w:spacing w:val="0"/>
          <w:sz w:val="32"/>
          <w:szCs w:val="32"/>
          <w:highlight w:val="none"/>
          <w:lang w:eastAsia="zh-CN"/>
        </w:rPr>
        <w:t>2023年度财政拨款收入</w:t>
      </w:r>
      <w:r>
        <w:rPr>
          <w:rFonts w:hint="default" w:ascii="Times New Roman" w:hAnsi="Times New Roman" w:eastAsia="仿宋_GB2312" w:cs="Times New Roman"/>
          <w:color w:val="auto"/>
          <w:spacing w:val="0"/>
          <w:sz w:val="32"/>
          <w:szCs w:val="32"/>
          <w:highlight w:val="none"/>
          <w:lang w:val="en-US" w:eastAsia="zh-CN"/>
        </w:rPr>
        <w:t>总计</w:t>
      </w:r>
      <w:r>
        <w:rPr>
          <w:rFonts w:hint="default" w:ascii="Times New Roman" w:hAnsi="Times New Roman" w:eastAsia="仿宋_GB2312" w:cs="Times New Roman"/>
          <w:color w:val="auto"/>
          <w:spacing w:val="0"/>
          <w:sz w:val="32"/>
          <w:szCs w:val="32"/>
          <w:highlight w:val="none"/>
          <w:lang w:val="zh-CN" w:eastAsia="zh-CN"/>
        </w:rPr>
        <w:t>155.94</w:t>
      </w:r>
      <w:r>
        <w:rPr>
          <w:rFonts w:hint="default" w:ascii="Times New Roman" w:hAnsi="Times New Roman" w:eastAsia="仿宋_GB2312" w:cs="Times New Roman"/>
          <w:color w:val="auto"/>
          <w:spacing w:val="0"/>
          <w:sz w:val="32"/>
          <w:szCs w:val="32"/>
          <w:highlight w:val="none"/>
          <w:lang w:eastAsia="zh-CN"/>
        </w:rPr>
        <w:t>万元，</w:t>
      </w:r>
      <w:r>
        <w:rPr>
          <w:rFonts w:hint="default" w:ascii="Times New Roman" w:hAnsi="Times New Roman" w:eastAsia="仿宋_GB2312" w:cs="Times New Roman"/>
          <w:color w:val="auto"/>
          <w:spacing w:val="0"/>
          <w:sz w:val="32"/>
          <w:szCs w:val="32"/>
          <w:highlight w:val="none"/>
          <w:lang w:val="en-US" w:eastAsia="zh-CN"/>
        </w:rPr>
        <w:t>其中：年初财政拨款结转和结余</w:t>
      </w:r>
      <w:r>
        <w:rPr>
          <w:rFonts w:hint="default" w:ascii="Times New Roman" w:hAnsi="Times New Roman" w:eastAsia="仿宋_GB2312" w:cs="Times New Roman"/>
          <w:color w:val="auto"/>
          <w:spacing w:val="0"/>
          <w:sz w:val="32"/>
          <w:szCs w:val="32"/>
          <w:highlight w:val="none"/>
          <w:lang w:val="zh-CN" w:eastAsia="zh-CN"/>
        </w:rPr>
        <w:t>7.58</w:t>
      </w:r>
      <w:r>
        <w:rPr>
          <w:rFonts w:hint="default" w:ascii="Times New Roman" w:hAnsi="Times New Roman" w:eastAsia="仿宋_GB2312" w:cs="Times New Roman"/>
          <w:color w:val="auto"/>
          <w:spacing w:val="0"/>
          <w:sz w:val="32"/>
          <w:szCs w:val="32"/>
          <w:highlight w:val="none"/>
          <w:lang w:eastAsia="zh-CN"/>
        </w:rPr>
        <w:t>万元，</w:t>
      </w:r>
      <w:r>
        <w:rPr>
          <w:rFonts w:hint="default" w:ascii="Times New Roman" w:hAnsi="Times New Roman" w:eastAsia="仿宋_GB2312" w:cs="Times New Roman"/>
          <w:color w:val="auto"/>
          <w:spacing w:val="0"/>
          <w:sz w:val="32"/>
          <w:szCs w:val="32"/>
          <w:highlight w:val="none"/>
          <w:lang w:val="en-US" w:eastAsia="zh-CN"/>
        </w:rPr>
        <w:t>本年财政拨款收入</w:t>
      </w:r>
      <w:r>
        <w:rPr>
          <w:rFonts w:hint="default" w:ascii="Times New Roman" w:hAnsi="Times New Roman" w:eastAsia="仿宋_GB2312" w:cs="Times New Roman"/>
          <w:color w:val="auto"/>
          <w:spacing w:val="0"/>
          <w:sz w:val="32"/>
          <w:szCs w:val="32"/>
          <w:highlight w:val="none"/>
          <w:lang w:val="zh-CN" w:eastAsia="zh-CN"/>
        </w:rPr>
        <w:t>148.36</w:t>
      </w:r>
      <w:r>
        <w:rPr>
          <w:rFonts w:hint="default" w:ascii="Times New Roman" w:hAnsi="Times New Roman" w:eastAsia="仿宋_GB2312" w:cs="Times New Roman"/>
          <w:color w:val="auto"/>
          <w:spacing w:val="0"/>
          <w:sz w:val="32"/>
          <w:szCs w:val="32"/>
          <w:highlight w:val="none"/>
          <w:lang w:eastAsia="zh-CN"/>
        </w:rPr>
        <w:t>万元。财政拨款支出</w:t>
      </w:r>
      <w:r>
        <w:rPr>
          <w:rFonts w:hint="default" w:ascii="Times New Roman" w:hAnsi="Times New Roman" w:eastAsia="仿宋_GB2312" w:cs="Times New Roman"/>
          <w:color w:val="auto"/>
          <w:spacing w:val="0"/>
          <w:sz w:val="32"/>
          <w:szCs w:val="32"/>
          <w:highlight w:val="none"/>
          <w:lang w:val="en-US" w:eastAsia="zh-CN"/>
        </w:rPr>
        <w:t>总计</w:t>
      </w:r>
      <w:r>
        <w:rPr>
          <w:rFonts w:hint="default" w:ascii="Times New Roman" w:hAnsi="Times New Roman" w:eastAsia="仿宋_GB2312" w:cs="Times New Roman"/>
          <w:color w:val="auto"/>
          <w:spacing w:val="0"/>
          <w:sz w:val="32"/>
          <w:szCs w:val="32"/>
          <w:highlight w:val="none"/>
          <w:lang w:val="zh-CN" w:eastAsia="zh-CN"/>
        </w:rPr>
        <w:t>155.94</w:t>
      </w:r>
      <w:r>
        <w:rPr>
          <w:rFonts w:hint="default" w:ascii="Times New Roman" w:hAnsi="Times New Roman" w:eastAsia="仿宋_GB2312" w:cs="Times New Roman"/>
          <w:color w:val="auto"/>
          <w:spacing w:val="0"/>
          <w:sz w:val="32"/>
          <w:szCs w:val="32"/>
          <w:highlight w:val="none"/>
          <w:lang w:eastAsia="zh-CN"/>
        </w:rPr>
        <w:t>万元，</w:t>
      </w:r>
      <w:r>
        <w:rPr>
          <w:rFonts w:hint="default" w:ascii="Times New Roman" w:hAnsi="Times New Roman" w:eastAsia="仿宋_GB2312" w:cs="Times New Roman"/>
          <w:color w:val="auto"/>
          <w:spacing w:val="0"/>
          <w:sz w:val="32"/>
          <w:szCs w:val="32"/>
          <w:highlight w:val="none"/>
          <w:lang w:val="en-US" w:eastAsia="zh-CN"/>
        </w:rPr>
        <w:t>其中：年末财政拨款结转和结余</w:t>
      </w:r>
      <w:r>
        <w:rPr>
          <w:rFonts w:hint="default" w:ascii="Times New Roman" w:hAnsi="Times New Roman" w:eastAsia="仿宋_GB2312" w:cs="Times New Roman"/>
          <w:color w:val="auto"/>
          <w:spacing w:val="0"/>
          <w:sz w:val="32"/>
          <w:szCs w:val="32"/>
          <w:highlight w:val="none"/>
          <w:lang w:val="zh-CN" w:eastAsia="zh-CN"/>
        </w:rPr>
        <w:t>6.89</w:t>
      </w:r>
      <w:r>
        <w:rPr>
          <w:rFonts w:hint="default" w:ascii="Times New Roman" w:hAnsi="Times New Roman" w:eastAsia="仿宋_GB2312" w:cs="Times New Roman"/>
          <w:color w:val="auto"/>
          <w:spacing w:val="0"/>
          <w:sz w:val="32"/>
          <w:szCs w:val="32"/>
          <w:highlight w:val="none"/>
          <w:lang w:eastAsia="zh-CN"/>
        </w:rPr>
        <w:t>万元，</w:t>
      </w:r>
      <w:r>
        <w:rPr>
          <w:rFonts w:hint="default" w:ascii="Times New Roman" w:hAnsi="Times New Roman" w:eastAsia="仿宋_GB2312" w:cs="Times New Roman"/>
          <w:color w:val="auto"/>
          <w:spacing w:val="0"/>
          <w:sz w:val="32"/>
          <w:szCs w:val="32"/>
          <w:highlight w:val="none"/>
          <w:lang w:val="en-US" w:eastAsia="zh-CN"/>
        </w:rPr>
        <w:t>本年财政拨款支出</w:t>
      </w:r>
      <w:r>
        <w:rPr>
          <w:rFonts w:hint="default" w:ascii="Times New Roman" w:hAnsi="Times New Roman" w:eastAsia="仿宋_GB2312" w:cs="Times New Roman"/>
          <w:color w:val="auto"/>
          <w:spacing w:val="0"/>
          <w:sz w:val="32"/>
          <w:szCs w:val="32"/>
          <w:highlight w:val="none"/>
          <w:lang w:val="zh-CN" w:eastAsia="zh-CN"/>
        </w:rPr>
        <w:t>149.05</w:t>
      </w:r>
      <w:r>
        <w:rPr>
          <w:rFonts w:hint="default" w:ascii="Times New Roman" w:hAnsi="Times New Roman" w:eastAsia="仿宋_GB2312" w:cs="Times New Roman"/>
          <w:color w:val="auto"/>
          <w:spacing w:val="0"/>
          <w:sz w:val="32"/>
          <w:szCs w:val="32"/>
          <w:highlight w:val="none"/>
          <w:lang w:eastAsia="zh-CN"/>
        </w:rPr>
        <w:t>万元。</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default" w:ascii="Times New Roman" w:hAnsi="Times New Roman" w:eastAsia="仿宋_GB2312" w:cs="Times New Roman"/>
          <w:color w:val="auto"/>
          <w:spacing w:val="0"/>
          <w:sz w:val="32"/>
          <w:szCs w:val="32"/>
          <w:highlight w:val="none"/>
          <w:lang w:val="en-US" w:eastAsia="zh-CN"/>
        </w:rPr>
      </w:pPr>
      <w:r>
        <w:rPr>
          <w:rFonts w:hint="default" w:ascii="Times New Roman" w:hAnsi="Times New Roman" w:eastAsia="仿宋_GB2312" w:cs="Times New Roman"/>
          <w:color w:val="auto"/>
          <w:spacing w:val="0"/>
          <w:sz w:val="32"/>
          <w:szCs w:val="32"/>
          <w:highlight w:val="none"/>
          <w:lang w:eastAsia="zh-CN"/>
        </w:rPr>
        <w:t>财政拨款收入支出总体与上年相比</w:t>
      </w:r>
      <w:r>
        <w:rPr>
          <w:rFonts w:hint="default" w:ascii="Times New Roman" w:hAnsi="Times New Roman" w:eastAsia="仿宋_GB2312" w:cs="Times New Roman"/>
          <w:color w:val="auto"/>
          <w:spacing w:val="0"/>
          <w:sz w:val="32"/>
          <w:szCs w:val="32"/>
          <w:highlight w:val="none"/>
          <w:lang w:val="en-US" w:eastAsia="zh-CN"/>
        </w:rPr>
        <w:t>,</w:t>
      </w:r>
      <w:r>
        <w:rPr>
          <w:rFonts w:hint="default" w:ascii="Times New Roman" w:hAnsi="Times New Roman" w:eastAsia="仿宋_GB2312" w:cs="Times New Roman"/>
          <w:color w:val="auto"/>
          <w:spacing w:val="0"/>
          <w:sz w:val="32"/>
          <w:szCs w:val="32"/>
          <w:highlight w:val="none"/>
          <w:lang w:val="zh-CN" w:eastAsia="zh-CN"/>
        </w:rPr>
        <w:t>增加15.10万元</w:t>
      </w:r>
      <w:r>
        <w:rPr>
          <w:rFonts w:hint="default" w:ascii="Times New Roman" w:hAnsi="Times New Roman" w:eastAsia="仿宋_GB2312" w:cs="Times New Roman"/>
          <w:color w:val="auto"/>
          <w:spacing w:val="0"/>
          <w:sz w:val="32"/>
          <w:szCs w:val="32"/>
          <w:highlight w:val="none"/>
          <w:lang w:eastAsia="zh-CN"/>
        </w:rPr>
        <w:t>，</w:t>
      </w:r>
      <w:r>
        <w:rPr>
          <w:rFonts w:hint="default" w:ascii="Times New Roman" w:hAnsi="Times New Roman" w:eastAsia="仿宋_GB2312" w:cs="Times New Roman"/>
          <w:color w:val="auto"/>
          <w:spacing w:val="0"/>
          <w:sz w:val="32"/>
          <w:szCs w:val="32"/>
          <w:highlight w:val="none"/>
          <w:lang w:val="en-US" w:eastAsia="zh-CN"/>
        </w:rPr>
        <w:t>增长10.72%,</w:t>
      </w:r>
      <w:r>
        <w:rPr>
          <w:rFonts w:hint="default" w:ascii="Times New Roman" w:hAnsi="Times New Roman" w:eastAsia="仿宋_GB2312" w:cs="Times New Roman"/>
          <w:color w:val="auto"/>
          <w:spacing w:val="0"/>
          <w:sz w:val="32"/>
          <w:szCs w:val="32"/>
          <w:highlight w:val="none"/>
          <w:lang w:eastAsia="zh-CN"/>
        </w:rPr>
        <w:t>主要原因是：</w:t>
      </w:r>
      <w:r>
        <w:rPr>
          <w:rFonts w:hint="default" w:ascii="Times New Roman" w:hAnsi="Times New Roman" w:eastAsia="仿宋_GB2312" w:cs="Times New Roman"/>
          <w:sz w:val="32"/>
          <w:szCs w:val="32"/>
        </w:rPr>
        <w:t>在职人员</w:t>
      </w:r>
      <w:r>
        <w:rPr>
          <w:rFonts w:hint="default" w:ascii="Times New Roman" w:hAnsi="Times New Roman" w:eastAsia="仿宋_GB2312" w:cs="Times New Roman"/>
          <w:sz w:val="32"/>
          <w:szCs w:val="32"/>
          <w:lang w:eastAsia="zh-CN"/>
        </w:rPr>
        <w:t>正常</w:t>
      </w:r>
      <w:r>
        <w:rPr>
          <w:rFonts w:hint="default" w:ascii="Times New Roman" w:hAnsi="Times New Roman" w:eastAsia="仿宋_GB2312" w:cs="Times New Roman"/>
          <w:sz w:val="32"/>
          <w:szCs w:val="32"/>
        </w:rPr>
        <w:t>职级晋升，</w:t>
      </w:r>
      <w:r>
        <w:rPr>
          <w:rFonts w:hint="default" w:ascii="Times New Roman" w:hAnsi="Times New Roman" w:eastAsia="仿宋_GB2312" w:cs="Times New Roman"/>
          <w:sz w:val="32"/>
          <w:szCs w:val="32"/>
          <w:lang w:eastAsia="zh-CN"/>
        </w:rPr>
        <w:t>各项缴费基数增加，支出增加</w:t>
      </w:r>
      <w:r>
        <w:rPr>
          <w:rFonts w:hint="default" w:ascii="Times New Roman" w:hAnsi="Times New Roman" w:eastAsia="仿宋_GB2312" w:cs="Times New Roman"/>
          <w:color w:val="auto"/>
          <w:spacing w:val="0"/>
          <w:sz w:val="32"/>
          <w:szCs w:val="32"/>
          <w:highlight w:val="none"/>
          <w:lang w:eastAsia="zh-CN"/>
        </w:rPr>
        <w:t>。与年初预算相比，年初预算数</w:t>
      </w:r>
      <w:r>
        <w:rPr>
          <w:rFonts w:hint="default" w:ascii="Times New Roman" w:hAnsi="Times New Roman" w:eastAsia="仿宋_GB2312" w:cs="Times New Roman"/>
          <w:color w:val="auto"/>
          <w:spacing w:val="0"/>
          <w:sz w:val="32"/>
          <w:szCs w:val="32"/>
          <w:highlight w:val="none"/>
          <w:lang w:val="zh-CN" w:eastAsia="zh-CN"/>
        </w:rPr>
        <w:t>123.27</w:t>
      </w:r>
      <w:r>
        <w:rPr>
          <w:rFonts w:hint="default" w:ascii="Times New Roman" w:hAnsi="Times New Roman" w:eastAsia="仿宋_GB2312" w:cs="Times New Roman"/>
          <w:color w:val="auto"/>
          <w:spacing w:val="0"/>
          <w:sz w:val="32"/>
          <w:szCs w:val="32"/>
          <w:highlight w:val="none"/>
          <w:lang w:eastAsia="zh-CN"/>
        </w:rPr>
        <w:t>万元，决算数</w:t>
      </w:r>
      <w:r>
        <w:rPr>
          <w:rFonts w:hint="default" w:ascii="Times New Roman" w:hAnsi="Times New Roman" w:eastAsia="仿宋_GB2312" w:cs="Times New Roman"/>
          <w:color w:val="auto"/>
          <w:spacing w:val="0"/>
          <w:sz w:val="32"/>
          <w:szCs w:val="32"/>
          <w:highlight w:val="none"/>
          <w:lang w:val="zh-CN" w:eastAsia="zh-CN"/>
        </w:rPr>
        <w:t>155.94</w:t>
      </w:r>
      <w:r>
        <w:rPr>
          <w:rFonts w:hint="default" w:ascii="Times New Roman" w:hAnsi="Times New Roman" w:eastAsia="仿宋_GB2312" w:cs="Times New Roman"/>
          <w:color w:val="auto"/>
          <w:spacing w:val="0"/>
          <w:sz w:val="32"/>
          <w:szCs w:val="32"/>
          <w:highlight w:val="none"/>
          <w:lang w:eastAsia="zh-CN"/>
        </w:rPr>
        <w:t>万元，预决算差异率26.50%，主要原因是：</w:t>
      </w:r>
      <w:r>
        <w:rPr>
          <w:rFonts w:hint="default" w:ascii="Times New Roman" w:hAnsi="Times New Roman" w:eastAsia="仿宋_GB2312" w:cs="Times New Roman"/>
          <w:sz w:val="32"/>
          <w:szCs w:val="32"/>
        </w:rPr>
        <w:t>在职人员</w:t>
      </w:r>
      <w:r>
        <w:rPr>
          <w:rFonts w:hint="default" w:ascii="Times New Roman" w:hAnsi="Times New Roman" w:eastAsia="仿宋_GB2312" w:cs="Times New Roman"/>
          <w:sz w:val="32"/>
          <w:szCs w:val="32"/>
          <w:lang w:eastAsia="zh-CN"/>
        </w:rPr>
        <w:t>正常</w:t>
      </w:r>
      <w:r>
        <w:rPr>
          <w:rFonts w:hint="default" w:ascii="Times New Roman" w:hAnsi="Times New Roman" w:eastAsia="仿宋_GB2312" w:cs="Times New Roman"/>
          <w:sz w:val="32"/>
          <w:szCs w:val="32"/>
        </w:rPr>
        <w:t>职级晋升，</w:t>
      </w:r>
      <w:r>
        <w:rPr>
          <w:rFonts w:hint="default" w:ascii="Times New Roman" w:hAnsi="Times New Roman" w:eastAsia="仿宋_GB2312" w:cs="Times New Roman"/>
          <w:sz w:val="32"/>
          <w:szCs w:val="32"/>
          <w:lang w:eastAsia="zh-CN"/>
        </w:rPr>
        <w:t>各项缴费基数增加，年中追加人员经费，支出增加</w:t>
      </w:r>
      <w:r>
        <w:rPr>
          <w:rFonts w:hint="default" w:ascii="Times New Roman" w:hAnsi="Times New Roman" w:eastAsia="仿宋_GB2312" w:cs="Times New Roman"/>
          <w:color w:val="auto"/>
          <w:spacing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1"/>
        <w:rPr>
          <w:rFonts w:hint="default" w:ascii="Times New Roman" w:hAnsi="Times New Roman" w:eastAsia="黑体" w:cs="Times New Roman"/>
          <w:bCs/>
          <w:color w:val="auto"/>
          <w:kern w:val="0"/>
          <w:sz w:val="32"/>
          <w:szCs w:val="32"/>
          <w:highlight w:val="none"/>
          <w:lang w:eastAsia="zh-CN"/>
        </w:rPr>
      </w:pPr>
      <w:bookmarkStart w:id="16" w:name="_Toc20360"/>
      <w:bookmarkStart w:id="17" w:name="_Toc13833"/>
      <w:r>
        <w:rPr>
          <w:rFonts w:hint="default" w:ascii="Times New Roman" w:hAnsi="Times New Roman" w:eastAsia="黑体" w:cs="Times New Roman"/>
          <w:bCs/>
          <w:color w:val="auto"/>
          <w:kern w:val="0"/>
          <w:sz w:val="32"/>
          <w:szCs w:val="32"/>
          <w:highlight w:val="none"/>
          <w:lang w:eastAsia="zh-CN"/>
        </w:rPr>
        <w:t>五、一般公共预算财政拨款支出决算情况说明</w:t>
      </w:r>
      <w:bookmarkEnd w:id="16"/>
      <w:bookmarkEnd w:id="17"/>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2"/>
        <w:rPr>
          <w:rFonts w:hint="default" w:ascii="Times New Roman" w:hAnsi="Times New Roman" w:eastAsia="黑体" w:cs="Times New Roman"/>
          <w:color w:val="auto"/>
          <w:sz w:val="32"/>
          <w:szCs w:val="32"/>
          <w:highlight w:val="none"/>
          <w:lang w:eastAsia="zh-CN"/>
        </w:rPr>
      </w:pPr>
      <w:r>
        <w:rPr>
          <w:rFonts w:hint="default" w:ascii="Times New Roman" w:hAnsi="Times New Roman" w:eastAsia="黑体" w:cs="Times New Roman"/>
          <w:color w:val="auto"/>
          <w:sz w:val="32"/>
          <w:szCs w:val="32"/>
          <w:highlight w:val="none"/>
          <w:lang w:eastAsia="zh-CN"/>
        </w:rPr>
        <w:t>（一）一般公共预算财政拨款支出决算总体情况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default" w:ascii="Times New Roman" w:hAnsi="Times New Roman" w:eastAsia="仿宋_GB2312" w:cs="Times New Roman"/>
          <w:color w:val="auto"/>
          <w:spacing w:val="0"/>
          <w:sz w:val="32"/>
          <w:szCs w:val="32"/>
          <w:highlight w:val="none"/>
          <w:lang w:val="en-US" w:eastAsia="zh-CN"/>
        </w:rPr>
      </w:pPr>
      <w:r>
        <w:rPr>
          <w:rFonts w:hint="default" w:ascii="Times New Roman" w:hAnsi="Times New Roman" w:eastAsia="仿宋_GB2312" w:cs="Times New Roman"/>
          <w:color w:val="auto"/>
          <w:spacing w:val="0"/>
          <w:sz w:val="32"/>
          <w:szCs w:val="32"/>
          <w:highlight w:val="none"/>
          <w:lang w:eastAsia="zh-CN"/>
        </w:rPr>
        <w:t>2023年度一般公共预算财政拨款支出149.05万元，占本年支出合计的</w:t>
      </w:r>
      <w:r>
        <w:rPr>
          <w:rFonts w:hint="default" w:ascii="Times New Roman" w:hAnsi="Times New Roman" w:eastAsia="仿宋_GB2312" w:cs="Times New Roman"/>
          <w:color w:val="auto"/>
          <w:spacing w:val="0"/>
          <w:sz w:val="32"/>
          <w:szCs w:val="32"/>
          <w:highlight w:val="none"/>
          <w:lang w:val="zh-CN" w:eastAsia="zh-CN"/>
        </w:rPr>
        <w:t>100.00%</w:t>
      </w:r>
      <w:r>
        <w:rPr>
          <w:rFonts w:hint="default" w:ascii="Times New Roman" w:hAnsi="Times New Roman" w:eastAsia="仿宋_GB2312" w:cs="Times New Roman"/>
          <w:color w:val="auto"/>
          <w:spacing w:val="0"/>
          <w:sz w:val="32"/>
          <w:szCs w:val="32"/>
          <w:highlight w:val="none"/>
          <w:lang w:eastAsia="zh-CN"/>
        </w:rPr>
        <w:t>。与上年相比，</w:t>
      </w:r>
      <w:r>
        <w:rPr>
          <w:rFonts w:hint="default" w:ascii="Times New Roman" w:hAnsi="Times New Roman" w:eastAsia="仿宋_GB2312" w:cs="Times New Roman"/>
          <w:color w:val="auto"/>
          <w:spacing w:val="0"/>
          <w:sz w:val="32"/>
          <w:szCs w:val="32"/>
          <w:highlight w:val="none"/>
          <w:lang w:val="zh-CN" w:eastAsia="zh-CN"/>
        </w:rPr>
        <w:t>增加15.79万元</w:t>
      </w:r>
      <w:r>
        <w:rPr>
          <w:rFonts w:hint="default" w:ascii="Times New Roman" w:hAnsi="Times New Roman" w:eastAsia="仿宋_GB2312" w:cs="Times New Roman"/>
          <w:color w:val="auto"/>
          <w:spacing w:val="0"/>
          <w:sz w:val="32"/>
          <w:szCs w:val="32"/>
          <w:highlight w:val="none"/>
          <w:lang w:eastAsia="zh-CN"/>
        </w:rPr>
        <w:t>，</w:t>
      </w:r>
      <w:r>
        <w:rPr>
          <w:rFonts w:hint="default" w:ascii="Times New Roman" w:hAnsi="Times New Roman" w:eastAsia="仿宋_GB2312" w:cs="Times New Roman"/>
          <w:color w:val="auto"/>
          <w:spacing w:val="0"/>
          <w:sz w:val="32"/>
          <w:szCs w:val="32"/>
          <w:highlight w:val="none"/>
          <w:lang w:val="en-US" w:eastAsia="zh-CN"/>
        </w:rPr>
        <w:t>增长11.85%,</w:t>
      </w:r>
      <w:r>
        <w:rPr>
          <w:rFonts w:hint="default" w:ascii="Times New Roman" w:hAnsi="Times New Roman" w:eastAsia="仿宋_GB2312" w:cs="Times New Roman"/>
          <w:color w:val="auto"/>
          <w:spacing w:val="0"/>
          <w:sz w:val="32"/>
          <w:szCs w:val="32"/>
          <w:highlight w:val="none"/>
          <w:lang w:eastAsia="zh-CN"/>
        </w:rPr>
        <w:t>主要原因是：</w:t>
      </w:r>
      <w:r>
        <w:rPr>
          <w:rFonts w:hint="default" w:ascii="Times New Roman" w:hAnsi="Times New Roman" w:eastAsia="仿宋_GB2312" w:cs="Times New Roman"/>
          <w:sz w:val="32"/>
          <w:szCs w:val="32"/>
        </w:rPr>
        <w:t>在职人员</w:t>
      </w:r>
      <w:r>
        <w:rPr>
          <w:rFonts w:hint="default" w:ascii="Times New Roman" w:hAnsi="Times New Roman" w:eastAsia="仿宋_GB2312" w:cs="Times New Roman"/>
          <w:sz w:val="32"/>
          <w:szCs w:val="32"/>
          <w:lang w:eastAsia="zh-CN"/>
        </w:rPr>
        <w:t>正常</w:t>
      </w:r>
      <w:r>
        <w:rPr>
          <w:rFonts w:hint="default" w:ascii="Times New Roman" w:hAnsi="Times New Roman" w:eastAsia="仿宋_GB2312" w:cs="Times New Roman"/>
          <w:sz w:val="32"/>
          <w:szCs w:val="32"/>
        </w:rPr>
        <w:t>职级晋升，</w:t>
      </w:r>
      <w:r>
        <w:rPr>
          <w:rFonts w:hint="default" w:ascii="Times New Roman" w:hAnsi="Times New Roman" w:eastAsia="仿宋_GB2312" w:cs="Times New Roman"/>
          <w:sz w:val="32"/>
          <w:szCs w:val="32"/>
          <w:lang w:eastAsia="zh-CN"/>
        </w:rPr>
        <w:t>各项缴费基数增加</w:t>
      </w:r>
      <w:r>
        <w:rPr>
          <w:rFonts w:hint="default" w:ascii="Times New Roman" w:hAnsi="Times New Roman" w:eastAsia="仿宋_GB2312" w:cs="Times New Roman"/>
          <w:color w:val="auto"/>
          <w:spacing w:val="0"/>
          <w:sz w:val="32"/>
          <w:szCs w:val="32"/>
          <w:highlight w:val="none"/>
          <w:lang w:eastAsia="zh-CN"/>
        </w:rPr>
        <w:t>。与年初预算相比，年初预算数</w:t>
      </w:r>
      <w:r>
        <w:rPr>
          <w:rFonts w:hint="default" w:ascii="Times New Roman" w:hAnsi="Times New Roman" w:eastAsia="仿宋_GB2312" w:cs="Times New Roman"/>
          <w:color w:val="auto"/>
          <w:spacing w:val="0"/>
          <w:sz w:val="32"/>
          <w:szCs w:val="32"/>
          <w:highlight w:val="none"/>
          <w:lang w:val="zh-CN" w:eastAsia="zh-CN"/>
        </w:rPr>
        <w:t>123.27</w:t>
      </w:r>
      <w:r>
        <w:rPr>
          <w:rFonts w:hint="default" w:ascii="Times New Roman" w:hAnsi="Times New Roman" w:eastAsia="仿宋_GB2312" w:cs="Times New Roman"/>
          <w:color w:val="auto"/>
          <w:spacing w:val="0"/>
          <w:sz w:val="32"/>
          <w:szCs w:val="32"/>
          <w:highlight w:val="none"/>
          <w:lang w:eastAsia="zh-CN"/>
        </w:rPr>
        <w:t>万元，决算数</w:t>
      </w:r>
      <w:r>
        <w:rPr>
          <w:rFonts w:hint="default" w:ascii="Times New Roman" w:hAnsi="Times New Roman" w:eastAsia="仿宋_GB2312" w:cs="Times New Roman"/>
          <w:color w:val="auto"/>
          <w:spacing w:val="0"/>
          <w:sz w:val="32"/>
          <w:szCs w:val="32"/>
          <w:highlight w:val="none"/>
          <w:lang w:val="zh-CN" w:eastAsia="zh-CN"/>
        </w:rPr>
        <w:t>149.05</w:t>
      </w:r>
      <w:r>
        <w:rPr>
          <w:rFonts w:hint="default" w:ascii="Times New Roman" w:hAnsi="Times New Roman" w:eastAsia="仿宋_GB2312" w:cs="Times New Roman"/>
          <w:color w:val="auto"/>
          <w:spacing w:val="0"/>
          <w:sz w:val="32"/>
          <w:szCs w:val="32"/>
          <w:highlight w:val="none"/>
          <w:lang w:eastAsia="zh-CN"/>
        </w:rPr>
        <w:t>万元，预决算差异率</w:t>
      </w:r>
      <w:r>
        <w:rPr>
          <w:rFonts w:hint="default" w:ascii="Times New Roman" w:hAnsi="Times New Roman" w:eastAsia="仿宋_GB2312" w:cs="Times New Roman"/>
          <w:color w:val="auto"/>
          <w:spacing w:val="0"/>
          <w:sz w:val="32"/>
          <w:szCs w:val="32"/>
          <w:highlight w:val="none"/>
          <w:lang w:val="zh-CN" w:eastAsia="zh-CN"/>
        </w:rPr>
        <w:t>20.91%</w:t>
      </w:r>
      <w:r>
        <w:rPr>
          <w:rFonts w:hint="default" w:ascii="Times New Roman" w:hAnsi="Times New Roman" w:eastAsia="仿宋_GB2312" w:cs="Times New Roman"/>
          <w:color w:val="auto"/>
          <w:spacing w:val="0"/>
          <w:sz w:val="32"/>
          <w:szCs w:val="32"/>
          <w:highlight w:val="none"/>
          <w:lang w:eastAsia="zh-CN"/>
        </w:rPr>
        <w:t>，主要原因是：</w:t>
      </w:r>
      <w:r>
        <w:rPr>
          <w:rFonts w:hint="default" w:ascii="Times New Roman" w:hAnsi="Times New Roman" w:eastAsia="仿宋_GB2312" w:cs="Times New Roman"/>
          <w:sz w:val="32"/>
          <w:szCs w:val="32"/>
        </w:rPr>
        <w:t>本年度存在在职人员职级晋升</w:t>
      </w:r>
      <w:r>
        <w:rPr>
          <w:rFonts w:hint="default" w:ascii="Times New Roman" w:hAnsi="Times New Roman" w:eastAsia="仿宋_GB2312" w:cs="Times New Roman"/>
          <w:sz w:val="32"/>
          <w:szCs w:val="32"/>
          <w:lang w:eastAsia="zh-CN"/>
        </w:rPr>
        <w:t>、工资调标等</w:t>
      </w:r>
      <w:r>
        <w:rPr>
          <w:rFonts w:hint="default" w:ascii="Times New Roman" w:hAnsi="Times New Roman" w:eastAsia="仿宋_GB2312" w:cs="Times New Roman"/>
          <w:sz w:val="32"/>
          <w:szCs w:val="32"/>
        </w:rPr>
        <w:t>，年中追加人员经费</w:t>
      </w:r>
      <w:r>
        <w:rPr>
          <w:rFonts w:hint="default" w:ascii="Times New Roman" w:hAnsi="Times New Roman" w:eastAsia="仿宋_GB2312" w:cs="Times New Roman"/>
          <w:color w:val="auto"/>
          <w:spacing w:val="0"/>
          <w:sz w:val="32"/>
          <w:szCs w:val="32"/>
          <w:highlight w:val="none"/>
          <w:lang w:eastAsia="zh-CN"/>
        </w:rPr>
        <w:t>。</w:t>
      </w:r>
    </w:p>
    <w:p>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firstLine="640" w:firstLineChars="200"/>
        <w:jc w:val="left"/>
        <w:textAlignment w:val="auto"/>
        <w:outlineLvl w:val="2"/>
        <w:rPr>
          <w:rFonts w:hint="default" w:ascii="Times New Roman" w:hAnsi="Times New Roman" w:eastAsia="黑体" w:cs="Times New Roman"/>
          <w:color w:val="auto"/>
          <w:sz w:val="32"/>
          <w:szCs w:val="32"/>
          <w:highlight w:val="none"/>
          <w:lang w:eastAsia="zh-CN"/>
        </w:rPr>
      </w:pPr>
      <w:r>
        <w:rPr>
          <w:rFonts w:hint="default" w:ascii="Times New Roman" w:hAnsi="Times New Roman" w:eastAsia="黑体" w:cs="Times New Roman"/>
          <w:color w:val="auto"/>
          <w:sz w:val="32"/>
          <w:szCs w:val="32"/>
          <w:highlight w:val="none"/>
          <w:lang w:eastAsia="zh-CN"/>
        </w:rPr>
        <w:t>一般公共预算</w:t>
      </w:r>
      <w:r>
        <w:rPr>
          <w:rFonts w:hint="default" w:ascii="Times New Roman" w:hAnsi="Times New Roman" w:eastAsia="黑体" w:cs="Times New Roman"/>
          <w:color w:val="auto"/>
          <w:sz w:val="32"/>
          <w:szCs w:val="32"/>
          <w:highlight w:val="none"/>
          <w:lang w:val="en-US" w:eastAsia="zh-CN"/>
        </w:rPr>
        <w:t>财政拨款支出决算</w:t>
      </w:r>
      <w:r>
        <w:rPr>
          <w:rFonts w:hint="default" w:ascii="Times New Roman" w:hAnsi="Times New Roman" w:eastAsia="黑体" w:cs="Times New Roman"/>
          <w:color w:val="auto"/>
          <w:sz w:val="32"/>
          <w:szCs w:val="32"/>
          <w:highlight w:val="none"/>
          <w:lang w:eastAsia="zh-CN"/>
        </w:rPr>
        <w:t>结构情况</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jc w:val="left"/>
        <w:textAlignment w:val="auto"/>
        <w:rPr>
          <w:rFonts w:hint="default" w:ascii="Times New Roman" w:hAnsi="Times New Roman" w:eastAsia="仿宋_GB2312" w:cs="Times New Roman"/>
          <w:color w:val="auto"/>
          <w:spacing w:val="0"/>
          <w:kern w:val="2"/>
          <w:sz w:val="32"/>
          <w:szCs w:val="32"/>
          <w:highlight w:val="none"/>
          <w:lang w:val="zh-CN" w:eastAsia="zh-CN" w:bidi="ar-SA"/>
        </w:rPr>
      </w:pPr>
      <w:r>
        <w:rPr>
          <w:rFonts w:hint="default" w:ascii="Times New Roman" w:hAnsi="Times New Roman" w:eastAsia="仿宋_GB2312" w:cs="Times New Roman"/>
          <w:color w:val="auto"/>
          <w:spacing w:val="0"/>
          <w:kern w:val="2"/>
          <w:sz w:val="32"/>
          <w:szCs w:val="32"/>
          <w:lang w:val="zh-CN" w:eastAsia="zh-CN" w:bidi="ar-SA"/>
        </w:rPr>
        <w:t>1.</w:t>
      </w:r>
      <w:r>
        <w:rPr>
          <w:rFonts w:hint="default" w:ascii="Times New Roman" w:hAnsi="Times New Roman" w:eastAsia="仿宋_GB2312" w:cs="Times New Roman"/>
          <w:color w:val="auto"/>
          <w:spacing w:val="0"/>
          <w:kern w:val="2"/>
          <w:sz w:val="32"/>
          <w:szCs w:val="32"/>
          <w:highlight w:val="none"/>
          <w:lang w:val="zh-CN" w:eastAsia="zh-CN" w:bidi="ar-SA"/>
        </w:rPr>
        <w:t>社会保障和就业支出（类）14.92万元，占10.01%；</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jc w:val="left"/>
        <w:textAlignment w:val="auto"/>
        <w:rPr>
          <w:rFonts w:hint="default" w:ascii="Times New Roman" w:hAnsi="Times New Roman" w:eastAsia="仿宋_GB2312" w:cs="Times New Roman"/>
          <w:color w:val="auto"/>
          <w:spacing w:val="0"/>
          <w:kern w:val="2"/>
          <w:sz w:val="32"/>
          <w:szCs w:val="32"/>
          <w:highlight w:val="none"/>
          <w:lang w:val="zh-CN" w:eastAsia="zh-CN" w:bidi="ar-SA"/>
        </w:rPr>
      </w:pPr>
      <w:r>
        <w:rPr>
          <w:rFonts w:hint="eastAsia" w:eastAsia="仿宋_GB2312" w:cs="Times New Roman"/>
          <w:color w:val="auto"/>
          <w:spacing w:val="0"/>
          <w:kern w:val="2"/>
          <w:sz w:val="32"/>
          <w:szCs w:val="32"/>
          <w:lang w:val="en-US" w:eastAsia="zh-CN" w:bidi="ar-SA"/>
        </w:rPr>
        <w:t>2</w:t>
      </w:r>
      <w:r>
        <w:rPr>
          <w:rFonts w:hint="default" w:ascii="Times New Roman" w:hAnsi="Times New Roman" w:eastAsia="仿宋_GB2312" w:cs="Times New Roman"/>
          <w:color w:val="auto"/>
          <w:spacing w:val="0"/>
          <w:kern w:val="2"/>
          <w:sz w:val="32"/>
          <w:szCs w:val="32"/>
          <w:lang w:val="zh-CN" w:eastAsia="zh-CN" w:bidi="ar-SA"/>
        </w:rPr>
        <w:t>.</w:t>
      </w:r>
      <w:r>
        <w:rPr>
          <w:rFonts w:hint="default" w:ascii="Times New Roman" w:hAnsi="Times New Roman" w:eastAsia="仿宋_GB2312" w:cs="Times New Roman"/>
          <w:color w:val="auto"/>
          <w:spacing w:val="0"/>
          <w:kern w:val="2"/>
          <w:sz w:val="32"/>
          <w:szCs w:val="32"/>
          <w:highlight w:val="none"/>
          <w:lang w:val="zh-CN" w:eastAsia="zh-CN" w:bidi="ar-SA"/>
        </w:rPr>
        <w:t>卫生健康支出（类）10.62万元，占7.12%；</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jc w:val="left"/>
        <w:textAlignment w:val="auto"/>
        <w:rPr>
          <w:rFonts w:hint="default" w:ascii="Times New Roman" w:hAnsi="Times New Roman" w:eastAsia="仿宋_GB2312" w:cs="Times New Roman"/>
          <w:color w:val="auto"/>
          <w:spacing w:val="0"/>
          <w:kern w:val="2"/>
          <w:sz w:val="32"/>
          <w:szCs w:val="32"/>
          <w:highlight w:val="none"/>
          <w:lang w:val="zh-CN" w:eastAsia="zh-CN" w:bidi="ar-SA"/>
        </w:rPr>
      </w:pPr>
      <w:r>
        <w:rPr>
          <w:rFonts w:hint="eastAsia" w:eastAsia="仿宋_GB2312" w:cs="Times New Roman"/>
          <w:color w:val="auto"/>
          <w:spacing w:val="0"/>
          <w:kern w:val="2"/>
          <w:sz w:val="32"/>
          <w:szCs w:val="32"/>
          <w:lang w:val="en-US" w:eastAsia="zh-CN" w:bidi="ar-SA"/>
        </w:rPr>
        <w:t>3</w:t>
      </w:r>
      <w:r>
        <w:rPr>
          <w:rFonts w:hint="default" w:ascii="Times New Roman" w:hAnsi="Times New Roman" w:eastAsia="仿宋_GB2312" w:cs="Times New Roman"/>
          <w:color w:val="auto"/>
          <w:spacing w:val="0"/>
          <w:kern w:val="2"/>
          <w:sz w:val="32"/>
          <w:szCs w:val="32"/>
          <w:lang w:val="zh-CN" w:eastAsia="zh-CN" w:bidi="ar-SA"/>
        </w:rPr>
        <w:t>.</w:t>
      </w:r>
      <w:r>
        <w:rPr>
          <w:rFonts w:hint="default" w:ascii="Times New Roman" w:hAnsi="Times New Roman" w:eastAsia="仿宋_GB2312" w:cs="Times New Roman"/>
          <w:color w:val="auto"/>
          <w:spacing w:val="0"/>
          <w:kern w:val="2"/>
          <w:sz w:val="32"/>
          <w:szCs w:val="32"/>
          <w:highlight w:val="none"/>
          <w:lang w:val="zh-CN" w:eastAsia="zh-CN" w:bidi="ar-SA"/>
        </w:rPr>
        <w:t>农林水支出（类）114.80万元，占77.03%；</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jc w:val="left"/>
        <w:textAlignment w:val="auto"/>
        <w:rPr>
          <w:rFonts w:hint="default" w:ascii="Times New Roman" w:hAnsi="Times New Roman" w:eastAsia="仿宋_GB2312" w:cs="Times New Roman"/>
          <w:color w:val="auto"/>
          <w:spacing w:val="0"/>
          <w:kern w:val="2"/>
          <w:sz w:val="32"/>
          <w:szCs w:val="32"/>
          <w:highlight w:val="none"/>
          <w:lang w:val="zh-CN" w:eastAsia="zh-CN" w:bidi="ar-SA"/>
        </w:rPr>
      </w:pPr>
      <w:r>
        <w:rPr>
          <w:rFonts w:hint="eastAsia" w:eastAsia="仿宋_GB2312" w:cs="Times New Roman"/>
          <w:color w:val="auto"/>
          <w:spacing w:val="0"/>
          <w:kern w:val="2"/>
          <w:sz w:val="32"/>
          <w:szCs w:val="32"/>
          <w:lang w:val="en-US" w:eastAsia="zh-CN" w:bidi="ar-SA"/>
        </w:rPr>
        <w:t>4</w:t>
      </w:r>
      <w:r>
        <w:rPr>
          <w:rFonts w:hint="default" w:ascii="Times New Roman" w:hAnsi="Times New Roman" w:eastAsia="仿宋_GB2312" w:cs="Times New Roman"/>
          <w:color w:val="auto"/>
          <w:spacing w:val="0"/>
          <w:kern w:val="2"/>
          <w:sz w:val="32"/>
          <w:szCs w:val="32"/>
          <w:lang w:val="zh-CN" w:eastAsia="zh-CN" w:bidi="ar-SA"/>
        </w:rPr>
        <w:t>.</w:t>
      </w:r>
      <w:r>
        <w:rPr>
          <w:rFonts w:hint="default" w:ascii="Times New Roman" w:hAnsi="Times New Roman" w:eastAsia="仿宋_GB2312" w:cs="Times New Roman"/>
          <w:color w:val="auto"/>
          <w:spacing w:val="0"/>
          <w:kern w:val="2"/>
          <w:sz w:val="32"/>
          <w:szCs w:val="32"/>
          <w:highlight w:val="none"/>
          <w:lang w:val="zh-CN" w:eastAsia="zh-CN" w:bidi="ar-SA"/>
        </w:rPr>
        <w:t>住房保障支出（类）8.70万元，占5.84%；</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2"/>
        <w:rPr>
          <w:rFonts w:hint="default" w:ascii="Times New Roman" w:hAnsi="Times New Roman" w:eastAsia="黑体" w:cs="Times New Roman"/>
          <w:color w:val="auto"/>
          <w:sz w:val="32"/>
          <w:szCs w:val="32"/>
          <w:highlight w:val="none"/>
          <w:lang w:eastAsia="zh-CN"/>
        </w:rPr>
      </w:pPr>
      <w:r>
        <w:rPr>
          <w:rFonts w:hint="default" w:ascii="Times New Roman" w:hAnsi="Times New Roman" w:eastAsia="黑体" w:cs="Times New Roman"/>
          <w:color w:val="auto"/>
          <w:sz w:val="32"/>
          <w:szCs w:val="32"/>
          <w:highlight w:val="none"/>
          <w:lang w:eastAsia="zh-CN"/>
        </w:rPr>
        <w:t>（三）一般公共预算财政拨款支出决算具体情况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kern w:val="2"/>
          <w:sz w:val="32"/>
          <w:szCs w:val="32"/>
          <w:highlight w:val="none"/>
          <w:lang w:val="zh-CN" w:eastAsia="zh-CN" w:bidi="ar-SA"/>
        </w:rPr>
      </w:pPr>
      <w:r>
        <w:rPr>
          <w:rFonts w:hint="default" w:ascii="Times New Roman" w:hAnsi="Times New Roman" w:eastAsia="仿宋_GB2312" w:cs="Times New Roman"/>
          <w:color w:val="auto"/>
          <w:kern w:val="2"/>
          <w:sz w:val="32"/>
          <w:szCs w:val="32"/>
          <w:highlight w:val="none"/>
          <w:lang w:val="en-US" w:eastAsia="zh-CN" w:bidi="ar-SA"/>
        </w:rPr>
        <w:t>1.农林水支出（类）水利（款）水利行业业务管理（项）:支出决算数为10.00万元，比上年决算增加0.52万元，增长5.54%，主要原因是：</w:t>
      </w:r>
      <w:r>
        <w:rPr>
          <w:rFonts w:hint="eastAsia" w:eastAsia="仿宋_GB2312" w:cs="Times New Roman"/>
          <w:color w:val="auto"/>
          <w:kern w:val="2"/>
          <w:sz w:val="32"/>
          <w:szCs w:val="32"/>
          <w:highlight w:val="none"/>
          <w:lang w:val="en-US" w:eastAsia="zh-CN" w:bidi="ar-SA"/>
        </w:rPr>
        <w:t>支出水利行业业务管理指标按序时进度完成，没有剩余</w:t>
      </w:r>
      <w:r>
        <w:rPr>
          <w:rFonts w:hint="default" w:ascii="Times New Roman" w:hAnsi="Times New Roman"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kern w:val="2"/>
          <w:sz w:val="32"/>
          <w:szCs w:val="32"/>
          <w:highlight w:val="none"/>
          <w:lang w:val="zh-CN" w:eastAsia="zh-CN" w:bidi="ar-SA"/>
        </w:rPr>
      </w:pPr>
      <w:r>
        <w:rPr>
          <w:rFonts w:hint="default" w:ascii="Times New Roman" w:hAnsi="Times New Roman" w:eastAsia="仿宋_GB2312" w:cs="Times New Roman"/>
          <w:color w:val="auto"/>
          <w:kern w:val="2"/>
          <w:sz w:val="32"/>
          <w:szCs w:val="32"/>
          <w:highlight w:val="none"/>
          <w:lang w:val="en-US" w:eastAsia="zh-CN" w:bidi="ar-SA"/>
        </w:rPr>
        <w:t>2.卫生健康支出（类）行政事业单位医疗（款）行政单位医疗（项）:支出决算数为5.76万元，比上年决算增加0.58万元，增长11.</w:t>
      </w:r>
      <w:r>
        <w:rPr>
          <w:rFonts w:hint="eastAsia" w:eastAsia="仿宋_GB2312" w:cs="Times New Roman"/>
          <w:color w:val="auto"/>
          <w:kern w:val="2"/>
          <w:sz w:val="32"/>
          <w:szCs w:val="32"/>
          <w:highlight w:val="none"/>
          <w:lang w:val="en-US" w:eastAsia="zh-CN" w:bidi="ar-SA"/>
        </w:rPr>
        <w:t>20</w:t>
      </w:r>
      <w:r>
        <w:rPr>
          <w:rFonts w:hint="default" w:ascii="Times New Roman" w:hAnsi="Times New Roman" w:eastAsia="仿宋_GB2312" w:cs="Times New Roman"/>
          <w:color w:val="auto"/>
          <w:kern w:val="2"/>
          <w:sz w:val="32"/>
          <w:szCs w:val="32"/>
          <w:highlight w:val="none"/>
          <w:lang w:val="en-US" w:eastAsia="zh-CN" w:bidi="ar-SA"/>
        </w:rPr>
        <w:t>%，主要原因是：</w:t>
      </w:r>
      <w:r>
        <w:rPr>
          <w:rFonts w:hint="default" w:ascii="Times New Roman" w:hAnsi="Times New Roman" w:eastAsia="仿宋_GB2312" w:cs="Times New Roman"/>
          <w:sz w:val="32"/>
          <w:szCs w:val="32"/>
        </w:rPr>
        <w:t>在职人员</w:t>
      </w:r>
      <w:r>
        <w:rPr>
          <w:rFonts w:hint="default" w:ascii="Times New Roman" w:hAnsi="Times New Roman" w:eastAsia="仿宋_GB2312" w:cs="Times New Roman"/>
          <w:sz w:val="32"/>
          <w:szCs w:val="32"/>
          <w:lang w:eastAsia="zh-CN"/>
        </w:rPr>
        <w:t>正常</w:t>
      </w:r>
      <w:r>
        <w:rPr>
          <w:rFonts w:hint="default" w:ascii="Times New Roman" w:hAnsi="Times New Roman" w:eastAsia="仿宋_GB2312" w:cs="Times New Roman"/>
          <w:sz w:val="32"/>
          <w:szCs w:val="32"/>
        </w:rPr>
        <w:t>职级晋升，</w:t>
      </w:r>
      <w:r>
        <w:rPr>
          <w:rFonts w:hint="default" w:ascii="Times New Roman" w:hAnsi="Times New Roman" w:eastAsia="仿宋_GB2312" w:cs="Times New Roman"/>
          <w:sz w:val="32"/>
          <w:szCs w:val="32"/>
          <w:lang w:eastAsia="zh-CN"/>
        </w:rPr>
        <w:t>医保缴费基数增加</w:t>
      </w:r>
      <w:r>
        <w:rPr>
          <w:rFonts w:hint="default" w:ascii="Times New Roman" w:hAnsi="Times New Roman"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kern w:val="2"/>
          <w:sz w:val="32"/>
          <w:szCs w:val="32"/>
          <w:highlight w:val="none"/>
          <w:lang w:val="zh-CN" w:eastAsia="zh-CN" w:bidi="ar-SA"/>
        </w:rPr>
      </w:pPr>
      <w:r>
        <w:rPr>
          <w:rFonts w:hint="default" w:ascii="Times New Roman" w:hAnsi="Times New Roman" w:eastAsia="仿宋_GB2312" w:cs="Times New Roman"/>
          <w:color w:val="auto"/>
          <w:kern w:val="2"/>
          <w:sz w:val="32"/>
          <w:szCs w:val="32"/>
          <w:highlight w:val="none"/>
          <w:lang w:val="en-US" w:eastAsia="zh-CN" w:bidi="ar-SA"/>
        </w:rPr>
        <w:t>3.农林水支出（类）水利（款）行政运行（项）:支出决算数为104.80万元，比上年决算增加14.11万元，增长15.56%，主要原因是：</w:t>
      </w:r>
      <w:r>
        <w:rPr>
          <w:rFonts w:hint="default" w:ascii="Times New Roman" w:hAnsi="Times New Roman" w:eastAsia="仿宋_GB2312" w:cs="Times New Roman"/>
          <w:sz w:val="32"/>
          <w:szCs w:val="32"/>
        </w:rPr>
        <w:t>在职人员</w:t>
      </w:r>
      <w:r>
        <w:rPr>
          <w:rFonts w:hint="default" w:ascii="Times New Roman" w:hAnsi="Times New Roman" w:eastAsia="仿宋_GB2312" w:cs="Times New Roman"/>
          <w:sz w:val="32"/>
          <w:szCs w:val="32"/>
          <w:lang w:eastAsia="zh-CN"/>
        </w:rPr>
        <w:t>正常</w:t>
      </w:r>
      <w:r>
        <w:rPr>
          <w:rFonts w:hint="default" w:ascii="Times New Roman" w:hAnsi="Times New Roman" w:eastAsia="仿宋_GB2312" w:cs="Times New Roman"/>
          <w:sz w:val="32"/>
          <w:szCs w:val="32"/>
        </w:rPr>
        <w:t>职级晋升，</w:t>
      </w:r>
      <w:r>
        <w:rPr>
          <w:rFonts w:hint="default" w:ascii="Times New Roman" w:hAnsi="Times New Roman" w:eastAsia="仿宋_GB2312" w:cs="Times New Roman"/>
          <w:sz w:val="32"/>
          <w:szCs w:val="32"/>
          <w:lang w:eastAsia="zh-CN"/>
        </w:rPr>
        <w:t>各项缴费基数增加</w:t>
      </w:r>
      <w:r>
        <w:rPr>
          <w:rFonts w:hint="default" w:ascii="Times New Roman" w:hAnsi="Times New Roman"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kern w:val="2"/>
          <w:sz w:val="32"/>
          <w:szCs w:val="32"/>
          <w:highlight w:val="none"/>
          <w:lang w:val="zh-CN" w:eastAsia="zh-CN" w:bidi="ar-SA"/>
        </w:rPr>
      </w:pPr>
      <w:r>
        <w:rPr>
          <w:rFonts w:hint="default" w:ascii="Times New Roman" w:hAnsi="Times New Roman" w:eastAsia="仿宋_GB2312" w:cs="Times New Roman"/>
          <w:color w:val="auto"/>
          <w:kern w:val="2"/>
          <w:sz w:val="32"/>
          <w:szCs w:val="32"/>
          <w:highlight w:val="none"/>
          <w:lang w:val="en-US" w:eastAsia="zh-CN" w:bidi="ar-SA"/>
        </w:rPr>
        <w:t>4.卫生健康支出（类）行政事业单位医疗（款）公务员医疗补助（项）:支出决算数为4.86万元，比上年决算增加0.62万元，增长14.64%，主要原因是：</w:t>
      </w:r>
      <w:r>
        <w:rPr>
          <w:rFonts w:hint="default" w:ascii="Times New Roman" w:hAnsi="Times New Roman" w:eastAsia="仿宋_GB2312" w:cs="Times New Roman"/>
          <w:sz w:val="32"/>
          <w:szCs w:val="32"/>
        </w:rPr>
        <w:t>在职人员</w:t>
      </w:r>
      <w:r>
        <w:rPr>
          <w:rFonts w:hint="default" w:ascii="Times New Roman" w:hAnsi="Times New Roman" w:eastAsia="仿宋_GB2312" w:cs="Times New Roman"/>
          <w:sz w:val="32"/>
          <w:szCs w:val="32"/>
          <w:lang w:eastAsia="zh-CN"/>
        </w:rPr>
        <w:t>正常</w:t>
      </w:r>
      <w:r>
        <w:rPr>
          <w:rFonts w:hint="default" w:ascii="Times New Roman" w:hAnsi="Times New Roman" w:eastAsia="仿宋_GB2312" w:cs="Times New Roman"/>
          <w:sz w:val="32"/>
          <w:szCs w:val="32"/>
        </w:rPr>
        <w:t>职级晋升，</w:t>
      </w:r>
      <w:r>
        <w:rPr>
          <w:rFonts w:hint="default" w:ascii="Times New Roman" w:hAnsi="Times New Roman" w:eastAsia="仿宋_GB2312" w:cs="Times New Roman"/>
          <w:sz w:val="32"/>
          <w:szCs w:val="32"/>
          <w:lang w:eastAsia="zh-CN"/>
        </w:rPr>
        <w:t>医疗费缴费基数增加</w:t>
      </w:r>
      <w:r>
        <w:rPr>
          <w:rFonts w:hint="default" w:ascii="Times New Roman" w:hAnsi="Times New Roman"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kern w:val="2"/>
          <w:sz w:val="32"/>
          <w:szCs w:val="32"/>
          <w:highlight w:val="none"/>
          <w:lang w:val="zh-CN" w:eastAsia="zh-CN" w:bidi="ar-SA"/>
        </w:rPr>
      </w:pPr>
      <w:r>
        <w:rPr>
          <w:rFonts w:hint="default" w:ascii="Times New Roman" w:hAnsi="Times New Roman" w:eastAsia="仿宋_GB2312" w:cs="Times New Roman"/>
          <w:color w:val="auto"/>
          <w:kern w:val="2"/>
          <w:sz w:val="32"/>
          <w:szCs w:val="32"/>
          <w:highlight w:val="none"/>
          <w:lang w:val="en-US" w:eastAsia="zh-CN" w:bidi="ar-SA"/>
        </w:rPr>
        <w:t>5.住房保障支出（类）住房改革支出（款）住房公积金（项）:支出决算数为8.70万元，比上年决算增加0.77万元，增长9.</w:t>
      </w:r>
      <w:r>
        <w:rPr>
          <w:rFonts w:hint="eastAsia" w:eastAsia="仿宋_GB2312" w:cs="Times New Roman"/>
          <w:color w:val="auto"/>
          <w:kern w:val="2"/>
          <w:sz w:val="32"/>
          <w:szCs w:val="32"/>
          <w:highlight w:val="none"/>
          <w:lang w:val="en-US" w:eastAsia="zh-CN" w:bidi="ar-SA"/>
        </w:rPr>
        <w:t>71</w:t>
      </w:r>
      <w:r>
        <w:rPr>
          <w:rFonts w:hint="default" w:ascii="Times New Roman" w:hAnsi="Times New Roman" w:eastAsia="仿宋_GB2312" w:cs="Times New Roman"/>
          <w:color w:val="auto"/>
          <w:kern w:val="2"/>
          <w:sz w:val="32"/>
          <w:szCs w:val="32"/>
          <w:highlight w:val="none"/>
          <w:lang w:val="en-US" w:eastAsia="zh-CN" w:bidi="ar-SA"/>
        </w:rPr>
        <w:t>%，主要原因是：</w:t>
      </w:r>
      <w:r>
        <w:rPr>
          <w:rFonts w:hint="default" w:ascii="Times New Roman" w:hAnsi="Times New Roman" w:eastAsia="仿宋_GB2312" w:cs="Times New Roman"/>
          <w:sz w:val="32"/>
          <w:szCs w:val="32"/>
        </w:rPr>
        <w:t>在职人员</w:t>
      </w:r>
      <w:r>
        <w:rPr>
          <w:rFonts w:hint="default" w:ascii="Times New Roman" w:hAnsi="Times New Roman" w:eastAsia="仿宋_GB2312" w:cs="Times New Roman"/>
          <w:sz w:val="32"/>
          <w:szCs w:val="32"/>
          <w:lang w:eastAsia="zh-CN"/>
        </w:rPr>
        <w:t>正常</w:t>
      </w:r>
      <w:r>
        <w:rPr>
          <w:rFonts w:hint="default" w:ascii="Times New Roman" w:hAnsi="Times New Roman" w:eastAsia="仿宋_GB2312" w:cs="Times New Roman"/>
          <w:sz w:val="32"/>
          <w:szCs w:val="32"/>
        </w:rPr>
        <w:t>职级晋升，</w:t>
      </w:r>
      <w:r>
        <w:rPr>
          <w:rFonts w:hint="default" w:ascii="Times New Roman" w:hAnsi="Times New Roman" w:eastAsia="仿宋_GB2312" w:cs="Times New Roman"/>
          <w:sz w:val="32"/>
          <w:szCs w:val="32"/>
          <w:lang w:eastAsia="zh-CN"/>
        </w:rPr>
        <w:t>住房公积金缴费基数增加</w:t>
      </w:r>
      <w:r>
        <w:rPr>
          <w:rFonts w:hint="default" w:ascii="Times New Roman" w:hAnsi="Times New Roman"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kern w:val="2"/>
          <w:sz w:val="32"/>
          <w:szCs w:val="32"/>
          <w:highlight w:val="none"/>
          <w:lang w:val="zh-CN" w:eastAsia="zh-CN" w:bidi="ar-SA"/>
        </w:rPr>
      </w:pPr>
      <w:r>
        <w:rPr>
          <w:rFonts w:hint="default" w:ascii="Times New Roman" w:hAnsi="Times New Roman" w:eastAsia="仿宋_GB2312" w:cs="Times New Roman"/>
          <w:color w:val="auto"/>
          <w:kern w:val="2"/>
          <w:sz w:val="32"/>
          <w:szCs w:val="32"/>
          <w:highlight w:val="none"/>
          <w:lang w:val="en-US" w:eastAsia="zh-CN" w:bidi="ar-SA"/>
        </w:rPr>
        <w:t>6.社会保障和就业支出（类）行政事业单位养老支出（款）行政单位离退休（项）:支出决算数为4.51万元，比上年决算减少2.98万元，下降39.79%，主要原因是：</w:t>
      </w:r>
      <w:r>
        <w:rPr>
          <w:rFonts w:hint="eastAsia" w:eastAsia="仿宋_GB2312" w:cs="Times New Roman"/>
          <w:sz w:val="32"/>
          <w:szCs w:val="32"/>
          <w:lang w:val="en-US" w:eastAsia="zh-CN"/>
        </w:rPr>
        <w:t>退休人员医疗费已归口为社保局缴纳</w:t>
      </w:r>
      <w:r>
        <w:rPr>
          <w:rFonts w:hint="default" w:ascii="Times New Roman" w:hAnsi="Times New Roman"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kern w:val="2"/>
          <w:sz w:val="32"/>
          <w:szCs w:val="32"/>
          <w:highlight w:val="none"/>
          <w:lang w:val="zh-CN" w:eastAsia="zh-CN" w:bidi="ar-SA"/>
        </w:rPr>
      </w:pPr>
      <w:r>
        <w:rPr>
          <w:rFonts w:hint="default" w:ascii="Times New Roman" w:hAnsi="Times New Roman" w:eastAsia="仿宋_GB2312" w:cs="Times New Roman"/>
          <w:color w:val="auto"/>
          <w:kern w:val="2"/>
          <w:sz w:val="32"/>
          <w:szCs w:val="32"/>
          <w:highlight w:val="none"/>
          <w:lang w:val="en-US" w:eastAsia="zh-CN" w:bidi="ar-SA"/>
        </w:rPr>
        <w:t>7.社会保障和就业支出（类）行政事业单位养老支出（款）机关事业单位基本养老保险缴费支出（项）:支出决算数为10.41万元，比上年决算增加2.17万元，增长26.</w:t>
      </w:r>
      <w:r>
        <w:rPr>
          <w:rFonts w:hint="eastAsia" w:eastAsia="仿宋_GB2312" w:cs="Times New Roman"/>
          <w:color w:val="auto"/>
          <w:kern w:val="2"/>
          <w:sz w:val="32"/>
          <w:szCs w:val="32"/>
          <w:highlight w:val="none"/>
          <w:lang w:val="en-US" w:eastAsia="zh-CN" w:bidi="ar-SA"/>
        </w:rPr>
        <w:t>33</w:t>
      </w:r>
      <w:bookmarkStart w:id="48" w:name="_GoBack"/>
      <w:bookmarkEnd w:id="48"/>
      <w:r>
        <w:rPr>
          <w:rFonts w:hint="default" w:ascii="Times New Roman" w:hAnsi="Times New Roman" w:eastAsia="仿宋_GB2312" w:cs="Times New Roman"/>
          <w:color w:val="auto"/>
          <w:kern w:val="2"/>
          <w:sz w:val="32"/>
          <w:szCs w:val="32"/>
          <w:highlight w:val="none"/>
          <w:lang w:val="en-US" w:eastAsia="zh-CN" w:bidi="ar-SA"/>
        </w:rPr>
        <w:t>%，主要原因是：</w:t>
      </w:r>
      <w:r>
        <w:rPr>
          <w:rFonts w:hint="default" w:ascii="Times New Roman" w:hAnsi="Times New Roman" w:eastAsia="仿宋_GB2312" w:cs="Times New Roman"/>
          <w:sz w:val="32"/>
          <w:szCs w:val="32"/>
        </w:rPr>
        <w:t>在职人员</w:t>
      </w:r>
      <w:r>
        <w:rPr>
          <w:rFonts w:hint="default" w:ascii="Times New Roman" w:hAnsi="Times New Roman" w:eastAsia="仿宋_GB2312" w:cs="Times New Roman"/>
          <w:sz w:val="32"/>
          <w:szCs w:val="32"/>
          <w:lang w:eastAsia="zh-CN"/>
        </w:rPr>
        <w:t>正常</w:t>
      </w:r>
      <w:r>
        <w:rPr>
          <w:rFonts w:hint="default" w:ascii="Times New Roman" w:hAnsi="Times New Roman" w:eastAsia="仿宋_GB2312" w:cs="Times New Roman"/>
          <w:sz w:val="32"/>
          <w:szCs w:val="32"/>
        </w:rPr>
        <w:t>职级晋升，</w:t>
      </w:r>
      <w:r>
        <w:rPr>
          <w:rFonts w:hint="default" w:ascii="Times New Roman" w:hAnsi="Times New Roman" w:eastAsia="仿宋_GB2312" w:cs="Times New Roman"/>
          <w:sz w:val="32"/>
          <w:szCs w:val="32"/>
          <w:lang w:eastAsia="zh-CN"/>
        </w:rPr>
        <w:t>社保缴费基数增加</w:t>
      </w:r>
      <w:r>
        <w:rPr>
          <w:rFonts w:hint="default" w:ascii="Times New Roman" w:hAnsi="Times New Roman"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1"/>
        <w:rPr>
          <w:rFonts w:hint="default" w:ascii="Times New Roman" w:hAnsi="Times New Roman" w:eastAsia="黑体" w:cs="Times New Roman"/>
          <w:bCs/>
          <w:color w:val="auto"/>
          <w:kern w:val="0"/>
          <w:sz w:val="32"/>
          <w:szCs w:val="32"/>
          <w:highlight w:val="none"/>
          <w:lang w:eastAsia="zh-CN"/>
        </w:rPr>
      </w:pPr>
      <w:r>
        <w:rPr>
          <w:rFonts w:hint="default" w:ascii="Times New Roman" w:hAnsi="Times New Roman" w:eastAsia="黑体" w:cs="Times New Roman"/>
          <w:bCs/>
          <w:color w:val="auto"/>
          <w:kern w:val="0"/>
          <w:sz w:val="32"/>
          <w:szCs w:val="32"/>
          <w:highlight w:val="none"/>
          <w:lang w:eastAsia="zh-CN"/>
        </w:rPr>
        <w:t>六、一般公共预算财政拨款基本支出决算情况说明</w:t>
      </w:r>
    </w:p>
    <w:p>
      <w:pPr>
        <w:keepNext w:val="0"/>
        <w:keepLines w:val="0"/>
        <w:pageBreakBefore w:val="0"/>
        <w:widowControl w:val="0"/>
        <w:kinsoku/>
        <w:wordWrap/>
        <w:overflowPunct/>
        <w:topLinePunct w:val="0"/>
        <w:bidi w:val="0"/>
        <w:adjustRightInd/>
        <w:snapToGrid/>
        <w:spacing w:line="560" w:lineRule="exact"/>
        <w:ind w:firstLine="640" w:firstLineChars="200"/>
        <w:jc w:val="left"/>
        <w:textAlignment w:val="auto"/>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pacing w:val="0"/>
          <w:sz w:val="32"/>
          <w:szCs w:val="32"/>
          <w:highlight w:val="none"/>
          <w:lang w:eastAsia="zh-CN"/>
        </w:rPr>
        <w:t>2023年度</w:t>
      </w:r>
      <w:r>
        <w:rPr>
          <w:rFonts w:hint="default" w:ascii="Times New Roman" w:hAnsi="Times New Roman" w:eastAsia="仿宋_GB2312" w:cs="Times New Roman"/>
          <w:color w:val="auto"/>
          <w:sz w:val="32"/>
          <w:szCs w:val="32"/>
          <w:highlight w:val="none"/>
        </w:rPr>
        <w:t>一般公共预算财政拨款基本支出</w:t>
      </w:r>
      <w:r>
        <w:rPr>
          <w:rFonts w:hint="default" w:ascii="Times New Roman" w:hAnsi="Times New Roman" w:eastAsia="仿宋_GB2312" w:cs="Times New Roman"/>
          <w:color w:val="auto"/>
          <w:sz w:val="32"/>
          <w:szCs w:val="32"/>
          <w:highlight w:val="none"/>
          <w:lang w:eastAsia="zh-CN"/>
        </w:rPr>
        <w:t>139.05</w:t>
      </w:r>
      <w:r>
        <w:rPr>
          <w:rFonts w:hint="default" w:ascii="Times New Roman" w:hAnsi="Times New Roman" w:eastAsia="仿宋_GB2312" w:cs="Times New Roman"/>
          <w:color w:val="auto"/>
          <w:sz w:val="32"/>
          <w:szCs w:val="32"/>
          <w:highlight w:val="none"/>
        </w:rPr>
        <w:t>万元，其中：人员经费</w:t>
      </w:r>
      <w:r>
        <w:rPr>
          <w:rFonts w:hint="default" w:ascii="Times New Roman" w:hAnsi="Times New Roman" w:eastAsia="仿宋_GB2312" w:cs="Times New Roman"/>
          <w:color w:val="auto"/>
          <w:sz w:val="32"/>
          <w:szCs w:val="32"/>
          <w:highlight w:val="none"/>
          <w:lang w:eastAsia="zh-CN"/>
        </w:rPr>
        <w:t>131.14</w:t>
      </w:r>
      <w:r>
        <w:rPr>
          <w:rFonts w:hint="default" w:ascii="Times New Roman" w:hAnsi="Times New Roman" w:eastAsia="仿宋_GB2312" w:cs="Times New Roman"/>
          <w:color w:val="auto"/>
          <w:sz w:val="32"/>
          <w:szCs w:val="32"/>
          <w:highlight w:val="none"/>
        </w:rPr>
        <w:t>万元，包括：</w:t>
      </w:r>
      <w:r>
        <w:rPr>
          <w:rFonts w:hint="default" w:ascii="Times New Roman" w:hAnsi="Times New Roman" w:eastAsia="仿宋_GB2312" w:cs="Times New Roman"/>
          <w:color w:val="auto"/>
          <w:sz w:val="32"/>
          <w:szCs w:val="32"/>
          <w:highlight w:val="none"/>
          <w:lang w:val="en-US" w:eastAsia="zh-CN"/>
        </w:rPr>
        <w:t>基本工资、津贴补贴、奖金、绩效工资、机关事业单位基本养老保险缴费、职工基本医疗保险缴费、公务员医疗补助缴费、其他社会保障缴费、住房公积金、退休费、抚恤金</w:t>
      </w:r>
      <w:r>
        <w:rPr>
          <w:rFonts w:hint="eastAsia" w:eastAsia="仿宋_GB2312" w:cs="Times New Roman"/>
          <w:color w:val="auto"/>
          <w:sz w:val="32"/>
          <w:szCs w:val="32"/>
          <w:highlight w:val="none"/>
          <w:lang w:val="en-US" w:eastAsia="zh-CN"/>
        </w:rPr>
        <w:t>、</w:t>
      </w:r>
      <w:r>
        <w:rPr>
          <w:rFonts w:hint="default" w:ascii="Times New Roman" w:hAnsi="Times New Roman" w:eastAsia="仿宋_GB2312" w:cs="Times New Roman"/>
          <w:color w:val="auto"/>
          <w:sz w:val="32"/>
          <w:szCs w:val="32"/>
          <w:highlight w:val="none"/>
          <w:lang w:val="en-US" w:eastAsia="zh-CN"/>
        </w:rPr>
        <w:t>其他对个人和家庭的补助。</w:t>
      </w:r>
    </w:p>
    <w:p>
      <w:pPr>
        <w:keepNext w:val="0"/>
        <w:keepLines w:val="0"/>
        <w:pageBreakBefore w:val="0"/>
        <w:widowControl w:val="0"/>
        <w:kinsoku/>
        <w:wordWrap/>
        <w:overflowPunct/>
        <w:topLinePunct w:val="0"/>
        <w:bidi w:val="0"/>
        <w:adjustRightInd/>
        <w:snapToGrid/>
        <w:spacing w:line="560" w:lineRule="exact"/>
        <w:ind w:firstLine="640" w:firstLineChars="200"/>
        <w:jc w:val="left"/>
        <w:textAlignment w:val="auto"/>
        <w:rPr>
          <w:rFonts w:hint="default" w:ascii="Times New Roman" w:hAnsi="Times New Roman" w:eastAsia="仿宋_GB2312" w:cs="Times New Roman"/>
          <w:color w:val="auto"/>
          <w:sz w:val="32"/>
          <w:szCs w:val="32"/>
          <w:highlight w:val="red"/>
          <w:lang w:val="en-US" w:eastAsia="zh-CN"/>
        </w:rPr>
      </w:pPr>
      <w:r>
        <w:rPr>
          <w:rFonts w:hint="default" w:ascii="Times New Roman" w:hAnsi="Times New Roman" w:eastAsia="仿宋_GB2312" w:cs="Times New Roman"/>
          <w:color w:val="auto"/>
          <w:sz w:val="32"/>
          <w:szCs w:val="32"/>
          <w:highlight w:val="none"/>
        </w:rPr>
        <w:t>公用经费</w:t>
      </w:r>
      <w:r>
        <w:rPr>
          <w:rFonts w:hint="default" w:ascii="Times New Roman" w:hAnsi="Times New Roman" w:eastAsia="仿宋_GB2312" w:cs="Times New Roman"/>
          <w:color w:val="auto"/>
          <w:sz w:val="32"/>
          <w:szCs w:val="32"/>
          <w:highlight w:val="none"/>
          <w:lang w:eastAsia="zh-CN"/>
        </w:rPr>
        <w:t>7.91</w:t>
      </w:r>
      <w:r>
        <w:rPr>
          <w:rFonts w:hint="default" w:ascii="Times New Roman" w:hAnsi="Times New Roman" w:eastAsia="仿宋_GB2312" w:cs="Times New Roman"/>
          <w:color w:val="auto"/>
          <w:sz w:val="32"/>
          <w:szCs w:val="32"/>
          <w:highlight w:val="none"/>
        </w:rPr>
        <w:t>万元，包括：</w:t>
      </w:r>
      <w:r>
        <w:rPr>
          <w:rFonts w:hint="default" w:ascii="Times New Roman" w:hAnsi="Times New Roman" w:eastAsia="仿宋_GB2312" w:cs="Times New Roman"/>
          <w:color w:val="auto"/>
          <w:sz w:val="32"/>
          <w:szCs w:val="32"/>
          <w:highlight w:val="none"/>
          <w:lang w:val="en-US" w:eastAsia="zh-CN"/>
        </w:rPr>
        <w:t>办公费、差旅费、委托业务费</w:t>
      </w:r>
      <w:r>
        <w:rPr>
          <w:rFonts w:hint="eastAsia" w:eastAsia="仿宋_GB2312" w:cs="Times New Roman"/>
          <w:color w:val="auto"/>
          <w:sz w:val="32"/>
          <w:szCs w:val="32"/>
          <w:highlight w:val="none"/>
          <w:lang w:val="en-US" w:eastAsia="zh-CN"/>
        </w:rPr>
        <w:t>、</w:t>
      </w:r>
      <w:r>
        <w:rPr>
          <w:rFonts w:hint="default" w:ascii="Times New Roman" w:hAnsi="Times New Roman" w:eastAsia="仿宋_GB2312" w:cs="Times New Roman"/>
          <w:color w:val="auto"/>
          <w:sz w:val="32"/>
          <w:szCs w:val="32"/>
          <w:highlight w:val="none"/>
          <w:lang w:val="en-US" w:eastAsia="zh-CN"/>
        </w:rPr>
        <w:t>工会经费、福利费。</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1"/>
        <w:rPr>
          <w:rFonts w:hint="default" w:ascii="Times New Roman" w:hAnsi="Times New Roman" w:eastAsia="黑体" w:cs="Times New Roman"/>
          <w:bCs/>
          <w:color w:val="auto"/>
          <w:kern w:val="0"/>
          <w:sz w:val="32"/>
          <w:szCs w:val="32"/>
          <w:highlight w:val="none"/>
          <w:lang w:eastAsia="zh-CN"/>
        </w:rPr>
      </w:pPr>
      <w:r>
        <w:rPr>
          <w:rFonts w:hint="default" w:ascii="Times New Roman" w:hAnsi="Times New Roman" w:eastAsia="黑体" w:cs="Times New Roman"/>
          <w:bCs/>
          <w:color w:val="auto"/>
          <w:kern w:val="0"/>
          <w:sz w:val="32"/>
          <w:szCs w:val="32"/>
          <w:highlight w:val="none"/>
          <w:lang w:val="en-US" w:eastAsia="zh-CN"/>
        </w:rPr>
        <w:t>七、</w:t>
      </w:r>
      <w:r>
        <w:rPr>
          <w:rFonts w:hint="default" w:ascii="Times New Roman" w:hAnsi="Times New Roman" w:eastAsia="黑体" w:cs="Times New Roman"/>
          <w:bCs/>
          <w:color w:val="auto"/>
          <w:kern w:val="0"/>
          <w:sz w:val="32"/>
          <w:szCs w:val="32"/>
          <w:highlight w:val="none"/>
          <w:lang w:eastAsia="zh-CN"/>
        </w:rPr>
        <w:t>财政拨款</w:t>
      </w:r>
      <w:r>
        <w:rPr>
          <w:rFonts w:hint="default" w:ascii="Times New Roman" w:hAnsi="Times New Roman" w:eastAsia="黑体" w:cs="Times New Roman"/>
          <w:bCs/>
          <w:color w:val="auto"/>
          <w:kern w:val="0"/>
          <w:sz w:val="32"/>
          <w:szCs w:val="32"/>
          <w:highlight w:val="none"/>
        </w:rPr>
        <w:t>“三公”经费支出</w:t>
      </w:r>
      <w:r>
        <w:rPr>
          <w:rFonts w:hint="default" w:ascii="Times New Roman" w:hAnsi="Times New Roman" w:eastAsia="黑体" w:cs="Times New Roman"/>
          <w:bCs/>
          <w:color w:val="auto"/>
          <w:kern w:val="0"/>
          <w:sz w:val="32"/>
          <w:szCs w:val="32"/>
          <w:highlight w:val="none"/>
          <w:lang w:eastAsia="zh-CN"/>
        </w:rPr>
        <w:t>决算</w:t>
      </w:r>
      <w:r>
        <w:rPr>
          <w:rFonts w:hint="default" w:ascii="Times New Roman" w:hAnsi="Times New Roman" w:eastAsia="黑体" w:cs="Times New Roman"/>
          <w:bCs/>
          <w:color w:val="auto"/>
          <w:kern w:val="0"/>
          <w:sz w:val="32"/>
          <w:szCs w:val="32"/>
          <w:highlight w:val="none"/>
        </w:rPr>
        <w:t>情况</w:t>
      </w:r>
      <w:r>
        <w:rPr>
          <w:rFonts w:hint="default" w:ascii="Times New Roman" w:hAnsi="Times New Roman" w:eastAsia="黑体" w:cs="Times New Roman"/>
          <w:bCs/>
          <w:color w:val="auto"/>
          <w:kern w:val="0"/>
          <w:sz w:val="32"/>
          <w:szCs w:val="32"/>
          <w:highlight w:val="none"/>
          <w:lang w:eastAsia="zh-CN"/>
        </w:rPr>
        <w:t>说明</w:t>
      </w:r>
    </w:p>
    <w:p>
      <w:pPr>
        <w:keepNext w:val="0"/>
        <w:keepLines w:val="0"/>
        <w:pageBreakBefore w:val="0"/>
        <w:widowControl w:val="0"/>
        <w:kinsoku/>
        <w:wordWrap/>
        <w:overflowPunct/>
        <w:topLinePunct w:val="0"/>
        <w:bidi w:val="0"/>
        <w:adjustRightInd/>
        <w:snapToGrid/>
        <w:spacing w:line="560" w:lineRule="exact"/>
        <w:ind w:firstLine="640" w:firstLineChars="200"/>
        <w:jc w:val="left"/>
        <w:textAlignment w:val="auto"/>
        <w:rPr>
          <w:rFonts w:hint="default" w:ascii="Times New Roman" w:hAnsi="Times New Roman" w:eastAsia="仿宋_GB2312" w:cs="Times New Roman"/>
          <w:color w:val="auto"/>
          <w:sz w:val="32"/>
          <w:szCs w:val="32"/>
          <w:highlight w:val="none"/>
          <w:lang w:val="zh-CN" w:eastAsia="zh-CN"/>
        </w:rPr>
      </w:pPr>
      <w:r>
        <w:rPr>
          <w:rFonts w:hint="default" w:ascii="Times New Roman" w:hAnsi="Times New Roman" w:eastAsia="仿宋_GB2312" w:cs="Times New Roman"/>
          <w:color w:val="auto"/>
          <w:sz w:val="32"/>
          <w:szCs w:val="32"/>
          <w:highlight w:val="none"/>
          <w:lang w:val="zh-CN" w:eastAsia="zh-CN"/>
        </w:rPr>
        <w:t>2023年度</w:t>
      </w:r>
      <w:r>
        <w:rPr>
          <w:rFonts w:hint="default" w:ascii="Times New Roman" w:hAnsi="Times New Roman" w:eastAsia="仿宋_GB2312" w:cs="Times New Roman"/>
          <w:color w:val="auto"/>
          <w:sz w:val="32"/>
          <w:szCs w:val="32"/>
          <w:highlight w:val="none"/>
          <w:lang w:val="en-US" w:eastAsia="zh-CN"/>
        </w:rPr>
        <w:t>财政拨款</w:t>
      </w:r>
      <w:r>
        <w:rPr>
          <w:rFonts w:hint="default" w:ascii="Times New Roman" w:hAnsi="Times New Roman" w:eastAsia="仿宋_GB2312" w:cs="Times New Roman"/>
          <w:color w:val="auto"/>
          <w:sz w:val="32"/>
          <w:szCs w:val="32"/>
          <w:highlight w:val="none"/>
          <w:lang w:val="zh-CN" w:eastAsia="zh-CN"/>
        </w:rPr>
        <w:t>“三公”经费支出0.00万元，</w:t>
      </w:r>
      <w:r>
        <w:rPr>
          <w:rFonts w:hint="default" w:ascii="Times New Roman" w:hAnsi="Times New Roman" w:eastAsia="仿宋_GB2312" w:cs="Times New Roman"/>
          <w:color w:val="auto"/>
          <w:sz w:val="32"/>
          <w:szCs w:val="32"/>
          <w:highlight w:val="none"/>
          <w:lang w:val="en-US" w:eastAsia="zh-CN"/>
        </w:rPr>
        <w:t>比上年</w:t>
      </w:r>
      <w:r>
        <w:rPr>
          <w:rFonts w:hint="default" w:ascii="Times New Roman" w:hAnsi="Times New Roman" w:eastAsia="仿宋_GB2312" w:cs="Times New Roman"/>
          <w:color w:val="auto"/>
          <w:sz w:val="32"/>
          <w:szCs w:val="32"/>
          <w:highlight w:val="none"/>
          <w:lang w:val="zh-CN" w:eastAsia="zh-CN"/>
        </w:rPr>
        <w:t>增加0.00万元，</w:t>
      </w:r>
      <w:r>
        <w:rPr>
          <w:rFonts w:hint="default" w:ascii="Times New Roman" w:hAnsi="Times New Roman" w:eastAsia="仿宋_GB2312" w:cs="Times New Roman"/>
          <w:color w:val="auto"/>
          <w:spacing w:val="0"/>
          <w:sz w:val="32"/>
          <w:szCs w:val="32"/>
          <w:highlight w:val="none"/>
          <w:lang w:val="en-US" w:eastAsia="zh-CN"/>
        </w:rPr>
        <w:t>增长0.00%,</w:t>
      </w:r>
      <w:r>
        <w:rPr>
          <w:rFonts w:hint="default" w:ascii="Times New Roman" w:hAnsi="Times New Roman" w:eastAsia="仿宋_GB2312" w:cs="Times New Roman"/>
          <w:color w:val="auto"/>
          <w:sz w:val="32"/>
          <w:szCs w:val="32"/>
          <w:highlight w:val="none"/>
          <w:lang w:val="zh-CN" w:eastAsia="zh-CN"/>
        </w:rPr>
        <w:t>主要原因是：</w:t>
      </w:r>
      <w:r>
        <w:rPr>
          <w:rFonts w:hint="default" w:ascii="Times New Roman" w:hAnsi="Times New Roman" w:eastAsia="仿宋_GB2312" w:cs="Times New Roman"/>
          <w:sz w:val="32"/>
          <w:szCs w:val="32"/>
        </w:rPr>
        <w:t>我单位无财政拨款“三公”经费支出</w:t>
      </w:r>
      <w:r>
        <w:rPr>
          <w:rFonts w:hint="default" w:ascii="Times New Roman" w:hAnsi="Times New Roman" w:eastAsia="仿宋_GB2312" w:cs="Times New Roman"/>
          <w:color w:val="auto"/>
          <w:sz w:val="32"/>
          <w:szCs w:val="32"/>
          <w:highlight w:val="none"/>
          <w:lang w:val="zh-CN" w:eastAsia="zh-CN"/>
        </w:rPr>
        <w:t>。其中：因公出国（境）费支出0.00万元，占0.00%，比上年增加0.00万元，</w:t>
      </w:r>
      <w:r>
        <w:rPr>
          <w:rFonts w:hint="default" w:ascii="Times New Roman" w:hAnsi="Times New Roman" w:eastAsia="仿宋_GB2312" w:cs="Times New Roman"/>
          <w:color w:val="auto"/>
          <w:spacing w:val="0"/>
          <w:sz w:val="32"/>
          <w:szCs w:val="32"/>
          <w:highlight w:val="none"/>
          <w:lang w:val="en-US" w:eastAsia="zh-CN"/>
        </w:rPr>
        <w:t>增长0.00%,</w:t>
      </w:r>
      <w:r>
        <w:rPr>
          <w:rFonts w:hint="default" w:ascii="Times New Roman" w:hAnsi="Times New Roman" w:eastAsia="仿宋_GB2312" w:cs="Times New Roman"/>
          <w:color w:val="auto"/>
          <w:sz w:val="32"/>
          <w:szCs w:val="32"/>
          <w:highlight w:val="none"/>
          <w:lang w:val="zh-CN" w:eastAsia="zh-CN"/>
        </w:rPr>
        <w:t>主要原因是：</w:t>
      </w:r>
      <w:r>
        <w:rPr>
          <w:rFonts w:hint="default" w:ascii="Times New Roman" w:hAnsi="Times New Roman" w:eastAsia="仿宋_GB2312" w:cs="Times New Roman"/>
          <w:sz w:val="32"/>
          <w:szCs w:val="32"/>
        </w:rPr>
        <w:t>我单位无</w:t>
      </w:r>
      <w:r>
        <w:rPr>
          <w:rFonts w:hint="default" w:ascii="Times New Roman" w:hAnsi="Times New Roman" w:eastAsia="仿宋_GB2312" w:cs="Times New Roman"/>
          <w:color w:val="auto"/>
          <w:sz w:val="32"/>
          <w:szCs w:val="32"/>
          <w:highlight w:val="none"/>
          <w:lang w:val="zh-CN" w:eastAsia="zh-CN"/>
        </w:rPr>
        <w:t>因公出国（境）费；公务用车购置及运行维护费支出0.00万元，占0.00%，比上年增加0.00万元，</w:t>
      </w:r>
      <w:r>
        <w:rPr>
          <w:rFonts w:hint="default" w:ascii="Times New Roman" w:hAnsi="Times New Roman" w:eastAsia="仿宋_GB2312" w:cs="Times New Roman"/>
          <w:color w:val="auto"/>
          <w:spacing w:val="0"/>
          <w:sz w:val="32"/>
          <w:szCs w:val="32"/>
          <w:highlight w:val="none"/>
          <w:lang w:val="en-US" w:eastAsia="zh-CN"/>
        </w:rPr>
        <w:t>增长0.00%,</w:t>
      </w:r>
      <w:r>
        <w:rPr>
          <w:rFonts w:hint="default" w:ascii="Times New Roman" w:hAnsi="Times New Roman" w:eastAsia="仿宋_GB2312" w:cs="Times New Roman"/>
          <w:color w:val="auto"/>
          <w:sz w:val="32"/>
          <w:szCs w:val="32"/>
          <w:highlight w:val="none"/>
          <w:lang w:val="zh-CN" w:eastAsia="zh-CN"/>
        </w:rPr>
        <w:t>主要原因是：</w:t>
      </w:r>
      <w:r>
        <w:rPr>
          <w:rFonts w:hint="default" w:ascii="Times New Roman" w:hAnsi="Times New Roman" w:eastAsia="仿宋_GB2312" w:cs="Times New Roman"/>
          <w:sz w:val="32"/>
          <w:szCs w:val="32"/>
        </w:rPr>
        <w:t>我单位无</w:t>
      </w:r>
      <w:r>
        <w:rPr>
          <w:rFonts w:hint="default" w:ascii="Times New Roman" w:hAnsi="Times New Roman" w:eastAsia="仿宋_GB2312" w:cs="Times New Roman"/>
          <w:color w:val="auto"/>
          <w:sz w:val="32"/>
          <w:szCs w:val="32"/>
          <w:highlight w:val="none"/>
          <w:lang w:val="zh-CN" w:eastAsia="zh-CN"/>
        </w:rPr>
        <w:t>公务用车购置及运行维护费；公务接待费支出0.00万元，占0.00%，比上年增加0.00万元，</w:t>
      </w:r>
      <w:r>
        <w:rPr>
          <w:rFonts w:hint="default" w:ascii="Times New Roman" w:hAnsi="Times New Roman" w:eastAsia="仿宋_GB2312" w:cs="Times New Roman"/>
          <w:color w:val="auto"/>
          <w:spacing w:val="0"/>
          <w:sz w:val="32"/>
          <w:szCs w:val="32"/>
          <w:highlight w:val="none"/>
          <w:lang w:val="en-US" w:eastAsia="zh-CN"/>
        </w:rPr>
        <w:t>增长0.00%,</w:t>
      </w:r>
      <w:r>
        <w:rPr>
          <w:rFonts w:hint="default" w:ascii="Times New Roman" w:hAnsi="Times New Roman" w:eastAsia="仿宋_GB2312" w:cs="Times New Roman"/>
          <w:color w:val="auto"/>
          <w:sz w:val="32"/>
          <w:szCs w:val="32"/>
          <w:highlight w:val="none"/>
          <w:lang w:val="zh-CN" w:eastAsia="zh-CN"/>
        </w:rPr>
        <w:t>主要原因是：</w:t>
      </w:r>
      <w:r>
        <w:rPr>
          <w:rFonts w:hint="default" w:ascii="Times New Roman" w:hAnsi="Times New Roman" w:eastAsia="仿宋_GB2312" w:cs="Times New Roman"/>
          <w:sz w:val="32"/>
          <w:szCs w:val="32"/>
        </w:rPr>
        <w:t>我单位无</w:t>
      </w:r>
      <w:r>
        <w:rPr>
          <w:rFonts w:hint="default" w:ascii="Times New Roman" w:hAnsi="Times New Roman" w:eastAsia="仿宋_GB2312" w:cs="Times New Roman"/>
          <w:color w:val="auto"/>
          <w:sz w:val="32"/>
          <w:szCs w:val="32"/>
          <w:highlight w:val="none"/>
          <w:lang w:val="zh-CN" w:eastAsia="zh-CN"/>
        </w:rPr>
        <w:t>公务接待费。</w:t>
      </w:r>
    </w:p>
    <w:p>
      <w:pPr>
        <w:keepNext w:val="0"/>
        <w:keepLines w:val="0"/>
        <w:pageBreakBefore w:val="0"/>
        <w:widowControl w:val="0"/>
        <w:kinsoku/>
        <w:wordWrap/>
        <w:overflowPunct/>
        <w:topLinePunct w:val="0"/>
        <w:bidi w:val="0"/>
        <w:adjustRightInd/>
        <w:snapToGrid/>
        <w:spacing w:line="560" w:lineRule="exact"/>
        <w:ind w:firstLine="640" w:firstLineChars="200"/>
        <w:jc w:val="left"/>
        <w:textAlignment w:val="auto"/>
        <w:rPr>
          <w:rFonts w:hint="default" w:ascii="Times New Roman" w:hAnsi="Times New Roman" w:eastAsia="仿宋_GB2312" w:cs="Times New Roman"/>
          <w:color w:val="auto"/>
          <w:sz w:val="32"/>
          <w:szCs w:val="32"/>
          <w:highlight w:val="none"/>
          <w:lang w:val="zh-CN" w:eastAsia="zh-CN"/>
        </w:rPr>
      </w:pPr>
      <w:r>
        <w:rPr>
          <w:rFonts w:hint="default" w:ascii="Times New Roman" w:hAnsi="Times New Roman" w:eastAsia="仿宋_GB2312" w:cs="Times New Roman"/>
          <w:color w:val="auto"/>
          <w:sz w:val="32"/>
          <w:szCs w:val="32"/>
          <w:highlight w:val="none"/>
          <w:lang w:val="zh-CN" w:eastAsia="zh-CN"/>
        </w:rPr>
        <w:t>具体情况如下：</w:t>
      </w:r>
    </w:p>
    <w:p>
      <w:pPr>
        <w:keepNext w:val="0"/>
        <w:keepLines w:val="0"/>
        <w:pageBreakBefore w:val="0"/>
        <w:widowControl w:val="0"/>
        <w:kinsoku/>
        <w:wordWrap/>
        <w:overflowPunct/>
        <w:topLinePunct w:val="0"/>
        <w:bidi w:val="0"/>
        <w:adjustRightInd/>
        <w:snapToGrid/>
        <w:spacing w:line="560" w:lineRule="exact"/>
        <w:ind w:firstLine="640" w:firstLineChars="200"/>
        <w:jc w:val="left"/>
        <w:textAlignment w:val="auto"/>
        <w:rPr>
          <w:rFonts w:hint="default" w:ascii="Times New Roman" w:hAnsi="Times New Roman" w:eastAsia="仿宋_GB2312" w:cs="Times New Roman"/>
          <w:color w:val="auto"/>
          <w:sz w:val="32"/>
          <w:szCs w:val="32"/>
          <w:highlight w:val="none"/>
          <w:lang w:val="zh-CN" w:eastAsia="zh-CN"/>
        </w:rPr>
      </w:pPr>
      <w:r>
        <w:rPr>
          <w:rFonts w:hint="default" w:ascii="Times New Roman" w:hAnsi="Times New Roman" w:eastAsia="仿宋_GB2312" w:cs="Times New Roman"/>
          <w:color w:val="auto"/>
          <w:sz w:val="32"/>
          <w:szCs w:val="32"/>
          <w:highlight w:val="none"/>
          <w:lang w:val="zh-CN" w:eastAsia="zh-CN"/>
        </w:rPr>
        <w:t>因公出国（境）费支出0.00万元，开支内容包括</w:t>
      </w:r>
      <w:r>
        <w:rPr>
          <w:rFonts w:hint="default" w:ascii="Times New Roman" w:hAnsi="Times New Roman" w:eastAsia="仿宋_GB2312" w:cs="Times New Roman"/>
          <w:sz w:val="32"/>
          <w:szCs w:val="32"/>
        </w:rPr>
        <w:t>我单位无</w:t>
      </w:r>
      <w:r>
        <w:rPr>
          <w:rFonts w:hint="default" w:ascii="Times New Roman" w:hAnsi="Times New Roman" w:eastAsia="仿宋_GB2312" w:cs="Times New Roman"/>
          <w:color w:val="auto"/>
          <w:sz w:val="32"/>
          <w:szCs w:val="32"/>
          <w:highlight w:val="none"/>
          <w:lang w:val="zh-CN" w:eastAsia="zh-CN"/>
        </w:rPr>
        <w:t>因公出国（境）费。单位全年安排的因公出国（境）团组0个，因公出国（境）0人次。</w:t>
      </w:r>
    </w:p>
    <w:p>
      <w:pPr>
        <w:keepNext w:val="0"/>
        <w:keepLines w:val="0"/>
        <w:pageBreakBefore w:val="0"/>
        <w:widowControl w:val="0"/>
        <w:kinsoku/>
        <w:wordWrap/>
        <w:overflowPunct/>
        <w:topLinePunct w:val="0"/>
        <w:bidi w:val="0"/>
        <w:adjustRightInd/>
        <w:snapToGrid/>
        <w:spacing w:line="560" w:lineRule="exact"/>
        <w:ind w:firstLine="640" w:firstLineChars="200"/>
        <w:jc w:val="left"/>
        <w:textAlignment w:val="auto"/>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zh-CN" w:eastAsia="zh-CN"/>
        </w:rPr>
        <w:t>公务用车购置及运行维护费0.00万元，其中：公务用车购置费0.00万元，公务用车运行维护费0.00万元。公务用车运行维护费开支内容包括</w:t>
      </w:r>
      <w:r>
        <w:rPr>
          <w:rFonts w:hint="default" w:ascii="Times New Roman" w:hAnsi="Times New Roman" w:eastAsia="仿宋_GB2312" w:cs="Times New Roman"/>
          <w:sz w:val="32"/>
          <w:szCs w:val="32"/>
        </w:rPr>
        <w:t>我单位无</w:t>
      </w:r>
      <w:r>
        <w:rPr>
          <w:rFonts w:hint="default" w:ascii="Times New Roman" w:hAnsi="Times New Roman" w:eastAsia="仿宋_GB2312" w:cs="Times New Roman"/>
          <w:color w:val="auto"/>
          <w:sz w:val="32"/>
          <w:szCs w:val="32"/>
          <w:highlight w:val="none"/>
          <w:lang w:val="zh-CN" w:eastAsia="zh-CN"/>
        </w:rPr>
        <w:t>公务用车购置及运行维护费。公务用车购置数0辆，公务用车保有量0辆。国有资产占用情况</w:t>
      </w:r>
      <w:r>
        <w:rPr>
          <w:rFonts w:hint="default" w:ascii="Times New Roman" w:hAnsi="Times New Roman" w:eastAsia="仿宋_GB2312" w:cs="Times New Roman"/>
          <w:color w:val="auto"/>
          <w:sz w:val="32"/>
          <w:szCs w:val="32"/>
          <w:highlight w:val="none"/>
          <w:lang w:val="en-US" w:eastAsia="zh-CN"/>
        </w:rPr>
        <w:t>中固定资产车辆</w:t>
      </w:r>
      <w:r>
        <w:rPr>
          <w:rFonts w:hint="default" w:ascii="Times New Roman" w:hAnsi="Times New Roman" w:eastAsia="仿宋_GB2312" w:cs="Times New Roman"/>
          <w:color w:val="auto"/>
          <w:sz w:val="32"/>
          <w:szCs w:val="32"/>
          <w:highlight w:val="none"/>
          <w:lang w:val="zh-CN" w:eastAsia="zh-CN"/>
        </w:rPr>
        <w:t>0辆，</w:t>
      </w:r>
      <w:r>
        <w:rPr>
          <w:rFonts w:hint="default" w:ascii="Times New Roman" w:hAnsi="Times New Roman" w:eastAsia="仿宋_GB2312" w:cs="Times New Roman"/>
          <w:color w:val="auto"/>
          <w:sz w:val="32"/>
          <w:szCs w:val="32"/>
          <w:highlight w:val="none"/>
          <w:lang w:val="en-US" w:eastAsia="zh-CN"/>
        </w:rPr>
        <w:t>与</w:t>
      </w:r>
      <w:r>
        <w:rPr>
          <w:rFonts w:hint="default" w:ascii="Times New Roman" w:hAnsi="Times New Roman" w:eastAsia="仿宋_GB2312" w:cs="Times New Roman"/>
          <w:color w:val="auto"/>
          <w:sz w:val="32"/>
          <w:szCs w:val="32"/>
          <w:highlight w:val="none"/>
          <w:lang w:val="zh-CN" w:eastAsia="zh-CN"/>
        </w:rPr>
        <w:t>公务用车</w:t>
      </w:r>
      <w:r>
        <w:rPr>
          <w:rFonts w:hint="default" w:ascii="Times New Roman" w:hAnsi="Times New Roman" w:eastAsia="仿宋_GB2312" w:cs="Times New Roman"/>
          <w:color w:val="auto"/>
          <w:sz w:val="32"/>
          <w:szCs w:val="32"/>
          <w:highlight w:val="none"/>
          <w:lang w:val="en-US" w:eastAsia="zh-CN"/>
        </w:rPr>
        <w:t>保有量差异</w:t>
      </w:r>
      <w:r>
        <w:rPr>
          <w:rFonts w:hint="default" w:ascii="Times New Roman" w:hAnsi="Times New Roman" w:eastAsia="仿宋_GB2312" w:cs="Times New Roman"/>
          <w:color w:val="auto"/>
          <w:sz w:val="32"/>
          <w:szCs w:val="32"/>
          <w:highlight w:val="none"/>
          <w:lang w:val="zh-CN" w:eastAsia="zh-CN"/>
        </w:rPr>
        <w:t>原因是：我单位国有资产占用情况</w:t>
      </w:r>
      <w:r>
        <w:rPr>
          <w:rFonts w:hint="default" w:ascii="Times New Roman" w:hAnsi="Times New Roman" w:eastAsia="仿宋_GB2312" w:cs="Times New Roman"/>
          <w:color w:val="auto"/>
          <w:sz w:val="32"/>
          <w:szCs w:val="32"/>
          <w:highlight w:val="none"/>
          <w:lang w:val="en-US" w:eastAsia="zh-CN"/>
        </w:rPr>
        <w:t>中固定资产车辆与</w:t>
      </w:r>
      <w:r>
        <w:rPr>
          <w:rFonts w:hint="default" w:ascii="Times New Roman" w:hAnsi="Times New Roman" w:eastAsia="仿宋_GB2312" w:cs="Times New Roman"/>
          <w:color w:val="auto"/>
          <w:sz w:val="32"/>
          <w:szCs w:val="32"/>
          <w:highlight w:val="none"/>
          <w:lang w:val="zh-CN" w:eastAsia="zh-CN"/>
        </w:rPr>
        <w:t>公务用车</w:t>
      </w:r>
      <w:r>
        <w:rPr>
          <w:rFonts w:hint="default" w:ascii="Times New Roman" w:hAnsi="Times New Roman" w:eastAsia="仿宋_GB2312" w:cs="Times New Roman"/>
          <w:color w:val="auto"/>
          <w:sz w:val="32"/>
          <w:szCs w:val="32"/>
          <w:highlight w:val="none"/>
          <w:lang w:val="en-US" w:eastAsia="zh-CN"/>
        </w:rPr>
        <w:t>保有量</w:t>
      </w:r>
      <w:r>
        <w:rPr>
          <w:rFonts w:hint="eastAsia" w:ascii="Times New Roman" w:hAnsi="Times New Roman" w:eastAsia="仿宋_GB2312" w:cs="Times New Roman"/>
          <w:color w:val="auto"/>
          <w:sz w:val="32"/>
          <w:szCs w:val="32"/>
          <w:highlight w:val="none"/>
          <w:lang w:val="zh-CN" w:eastAsia="zh-CN"/>
        </w:rPr>
        <w:t>无差异</w:t>
      </w:r>
      <w:r>
        <w:rPr>
          <w:rFonts w:hint="default" w:ascii="Times New Roman" w:hAnsi="Times New Roman" w:eastAsia="仿宋_GB2312" w:cs="Times New Roman"/>
          <w:color w:val="auto"/>
          <w:sz w:val="32"/>
          <w:szCs w:val="32"/>
          <w:highlight w:val="none"/>
          <w:lang w:val="zh-CN" w:eastAsia="zh-CN"/>
        </w:rPr>
        <w:t>。</w:t>
      </w:r>
    </w:p>
    <w:p>
      <w:pPr>
        <w:keepNext w:val="0"/>
        <w:keepLines w:val="0"/>
        <w:pageBreakBefore w:val="0"/>
        <w:widowControl w:val="0"/>
        <w:kinsoku/>
        <w:wordWrap/>
        <w:overflowPunct/>
        <w:topLinePunct w:val="0"/>
        <w:bidi w:val="0"/>
        <w:adjustRightInd/>
        <w:snapToGrid/>
        <w:spacing w:line="560" w:lineRule="exact"/>
        <w:ind w:firstLine="640" w:firstLineChars="200"/>
        <w:jc w:val="left"/>
        <w:textAlignment w:val="auto"/>
        <w:rPr>
          <w:rFonts w:hint="default" w:ascii="Times New Roman" w:hAnsi="Times New Roman" w:eastAsia="仿宋_GB2312" w:cs="Times New Roman"/>
          <w:color w:val="auto"/>
          <w:sz w:val="32"/>
          <w:szCs w:val="32"/>
          <w:highlight w:val="none"/>
          <w:lang w:val="zh-CN" w:eastAsia="zh-CN"/>
        </w:rPr>
      </w:pPr>
      <w:r>
        <w:rPr>
          <w:rFonts w:hint="default" w:ascii="Times New Roman" w:hAnsi="Times New Roman" w:eastAsia="仿宋_GB2312" w:cs="Times New Roman"/>
          <w:color w:val="auto"/>
          <w:sz w:val="32"/>
          <w:szCs w:val="32"/>
          <w:highlight w:val="none"/>
          <w:lang w:val="zh-CN" w:eastAsia="zh-CN"/>
        </w:rPr>
        <w:t>公务接待费0.00万元，开支内容包括</w:t>
      </w:r>
      <w:r>
        <w:rPr>
          <w:rFonts w:hint="default" w:ascii="Times New Roman" w:hAnsi="Times New Roman" w:eastAsia="仿宋_GB2312" w:cs="Times New Roman"/>
          <w:sz w:val="32"/>
          <w:szCs w:val="32"/>
        </w:rPr>
        <w:t>我单位无</w:t>
      </w:r>
      <w:r>
        <w:rPr>
          <w:rFonts w:hint="default" w:ascii="Times New Roman" w:hAnsi="Times New Roman" w:eastAsia="仿宋_GB2312" w:cs="Times New Roman"/>
          <w:color w:val="auto"/>
          <w:sz w:val="32"/>
          <w:szCs w:val="32"/>
          <w:highlight w:val="none"/>
          <w:lang w:val="zh-CN" w:eastAsia="zh-CN"/>
        </w:rPr>
        <w:t>公务接待费。单位全年安排的国内公务接待0批次，0人次。</w:t>
      </w:r>
    </w:p>
    <w:p>
      <w:pPr>
        <w:keepNext w:val="0"/>
        <w:keepLines w:val="0"/>
        <w:pageBreakBefore w:val="0"/>
        <w:widowControl w:val="0"/>
        <w:kinsoku/>
        <w:wordWrap/>
        <w:overflowPunct/>
        <w:topLinePunct w:val="0"/>
        <w:bidi w:val="0"/>
        <w:adjustRightInd/>
        <w:snapToGrid/>
        <w:spacing w:line="560" w:lineRule="exact"/>
        <w:ind w:firstLine="640" w:firstLineChars="200"/>
        <w:jc w:val="left"/>
        <w:textAlignment w:val="auto"/>
        <w:rPr>
          <w:rFonts w:hint="default" w:ascii="Times New Roman" w:hAnsi="Times New Roman" w:eastAsia="仿宋_GB2312" w:cs="Times New Roman"/>
          <w:color w:val="auto"/>
          <w:sz w:val="32"/>
          <w:szCs w:val="32"/>
          <w:highlight w:val="none"/>
          <w:lang w:val="zh-CN" w:eastAsia="zh-CN"/>
        </w:rPr>
      </w:pPr>
      <w:r>
        <w:rPr>
          <w:rFonts w:hint="default" w:ascii="Times New Roman" w:hAnsi="Times New Roman" w:eastAsia="仿宋_GB2312" w:cs="Times New Roman"/>
          <w:color w:val="auto"/>
          <w:sz w:val="32"/>
          <w:szCs w:val="32"/>
          <w:highlight w:val="none"/>
          <w:lang w:val="zh-CN" w:eastAsia="zh-CN"/>
        </w:rPr>
        <w:t>与</w:t>
      </w:r>
      <w:r>
        <w:rPr>
          <w:rFonts w:hint="default" w:ascii="Times New Roman" w:hAnsi="Times New Roman" w:eastAsia="仿宋_GB2312" w:cs="Times New Roman"/>
          <w:color w:val="auto"/>
          <w:sz w:val="32"/>
          <w:szCs w:val="32"/>
          <w:highlight w:val="none"/>
          <w:lang w:val="en-US" w:eastAsia="zh-CN"/>
        </w:rPr>
        <w:t>全年</w:t>
      </w:r>
      <w:r>
        <w:rPr>
          <w:rFonts w:hint="default" w:ascii="Times New Roman" w:hAnsi="Times New Roman" w:eastAsia="仿宋_GB2312" w:cs="Times New Roman"/>
          <w:color w:val="auto"/>
          <w:sz w:val="32"/>
          <w:szCs w:val="32"/>
          <w:highlight w:val="none"/>
          <w:lang w:val="zh-CN" w:eastAsia="zh-CN"/>
        </w:rPr>
        <w:t>预算相比</w:t>
      </w:r>
      <w:r>
        <w:rPr>
          <w:rFonts w:hint="default" w:ascii="Times New Roman" w:hAnsi="Times New Roman" w:eastAsia="仿宋_GB2312" w:cs="Times New Roman"/>
          <w:color w:val="auto"/>
          <w:sz w:val="32"/>
          <w:szCs w:val="32"/>
          <w:highlight w:val="none"/>
          <w:lang w:val="en-US" w:eastAsia="zh-CN"/>
        </w:rPr>
        <w:t>,</w:t>
      </w:r>
      <w:r>
        <w:rPr>
          <w:rFonts w:hint="default" w:ascii="Times New Roman" w:hAnsi="Times New Roman" w:eastAsia="仿宋_GB2312" w:cs="Times New Roman"/>
          <w:color w:val="auto"/>
          <w:sz w:val="32"/>
          <w:szCs w:val="32"/>
          <w:highlight w:val="none"/>
          <w:lang w:val="zh-CN" w:eastAsia="zh-CN"/>
        </w:rPr>
        <w:t>财政拨款“三公”经费支出</w:t>
      </w:r>
      <w:r>
        <w:rPr>
          <w:rFonts w:hint="default" w:ascii="Times New Roman" w:hAnsi="Times New Roman" w:eastAsia="仿宋_GB2312" w:cs="Times New Roman"/>
          <w:color w:val="auto"/>
          <w:sz w:val="32"/>
          <w:szCs w:val="32"/>
          <w:highlight w:val="none"/>
          <w:lang w:val="en-US" w:eastAsia="zh-CN"/>
        </w:rPr>
        <w:t>全年</w:t>
      </w:r>
      <w:r>
        <w:rPr>
          <w:rFonts w:hint="default" w:ascii="Times New Roman" w:hAnsi="Times New Roman" w:eastAsia="仿宋_GB2312" w:cs="Times New Roman"/>
          <w:color w:val="auto"/>
          <w:sz w:val="32"/>
          <w:szCs w:val="32"/>
          <w:highlight w:val="none"/>
          <w:lang w:val="zh-CN" w:eastAsia="zh-CN"/>
        </w:rPr>
        <w:t>预算数0.00万元，决算数0.00万元，预决算差异率0.00%，主要原因是：</w:t>
      </w:r>
      <w:r>
        <w:rPr>
          <w:rFonts w:hint="default" w:ascii="Times New Roman" w:hAnsi="Times New Roman" w:eastAsia="仿宋_GB2312" w:cs="Times New Roman"/>
          <w:sz w:val="32"/>
          <w:szCs w:val="32"/>
        </w:rPr>
        <w:t>我单位无财政拨款“三公”经费支出</w:t>
      </w:r>
      <w:r>
        <w:rPr>
          <w:rFonts w:hint="default" w:ascii="Times New Roman" w:hAnsi="Times New Roman" w:eastAsia="仿宋_GB2312" w:cs="Times New Roman"/>
          <w:color w:val="auto"/>
          <w:sz w:val="32"/>
          <w:szCs w:val="32"/>
          <w:highlight w:val="none"/>
          <w:lang w:val="zh-CN" w:eastAsia="zh-CN"/>
        </w:rPr>
        <w:t>。其中：因公出国（境）费</w:t>
      </w:r>
      <w:r>
        <w:rPr>
          <w:rFonts w:hint="default" w:ascii="Times New Roman" w:hAnsi="Times New Roman" w:eastAsia="仿宋_GB2312" w:cs="Times New Roman"/>
          <w:color w:val="auto"/>
          <w:sz w:val="32"/>
          <w:szCs w:val="32"/>
          <w:highlight w:val="none"/>
          <w:lang w:val="en-US" w:eastAsia="zh-CN"/>
        </w:rPr>
        <w:t>全年预算数</w:t>
      </w:r>
      <w:r>
        <w:rPr>
          <w:rFonts w:hint="default" w:ascii="Times New Roman" w:hAnsi="Times New Roman" w:eastAsia="仿宋_GB2312" w:cs="Times New Roman"/>
          <w:color w:val="auto"/>
          <w:sz w:val="32"/>
          <w:szCs w:val="32"/>
          <w:highlight w:val="none"/>
          <w:lang w:val="zh-CN" w:eastAsia="zh-CN"/>
        </w:rPr>
        <w:t>0.00万元，决算数0.00万元，预决算差异率0.00%，主要原因是：我单位无因公出国（境）费；公务用车购置费</w:t>
      </w:r>
      <w:r>
        <w:rPr>
          <w:rFonts w:hint="default" w:ascii="Times New Roman" w:hAnsi="Times New Roman" w:eastAsia="仿宋_GB2312" w:cs="Times New Roman"/>
          <w:color w:val="auto"/>
          <w:sz w:val="32"/>
          <w:szCs w:val="32"/>
          <w:highlight w:val="none"/>
          <w:lang w:val="en-US" w:eastAsia="zh-CN"/>
        </w:rPr>
        <w:t>全年</w:t>
      </w:r>
      <w:r>
        <w:rPr>
          <w:rFonts w:hint="default" w:ascii="Times New Roman" w:hAnsi="Times New Roman" w:eastAsia="仿宋_GB2312" w:cs="Times New Roman"/>
          <w:color w:val="auto"/>
          <w:sz w:val="32"/>
          <w:szCs w:val="32"/>
          <w:highlight w:val="none"/>
          <w:lang w:val="zh-CN" w:eastAsia="zh-CN"/>
        </w:rPr>
        <w:t>预算数0.00万元，决算数0.00万元，预决算差异率0.00%，主要原因是：我单位无公务用车购置费；公务用车运行费</w:t>
      </w:r>
      <w:r>
        <w:rPr>
          <w:rFonts w:hint="default" w:ascii="Times New Roman" w:hAnsi="Times New Roman" w:eastAsia="仿宋_GB2312" w:cs="Times New Roman"/>
          <w:color w:val="auto"/>
          <w:sz w:val="32"/>
          <w:szCs w:val="32"/>
          <w:highlight w:val="none"/>
          <w:lang w:val="en-US" w:eastAsia="zh-CN"/>
        </w:rPr>
        <w:t>全年</w:t>
      </w:r>
      <w:r>
        <w:rPr>
          <w:rFonts w:hint="default" w:ascii="Times New Roman" w:hAnsi="Times New Roman" w:eastAsia="仿宋_GB2312" w:cs="Times New Roman"/>
          <w:color w:val="auto"/>
          <w:sz w:val="32"/>
          <w:szCs w:val="32"/>
          <w:highlight w:val="none"/>
          <w:lang w:val="zh-CN" w:eastAsia="zh-CN"/>
        </w:rPr>
        <w:t>预算数0.00万元，决算数0.00万元，预决算差异率0.00%，主要原因是：我单位无公务用车运行费；公务接待费</w:t>
      </w:r>
      <w:r>
        <w:rPr>
          <w:rFonts w:hint="default" w:ascii="Times New Roman" w:hAnsi="Times New Roman" w:eastAsia="仿宋_GB2312" w:cs="Times New Roman"/>
          <w:color w:val="auto"/>
          <w:sz w:val="32"/>
          <w:szCs w:val="32"/>
          <w:highlight w:val="none"/>
          <w:lang w:val="en-US" w:eastAsia="zh-CN"/>
        </w:rPr>
        <w:t>全年</w:t>
      </w:r>
      <w:r>
        <w:rPr>
          <w:rFonts w:hint="default" w:ascii="Times New Roman" w:hAnsi="Times New Roman" w:eastAsia="仿宋_GB2312" w:cs="Times New Roman"/>
          <w:color w:val="auto"/>
          <w:sz w:val="32"/>
          <w:szCs w:val="32"/>
          <w:highlight w:val="none"/>
          <w:lang w:val="zh-CN" w:eastAsia="zh-CN"/>
        </w:rPr>
        <w:t>预算数0.00万元，决算数0.00万元，预决算差异率0.00%，主要原因是：我单位无公务接待费。</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1"/>
        <w:rPr>
          <w:rFonts w:hint="default" w:ascii="Times New Roman" w:hAnsi="Times New Roman" w:eastAsia="黑体" w:cs="Times New Roman"/>
          <w:bCs/>
          <w:color w:val="auto"/>
          <w:kern w:val="0"/>
          <w:sz w:val="32"/>
          <w:szCs w:val="32"/>
          <w:highlight w:val="none"/>
          <w:lang w:eastAsia="zh-CN"/>
        </w:rPr>
      </w:pPr>
      <w:bookmarkStart w:id="18" w:name="_Toc5810"/>
      <w:bookmarkStart w:id="19" w:name="_Toc7927"/>
      <w:r>
        <w:rPr>
          <w:rFonts w:hint="default" w:ascii="Times New Roman" w:hAnsi="Times New Roman" w:eastAsia="黑体" w:cs="Times New Roman"/>
          <w:bCs/>
          <w:color w:val="auto"/>
          <w:kern w:val="0"/>
          <w:sz w:val="32"/>
          <w:szCs w:val="32"/>
          <w:highlight w:val="none"/>
          <w:lang w:val="en-US" w:eastAsia="zh-CN"/>
        </w:rPr>
        <w:t>八</w:t>
      </w:r>
      <w:r>
        <w:rPr>
          <w:rFonts w:hint="default" w:ascii="Times New Roman" w:hAnsi="Times New Roman" w:eastAsia="黑体" w:cs="Times New Roman"/>
          <w:bCs/>
          <w:color w:val="auto"/>
          <w:kern w:val="0"/>
          <w:sz w:val="32"/>
          <w:szCs w:val="32"/>
          <w:highlight w:val="none"/>
          <w:lang w:eastAsia="zh-CN"/>
        </w:rPr>
        <w:t>、政府性基金预算财政拨款收入支出决算情况说明</w:t>
      </w:r>
      <w:bookmarkEnd w:id="18"/>
      <w:bookmarkEnd w:id="19"/>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left"/>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我</w:t>
      </w:r>
      <w:r>
        <w:rPr>
          <w:rFonts w:hint="default" w:ascii="Times New Roman" w:hAnsi="Times New Roman" w:eastAsia="仿宋_GB2312" w:cs="Times New Roman"/>
          <w:color w:val="auto"/>
          <w:sz w:val="32"/>
          <w:szCs w:val="32"/>
          <w:highlight w:val="none"/>
          <w:lang w:val="en-US" w:eastAsia="zh-CN"/>
        </w:rPr>
        <w:t>单位</w:t>
      </w:r>
      <w:r>
        <w:rPr>
          <w:rFonts w:hint="default" w:ascii="Times New Roman" w:hAnsi="Times New Roman" w:eastAsia="仿宋_GB2312" w:cs="Times New Roman"/>
          <w:color w:val="auto"/>
          <w:sz w:val="32"/>
          <w:szCs w:val="32"/>
          <w:highlight w:val="none"/>
          <w:lang w:eastAsia="zh-CN"/>
        </w:rPr>
        <w:t>本年度无政府性基金预算财政拨款收入、支出</w:t>
      </w:r>
      <w:r>
        <w:rPr>
          <w:rFonts w:hint="default" w:ascii="Times New Roman" w:hAnsi="Times New Roman" w:eastAsia="仿宋_GB2312" w:cs="Times New Roman"/>
          <w:color w:val="auto"/>
          <w:sz w:val="32"/>
          <w:szCs w:val="32"/>
          <w:highlight w:val="none"/>
          <w:lang w:val="en-US" w:eastAsia="zh-CN"/>
        </w:rPr>
        <w:t>及结转和结余</w:t>
      </w: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rPr>
        <w:t>政府性基金预算财政拨款收入支出决算表为空表。</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1"/>
        <w:rPr>
          <w:rFonts w:hint="default" w:ascii="Times New Roman" w:hAnsi="Times New Roman" w:eastAsia="黑体" w:cs="Times New Roman"/>
          <w:bCs/>
          <w:color w:val="auto"/>
          <w:kern w:val="0"/>
          <w:sz w:val="32"/>
          <w:szCs w:val="32"/>
          <w:highlight w:val="none"/>
          <w:lang w:eastAsia="zh-CN"/>
        </w:rPr>
      </w:pPr>
      <w:r>
        <w:rPr>
          <w:rFonts w:hint="default" w:ascii="Times New Roman" w:hAnsi="Times New Roman" w:eastAsia="黑体" w:cs="Times New Roman"/>
          <w:bCs/>
          <w:color w:val="auto"/>
          <w:kern w:val="0"/>
          <w:sz w:val="32"/>
          <w:szCs w:val="32"/>
          <w:highlight w:val="none"/>
          <w:lang w:val="en-US" w:eastAsia="zh-CN"/>
        </w:rPr>
        <w:t>九</w:t>
      </w:r>
      <w:r>
        <w:rPr>
          <w:rFonts w:hint="default" w:ascii="Times New Roman" w:hAnsi="Times New Roman" w:eastAsia="黑体" w:cs="Times New Roman"/>
          <w:bCs/>
          <w:color w:val="auto"/>
          <w:kern w:val="0"/>
          <w:sz w:val="32"/>
          <w:szCs w:val="32"/>
          <w:highlight w:val="none"/>
          <w:lang w:eastAsia="zh-CN"/>
        </w:rPr>
        <w:t>、国有资本经营预算财政拨款收入支出决算情况说明</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left"/>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我</w:t>
      </w:r>
      <w:r>
        <w:rPr>
          <w:rFonts w:hint="default" w:ascii="Times New Roman" w:hAnsi="Times New Roman" w:eastAsia="仿宋_GB2312" w:cs="Times New Roman"/>
          <w:color w:val="auto"/>
          <w:sz w:val="32"/>
          <w:szCs w:val="32"/>
          <w:highlight w:val="none"/>
          <w:lang w:val="en-US" w:eastAsia="zh-CN"/>
        </w:rPr>
        <w:t>单位</w:t>
      </w:r>
      <w:r>
        <w:rPr>
          <w:rFonts w:hint="default" w:ascii="Times New Roman" w:hAnsi="Times New Roman" w:eastAsia="仿宋_GB2312" w:cs="Times New Roman"/>
          <w:color w:val="auto"/>
          <w:sz w:val="32"/>
          <w:szCs w:val="32"/>
          <w:highlight w:val="none"/>
          <w:lang w:eastAsia="zh-CN"/>
        </w:rPr>
        <w:t>本年度无国有资本经营预算财政拨款收入、支出</w:t>
      </w:r>
      <w:r>
        <w:rPr>
          <w:rFonts w:hint="default" w:ascii="Times New Roman" w:hAnsi="Times New Roman" w:eastAsia="仿宋_GB2312" w:cs="Times New Roman"/>
          <w:color w:val="auto"/>
          <w:sz w:val="32"/>
          <w:szCs w:val="32"/>
          <w:highlight w:val="none"/>
          <w:lang w:val="en-US" w:eastAsia="zh-CN"/>
        </w:rPr>
        <w:t>及结转和结余</w:t>
      </w:r>
      <w:r>
        <w:rPr>
          <w:rFonts w:hint="default" w:ascii="Times New Roman" w:hAnsi="Times New Roman" w:eastAsia="仿宋_GB2312" w:cs="Times New Roman"/>
          <w:color w:val="auto"/>
          <w:sz w:val="32"/>
          <w:szCs w:val="32"/>
          <w:highlight w:val="none"/>
          <w:lang w:eastAsia="zh-CN"/>
        </w:rPr>
        <w:t>，国有资本经营</w:t>
      </w:r>
      <w:r>
        <w:rPr>
          <w:rFonts w:hint="default" w:ascii="Times New Roman" w:hAnsi="Times New Roman" w:eastAsia="仿宋_GB2312" w:cs="Times New Roman"/>
          <w:color w:val="auto"/>
          <w:sz w:val="32"/>
          <w:szCs w:val="32"/>
          <w:highlight w:val="none"/>
        </w:rPr>
        <w:t>预算财政拨款收入支出决算表为空表。</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1"/>
        <w:rPr>
          <w:rFonts w:hint="default" w:ascii="Times New Roman" w:hAnsi="Times New Roman" w:eastAsia="黑体" w:cs="Times New Roman"/>
          <w:bCs/>
          <w:color w:val="auto"/>
          <w:kern w:val="0"/>
          <w:sz w:val="32"/>
          <w:szCs w:val="32"/>
          <w:highlight w:val="none"/>
          <w:lang w:eastAsia="zh-CN"/>
        </w:rPr>
      </w:pPr>
      <w:bookmarkStart w:id="20" w:name="_Toc1235"/>
      <w:bookmarkStart w:id="21" w:name="_Toc7314"/>
      <w:r>
        <w:rPr>
          <w:rFonts w:hint="default" w:ascii="Times New Roman" w:hAnsi="Times New Roman" w:eastAsia="黑体" w:cs="Times New Roman"/>
          <w:bCs/>
          <w:color w:val="auto"/>
          <w:kern w:val="0"/>
          <w:sz w:val="32"/>
          <w:szCs w:val="32"/>
          <w:highlight w:val="none"/>
          <w:lang w:eastAsia="zh-CN"/>
        </w:rPr>
        <w:t>十</w:t>
      </w:r>
      <w:r>
        <w:rPr>
          <w:rFonts w:hint="default" w:ascii="Times New Roman" w:hAnsi="Times New Roman" w:eastAsia="黑体" w:cs="Times New Roman"/>
          <w:bCs/>
          <w:color w:val="auto"/>
          <w:kern w:val="0"/>
          <w:sz w:val="32"/>
          <w:szCs w:val="32"/>
          <w:highlight w:val="none"/>
        </w:rPr>
        <w:t>、其他重要事项的情况</w:t>
      </w:r>
      <w:r>
        <w:rPr>
          <w:rFonts w:hint="default" w:ascii="Times New Roman" w:hAnsi="Times New Roman" w:eastAsia="黑体" w:cs="Times New Roman"/>
          <w:bCs/>
          <w:color w:val="auto"/>
          <w:kern w:val="0"/>
          <w:sz w:val="32"/>
          <w:szCs w:val="32"/>
          <w:highlight w:val="none"/>
          <w:lang w:eastAsia="zh-CN"/>
        </w:rPr>
        <w:t>说明</w:t>
      </w:r>
      <w:bookmarkEnd w:id="20"/>
      <w:bookmarkEnd w:id="21"/>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2"/>
        <w:rPr>
          <w:rFonts w:hint="default" w:ascii="Times New Roman" w:hAnsi="Times New Roman" w:eastAsia="黑体" w:cs="Times New Roman"/>
          <w:color w:val="auto"/>
          <w:sz w:val="32"/>
          <w:szCs w:val="32"/>
          <w:highlight w:val="none"/>
        </w:rPr>
      </w:pPr>
      <w:bookmarkStart w:id="22" w:name="_Toc13105"/>
      <w:bookmarkStart w:id="23" w:name="_Toc14519"/>
      <w:r>
        <w:rPr>
          <w:rFonts w:hint="default" w:ascii="Times New Roman" w:hAnsi="Times New Roman" w:eastAsia="黑体" w:cs="Times New Roman"/>
          <w:color w:val="auto"/>
          <w:sz w:val="32"/>
          <w:szCs w:val="32"/>
          <w:highlight w:val="none"/>
          <w:lang w:eastAsia="zh-CN"/>
        </w:rPr>
        <w:t>（一）</w:t>
      </w:r>
      <w:r>
        <w:rPr>
          <w:rFonts w:hint="default" w:ascii="Times New Roman" w:hAnsi="Times New Roman" w:eastAsia="黑体" w:cs="Times New Roman"/>
          <w:color w:val="auto"/>
          <w:sz w:val="32"/>
          <w:szCs w:val="32"/>
          <w:highlight w:val="none"/>
        </w:rPr>
        <w:t>机关运行经费支出情况</w:t>
      </w:r>
      <w:bookmarkEnd w:id="22"/>
      <w:bookmarkEnd w:id="23"/>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default" w:ascii="Times New Roman" w:hAnsi="Times New Roman" w:eastAsia="仿宋_GB2312" w:cs="Times New Roman"/>
          <w:color w:val="auto"/>
          <w:sz w:val="32"/>
          <w:szCs w:val="32"/>
          <w:highlight w:val="none"/>
          <w:lang w:val="en-US" w:eastAsia="zh-CN"/>
        </w:rPr>
      </w:pPr>
      <w:bookmarkStart w:id="24" w:name="_Toc227"/>
      <w:bookmarkStart w:id="25" w:name="_Toc26704"/>
      <w:r>
        <w:rPr>
          <w:rFonts w:hint="default" w:ascii="Times New Roman" w:hAnsi="Times New Roman" w:eastAsia="仿宋_GB2312" w:cs="Times New Roman"/>
          <w:color w:val="auto"/>
          <w:sz w:val="32"/>
          <w:szCs w:val="32"/>
          <w:highlight w:val="none"/>
          <w:lang w:val="zh-CN" w:eastAsia="zh-CN"/>
        </w:rPr>
        <w:t>2023年度</w:t>
      </w:r>
      <w:r>
        <w:rPr>
          <w:rFonts w:hint="default" w:ascii="Times New Roman" w:hAnsi="Times New Roman" w:eastAsia="仿宋_GB2312" w:cs="Times New Roman"/>
          <w:color w:val="auto"/>
          <w:sz w:val="32"/>
          <w:szCs w:val="32"/>
          <w:highlight w:val="none"/>
          <w:lang w:val="en-US" w:eastAsia="zh-CN"/>
        </w:rPr>
        <w:t>新疆维吾尔自治区农牧水利资金监督检查所（行政单位和参照公务员法管理事业单位）机关运行经费支出7.91万元，</w:t>
      </w:r>
      <w:r>
        <w:rPr>
          <w:rFonts w:hint="default" w:ascii="Times New Roman" w:hAnsi="Times New Roman" w:eastAsia="仿宋_GB2312" w:cs="Times New Roman"/>
          <w:color w:val="auto"/>
          <w:sz w:val="32"/>
          <w:szCs w:val="32"/>
          <w:highlight w:val="none"/>
          <w:lang w:val="zh-CN" w:eastAsia="zh-CN"/>
        </w:rPr>
        <w:t>比上年增加5.54万元，增长234.13%，主要原因是：</w:t>
      </w:r>
      <w:r>
        <w:rPr>
          <w:rFonts w:hint="default" w:ascii="Times New Roman" w:hAnsi="Times New Roman" w:eastAsia="仿宋_GB2312" w:cs="Times New Roman"/>
          <w:sz w:val="32"/>
          <w:szCs w:val="32"/>
        </w:rPr>
        <w:t>在职人员</w:t>
      </w:r>
      <w:r>
        <w:rPr>
          <w:rFonts w:hint="default" w:ascii="Times New Roman" w:hAnsi="Times New Roman" w:eastAsia="仿宋_GB2312" w:cs="Times New Roman"/>
          <w:sz w:val="32"/>
          <w:szCs w:val="32"/>
          <w:lang w:eastAsia="zh-CN"/>
        </w:rPr>
        <w:t>正常</w:t>
      </w:r>
      <w:r>
        <w:rPr>
          <w:rFonts w:hint="default" w:ascii="Times New Roman" w:hAnsi="Times New Roman" w:eastAsia="仿宋_GB2312" w:cs="Times New Roman"/>
          <w:sz w:val="32"/>
          <w:szCs w:val="32"/>
        </w:rPr>
        <w:t>职级晋升，</w:t>
      </w:r>
      <w:r>
        <w:rPr>
          <w:rFonts w:hint="default" w:ascii="Times New Roman" w:hAnsi="Times New Roman" w:eastAsia="仿宋_GB2312" w:cs="Times New Roman"/>
          <w:sz w:val="32"/>
          <w:szCs w:val="32"/>
          <w:lang w:eastAsia="zh-CN"/>
        </w:rPr>
        <w:t>各项缴费基数增加</w:t>
      </w:r>
      <w:r>
        <w:rPr>
          <w:rFonts w:hint="default" w:ascii="Times New Roman" w:hAnsi="Times New Roman" w:eastAsia="仿宋_GB2312" w:cs="Times New Roman"/>
          <w:color w:val="auto"/>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default" w:ascii="Times New Roman" w:hAnsi="Times New Roman" w:eastAsia="黑体" w:cs="Times New Roman"/>
          <w:color w:val="auto"/>
          <w:sz w:val="32"/>
          <w:szCs w:val="30"/>
          <w:highlight w:val="none"/>
          <w:lang w:val="zh-CN" w:eastAsia="zh-CN"/>
        </w:rPr>
      </w:pPr>
      <w:r>
        <w:rPr>
          <w:rFonts w:hint="default" w:ascii="Times New Roman" w:hAnsi="Times New Roman" w:eastAsia="黑体" w:cs="Times New Roman"/>
          <w:color w:val="auto"/>
          <w:sz w:val="32"/>
          <w:szCs w:val="30"/>
          <w:highlight w:val="none"/>
          <w:lang w:val="zh-CN" w:eastAsia="zh-CN"/>
        </w:rPr>
        <w:t>（二）政府采购情况</w:t>
      </w:r>
      <w:bookmarkEnd w:id="24"/>
      <w:bookmarkEnd w:id="25"/>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default" w:ascii="Times New Roman" w:hAnsi="Times New Roman" w:eastAsia="仿宋_GB2312" w:cs="Times New Roman"/>
          <w:color w:val="auto"/>
          <w:sz w:val="32"/>
          <w:szCs w:val="32"/>
          <w:highlight w:val="none"/>
          <w:lang w:val="zh-CN"/>
        </w:rPr>
      </w:pPr>
      <w:r>
        <w:rPr>
          <w:rFonts w:hint="default" w:ascii="Times New Roman" w:hAnsi="Times New Roman" w:eastAsia="仿宋_GB2312" w:cs="Times New Roman"/>
          <w:color w:val="auto"/>
          <w:sz w:val="32"/>
          <w:szCs w:val="32"/>
          <w:highlight w:val="none"/>
          <w:lang w:val="zh-CN" w:eastAsia="zh-CN"/>
        </w:rPr>
        <w:t>2023年度</w:t>
      </w:r>
      <w:r>
        <w:rPr>
          <w:rFonts w:hint="default" w:ascii="Times New Roman" w:hAnsi="Times New Roman" w:eastAsia="仿宋_GB2312" w:cs="Times New Roman"/>
          <w:color w:val="auto"/>
          <w:sz w:val="32"/>
          <w:szCs w:val="32"/>
          <w:highlight w:val="none"/>
          <w:lang w:val="zh-CN"/>
        </w:rPr>
        <w:t>政府采购支出总额</w:t>
      </w:r>
      <w:r>
        <w:rPr>
          <w:rFonts w:hint="default" w:ascii="Times New Roman" w:hAnsi="Times New Roman" w:eastAsia="仿宋_GB2312" w:cs="Times New Roman"/>
          <w:color w:val="auto"/>
          <w:sz w:val="32"/>
          <w:szCs w:val="32"/>
          <w:highlight w:val="none"/>
          <w:lang w:val="zh-CN" w:eastAsia="zh-CN"/>
        </w:rPr>
        <w:t>1.45万元</w:t>
      </w:r>
      <w:r>
        <w:rPr>
          <w:rFonts w:hint="default" w:ascii="Times New Roman" w:hAnsi="Times New Roman" w:eastAsia="仿宋_GB2312" w:cs="Times New Roman"/>
          <w:color w:val="auto"/>
          <w:sz w:val="32"/>
          <w:szCs w:val="32"/>
          <w:highlight w:val="none"/>
          <w:lang w:val="zh-CN"/>
        </w:rPr>
        <w:t>，</w:t>
      </w:r>
      <w:r>
        <w:rPr>
          <w:rFonts w:hint="default" w:ascii="Times New Roman" w:hAnsi="Times New Roman" w:eastAsia="仿宋_GB2312" w:cs="Times New Roman"/>
          <w:color w:val="auto"/>
          <w:sz w:val="32"/>
          <w:szCs w:val="32"/>
          <w:highlight w:val="none"/>
          <w:lang w:val="zh-CN" w:eastAsia="zh-CN"/>
        </w:rPr>
        <w:t>其中：政府采购货物支出1.45万元、政府采购工程支出0.00万元、政府采购服务支出0.00万元。</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zh-CN" w:eastAsia="zh-CN"/>
        </w:rPr>
        <w:t>授予中小企业合同金额1.45万元，占政府采购支出总额的100.00%，其中：授予小微企业合同金额1.45万元，占政府采购支出总额的100.00%</w:t>
      </w:r>
      <w:r>
        <w:rPr>
          <w:rFonts w:hint="default" w:ascii="Times New Roman" w:hAnsi="Times New Roman" w:eastAsia="仿宋_GB2312" w:cs="Times New Roman"/>
          <w:color w:val="auto"/>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default" w:ascii="Times New Roman" w:hAnsi="Times New Roman" w:eastAsia="黑体" w:cs="Times New Roman"/>
          <w:color w:val="auto"/>
          <w:sz w:val="32"/>
          <w:szCs w:val="30"/>
          <w:highlight w:val="none"/>
          <w:lang w:val="zh-CN" w:eastAsia="zh-CN"/>
        </w:rPr>
      </w:pPr>
      <w:bookmarkStart w:id="26" w:name="_Toc4591"/>
      <w:bookmarkStart w:id="27" w:name="_Toc8391"/>
      <w:r>
        <w:rPr>
          <w:rFonts w:hint="default" w:ascii="Times New Roman" w:hAnsi="Times New Roman" w:eastAsia="黑体" w:cs="Times New Roman"/>
          <w:color w:val="auto"/>
          <w:sz w:val="32"/>
          <w:szCs w:val="30"/>
          <w:highlight w:val="none"/>
          <w:lang w:val="zh-CN" w:eastAsia="zh-CN"/>
        </w:rPr>
        <w:t>（三）国有资产占用情况说明</w:t>
      </w:r>
      <w:bookmarkEnd w:id="26"/>
      <w:bookmarkEnd w:id="27"/>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default" w:ascii="Times New Roman" w:hAnsi="Times New Roman" w:eastAsia="仿宋_GB2312" w:cs="Times New Roman"/>
          <w:color w:val="auto"/>
          <w:sz w:val="32"/>
          <w:szCs w:val="32"/>
          <w:highlight w:val="none"/>
          <w:lang w:val="zh-CN" w:eastAsia="zh-CN"/>
        </w:rPr>
      </w:pPr>
      <w:r>
        <w:rPr>
          <w:rFonts w:hint="default" w:ascii="Times New Roman" w:hAnsi="Times New Roman" w:eastAsia="仿宋_GB2312" w:cs="Times New Roman"/>
          <w:color w:val="auto"/>
          <w:sz w:val="32"/>
          <w:szCs w:val="32"/>
          <w:highlight w:val="none"/>
          <w:lang w:val="en-US" w:eastAsia="zh-CN"/>
        </w:rPr>
        <w:t>截至2023</w:t>
      </w:r>
      <w:r>
        <w:rPr>
          <w:rFonts w:hint="default" w:ascii="Times New Roman" w:hAnsi="Times New Roman" w:eastAsia="仿宋_GB2312" w:cs="Times New Roman"/>
          <w:color w:val="auto"/>
          <w:sz w:val="32"/>
          <w:szCs w:val="32"/>
          <w:highlight w:val="none"/>
          <w:lang w:val="zh-CN" w:eastAsia="zh-CN"/>
        </w:rPr>
        <w:t>年</w:t>
      </w:r>
      <w:r>
        <w:rPr>
          <w:rFonts w:hint="default" w:ascii="Times New Roman" w:hAnsi="Times New Roman" w:eastAsia="仿宋_GB2312" w:cs="Times New Roman"/>
          <w:color w:val="auto"/>
          <w:sz w:val="32"/>
          <w:szCs w:val="32"/>
          <w:highlight w:val="none"/>
          <w:lang w:val="en-US" w:eastAsia="zh-CN"/>
        </w:rPr>
        <w:t>12月31日</w:t>
      </w:r>
      <w:r>
        <w:rPr>
          <w:rFonts w:hint="default" w:ascii="Times New Roman" w:hAnsi="Times New Roman" w:eastAsia="仿宋_GB2312" w:cs="Times New Roman"/>
          <w:color w:val="auto"/>
          <w:sz w:val="32"/>
          <w:szCs w:val="32"/>
          <w:highlight w:val="none"/>
          <w:lang w:val="zh-CN" w:eastAsia="zh-CN"/>
        </w:rPr>
        <w:t>，</w:t>
      </w:r>
      <w:r>
        <w:rPr>
          <w:rFonts w:hint="default" w:ascii="Times New Roman" w:hAnsi="Times New Roman" w:eastAsia="仿宋_GB2312" w:cs="Times New Roman"/>
          <w:color w:val="auto"/>
          <w:sz w:val="32"/>
          <w:szCs w:val="32"/>
          <w:highlight w:val="none"/>
          <w:lang w:val="en-US" w:eastAsia="zh-CN"/>
        </w:rPr>
        <w:t>固定资产原值</w:t>
      </w:r>
      <w:r>
        <w:rPr>
          <w:rFonts w:hint="default" w:ascii="Times New Roman" w:hAnsi="Times New Roman" w:eastAsia="仿宋_GB2312" w:cs="Times New Roman"/>
          <w:color w:val="auto"/>
          <w:sz w:val="32"/>
          <w:szCs w:val="32"/>
          <w:highlight w:val="none"/>
          <w:lang w:val="zh-CN" w:eastAsia="zh-CN"/>
        </w:rPr>
        <w:t>38.49</w:t>
      </w:r>
      <w:r>
        <w:rPr>
          <w:rFonts w:hint="default" w:ascii="Times New Roman" w:hAnsi="Times New Roman" w:eastAsia="仿宋_GB2312" w:cs="Times New Roman"/>
          <w:color w:val="auto"/>
          <w:sz w:val="32"/>
          <w:szCs w:val="32"/>
          <w:highlight w:val="none"/>
          <w:lang w:val="en-US" w:eastAsia="zh-CN"/>
        </w:rPr>
        <w:t>万元，房</w:t>
      </w:r>
      <w:r>
        <w:rPr>
          <w:rFonts w:hint="default" w:ascii="Times New Roman" w:hAnsi="Times New Roman" w:eastAsia="仿宋_GB2312" w:cs="Times New Roman"/>
          <w:color w:val="auto"/>
          <w:sz w:val="32"/>
          <w:szCs w:val="32"/>
          <w:highlight w:val="none"/>
          <w:lang w:val="zh-CN" w:eastAsia="zh-CN"/>
        </w:rPr>
        <w:t>屋0.00平方米，价值0.00万元。车辆0辆，价值0.00万元，其中：副部（省）级及以上领导用车0辆、主要</w:t>
      </w:r>
      <w:r>
        <w:rPr>
          <w:rFonts w:hint="default" w:ascii="Times New Roman" w:hAnsi="Times New Roman" w:eastAsia="仿宋_GB2312" w:cs="Times New Roman"/>
          <w:color w:val="auto"/>
          <w:sz w:val="32"/>
          <w:szCs w:val="32"/>
          <w:highlight w:val="none"/>
          <w:lang w:val="en-US" w:eastAsia="zh-CN"/>
        </w:rPr>
        <w:t>负责人</w:t>
      </w:r>
      <w:r>
        <w:rPr>
          <w:rFonts w:hint="default" w:ascii="Times New Roman" w:hAnsi="Times New Roman" w:eastAsia="仿宋_GB2312" w:cs="Times New Roman"/>
          <w:color w:val="auto"/>
          <w:sz w:val="32"/>
          <w:szCs w:val="32"/>
          <w:highlight w:val="none"/>
          <w:lang w:val="zh-CN" w:eastAsia="zh-CN"/>
        </w:rPr>
        <w:t>用车0辆、机要通信用车0辆、应急保障用车0辆、执法执勤用车0辆、特种专业技术用车0辆、离退休干部</w:t>
      </w:r>
      <w:r>
        <w:rPr>
          <w:rFonts w:hint="default" w:ascii="Times New Roman" w:hAnsi="Times New Roman" w:eastAsia="仿宋_GB2312" w:cs="Times New Roman"/>
          <w:color w:val="auto"/>
          <w:sz w:val="32"/>
          <w:szCs w:val="32"/>
          <w:highlight w:val="none"/>
          <w:lang w:val="en-US" w:eastAsia="zh-CN"/>
        </w:rPr>
        <w:t>服务</w:t>
      </w:r>
      <w:r>
        <w:rPr>
          <w:rFonts w:hint="default" w:ascii="Times New Roman" w:hAnsi="Times New Roman" w:eastAsia="仿宋_GB2312" w:cs="Times New Roman"/>
          <w:color w:val="auto"/>
          <w:sz w:val="32"/>
          <w:szCs w:val="32"/>
          <w:highlight w:val="none"/>
          <w:lang w:val="zh-CN" w:eastAsia="zh-CN"/>
        </w:rPr>
        <w:t>用车0辆、其他用车0辆，其他用车主要是：无其他用车；单价100万元（含）以上设备（不含车辆）0</w:t>
      </w:r>
      <w:r>
        <w:rPr>
          <w:rFonts w:hint="default" w:ascii="Times New Roman" w:hAnsi="Times New Roman" w:eastAsia="仿宋_GB2312" w:cs="Times New Roman"/>
          <w:color w:val="auto"/>
          <w:sz w:val="32"/>
          <w:szCs w:val="32"/>
          <w:highlight w:val="none"/>
          <w:lang w:val="en-US" w:eastAsia="zh-CN"/>
        </w:rPr>
        <w:t>台（</w:t>
      </w:r>
      <w:r>
        <w:rPr>
          <w:rFonts w:hint="default" w:ascii="Times New Roman" w:hAnsi="Times New Roman" w:eastAsia="仿宋_GB2312" w:cs="Times New Roman"/>
          <w:color w:val="auto"/>
          <w:sz w:val="32"/>
          <w:szCs w:val="32"/>
          <w:highlight w:val="none"/>
          <w:lang w:val="zh-CN" w:eastAsia="zh-CN"/>
        </w:rPr>
        <w:t>套）。</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1"/>
        <w:rPr>
          <w:rFonts w:hint="default" w:ascii="Times New Roman" w:hAnsi="Times New Roman" w:eastAsia="黑体" w:cs="Times New Roman"/>
          <w:bCs/>
          <w:color w:val="auto"/>
          <w:kern w:val="0"/>
          <w:sz w:val="32"/>
          <w:szCs w:val="32"/>
          <w:highlight w:val="none"/>
          <w:lang w:eastAsia="zh-CN"/>
        </w:rPr>
      </w:pPr>
      <w:bookmarkStart w:id="28" w:name="_Toc435"/>
      <w:bookmarkStart w:id="29" w:name="_Toc11283"/>
      <w:r>
        <w:rPr>
          <w:rFonts w:hint="default" w:ascii="Times New Roman" w:hAnsi="Times New Roman" w:eastAsia="黑体" w:cs="Times New Roman"/>
          <w:bCs/>
          <w:color w:val="auto"/>
          <w:kern w:val="0"/>
          <w:sz w:val="32"/>
          <w:szCs w:val="32"/>
          <w:highlight w:val="none"/>
          <w:lang w:eastAsia="zh-CN"/>
        </w:rPr>
        <w:t>十</w:t>
      </w:r>
      <w:r>
        <w:rPr>
          <w:rFonts w:hint="default" w:ascii="Times New Roman" w:hAnsi="Times New Roman" w:eastAsia="黑体" w:cs="Times New Roman"/>
          <w:bCs/>
          <w:color w:val="auto"/>
          <w:kern w:val="0"/>
          <w:sz w:val="32"/>
          <w:szCs w:val="32"/>
          <w:highlight w:val="none"/>
          <w:lang w:val="en-US" w:eastAsia="zh-CN"/>
        </w:rPr>
        <w:t>一</w:t>
      </w:r>
      <w:r>
        <w:rPr>
          <w:rFonts w:hint="default" w:ascii="Times New Roman" w:hAnsi="Times New Roman" w:eastAsia="黑体" w:cs="Times New Roman"/>
          <w:bCs/>
          <w:color w:val="auto"/>
          <w:kern w:val="0"/>
          <w:sz w:val="32"/>
          <w:szCs w:val="32"/>
          <w:highlight w:val="none"/>
          <w:lang w:eastAsia="zh-CN"/>
        </w:rPr>
        <w:t>、预算绩效的情况说明</w:t>
      </w:r>
      <w:bookmarkEnd w:id="28"/>
      <w:bookmarkEnd w:id="29"/>
    </w:p>
    <w:p>
      <w:pPr>
        <w:keepNext w:val="0"/>
        <w:keepLines w:val="0"/>
        <w:pageBreakBefore w:val="0"/>
        <w:widowControl w:val="0"/>
        <w:kinsoku/>
        <w:wordWrap/>
        <w:overflowPunct/>
        <w:topLinePunct w:val="0"/>
        <w:bidi w:val="0"/>
        <w:adjustRightInd/>
        <w:snapToGrid/>
        <w:spacing w:line="560" w:lineRule="exact"/>
        <w:ind w:firstLine="640" w:firstLineChars="200"/>
        <w:jc w:val="left"/>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lang w:eastAsia="zh-CN"/>
        </w:rPr>
        <w:t>根据预算绩效管理要求，我</w:t>
      </w:r>
      <w:r>
        <w:rPr>
          <w:rFonts w:hint="default" w:ascii="Times New Roman" w:hAnsi="Times New Roman" w:eastAsia="仿宋_GB2312" w:cs="Times New Roman"/>
          <w:color w:val="auto"/>
          <w:sz w:val="32"/>
          <w:szCs w:val="32"/>
          <w:highlight w:val="none"/>
          <w:lang w:val="en-US" w:eastAsia="zh-CN"/>
        </w:rPr>
        <w:t>单位</w:t>
      </w:r>
      <w:r>
        <w:rPr>
          <w:rFonts w:hint="default" w:ascii="Times New Roman" w:hAnsi="Times New Roman" w:eastAsia="仿宋_GB2312" w:cs="Times New Roman"/>
          <w:color w:val="auto"/>
          <w:sz w:val="32"/>
          <w:szCs w:val="32"/>
          <w:highlight w:val="none"/>
          <w:lang w:eastAsia="zh-CN"/>
        </w:rPr>
        <w:t>2023年度</w:t>
      </w:r>
      <w:r>
        <w:rPr>
          <w:rFonts w:hint="default" w:ascii="Times New Roman" w:hAnsi="Times New Roman" w:eastAsia="仿宋_GB2312" w:cs="Times New Roman"/>
          <w:color w:val="auto"/>
          <w:kern w:val="0"/>
          <w:sz w:val="32"/>
          <w:szCs w:val="32"/>
          <w:highlight w:val="none"/>
        </w:rPr>
        <w:t>预算绩效管理整体</w:t>
      </w:r>
      <w:r>
        <w:rPr>
          <w:rFonts w:hint="default" w:ascii="Times New Roman" w:hAnsi="Times New Roman" w:eastAsia="仿宋_GB2312" w:cs="Times New Roman"/>
          <w:color w:val="auto"/>
          <w:kern w:val="0"/>
          <w:sz w:val="32"/>
          <w:szCs w:val="32"/>
          <w:highlight w:val="none"/>
          <w:lang w:val="en-US" w:eastAsia="zh-CN"/>
        </w:rPr>
        <w:t>支出</w:t>
      </w:r>
      <w:r>
        <w:rPr>
          <w:rFonts w:hint="default" w:ascii="Times New Roman" w:hAnsi="Times New Roman" w:eastAsia="仿宋_GB2312" w:cs="Times New Roman"/>
          <w:color w:val="auto"/>
          <w:kern w:val="0"/>
          <w:sz w:val="32"/>
          <w:szCs w:val="32"/>
          <w:highlight w:val="none"/>
        </w:rPr>
        <w:t>绩效自评表</w:t>
      </w:r>
      <w:r>
        <w:rPr>
          <w:rFonts w:hint="default" w:ascii="Times New Roman" w:hAnsi="Times New Roman" w:eastAsia="仿宋_GB2312" w:cs="Times New Roman"/>
          <w:color w:val="auto"/>
          <w:sz w:val="32"/>
          <w:szCs w:val="32"/>
          <w:highlight w:val="none"/>
          <w:lang w:val="en-US" w:eastAsia="zh-CN"/>
        </w:rPr>
        <w:t>1</w:t>
      </w:r>
      <w:r>
        <w:rPr>
          <w:rFonts w:hint="default" w:ascii="Times New Roman" w:hAnsi="Times New Roman" w:eastAsia="仿宋_GB2312" w:cs="Times New Roman"/>
          <w:color w:val="auto"/>
          <w:kern w:val="0"/>
          <w:sz w:val="32"/>
          <w:szCs w:val="32"/>
          <w:highlight w:val="none"/>
          <w:lang w:val="en-US" w:eastAsia="zh-CN"/>
        </w:rPr>
        <w:t>个，全年</w:t>
      </w:r>
      <w:r>
        <w:rPr>
          <w:rFonts w:hint="default" w:ascii="Times New Roman" w:hAnsi="Times New Roman" w:eastAsia="仿宋_GB2312" w:cs="Times New Roman"/>
          <w:color w:val="auto"/>
          <w:sz w:val="32"/>
          <w:szCs w:val="32"/>
          <w:highlight w:val="none"/>
          <w:lang w:val="en-US" w:eastAsia="zh-CN"/>
        </w:rPr>
        <w:t>预算总额</w:t>
      </w:r>
      <w:r>
        <w:rPr>
          <w:rFonts w:hint="eastAsia" w:eastAsia="仿宋_GB2312" w:cs="Times New Roman"/>
          <w:color w:val="auto"/>
          <w:sz w:val="32"/>
          <w:szCs w:val="32"/>
          <w:highlight w:val="none"/>
          <w:lang w:val="en-US" w:eastAsia="zh-CN"/>
        </w:rPr>
        <w:t>149.05</w:t>
      </w:r>
      <w:r>
        <w:rPr>
          <w:rFonts w:hint="default" w:ascii="Times New Roman" w:hAnsi="Times New Roman" w:eastAsia="仿宋_GB2312" w:cs="Times New Roman"/>
          <w:color w:val="auto"/>
          <w:sz w:val="32"/>
          <w:szCs w:val="32"/>
          <w:highlight w:val="none"/>
        </w:rPr>
        <w:t>万元</w:t>
      </w: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lang w:val="en-US" w:eastAsia="zh-CN"/>
        </w:rPr>
        <w:t>实际执行总额</w:t>
      </w:r>
      <w:r>
        <w:rPr>
          <w:rFonts w:hint="eastAsia" w:eastAsia="仿宋_GB2312" w:cs="Times New Roman"/>
          <w:color w:val="auto"/>
          <w:sz w:val="32"/>
          <w:szCs w:val="32"/>
          <w:highlight w:val="none"/>
          <w:lang w:val="en-US" w:eastAsia="zh-CN"/>
        </w:rPr>
        <w:t>149.05</w:t>
      </w:r>
      <w:r>
        <w:rPr>
          <w:rFonts w:hint="default" w:ascii="Times New Roman" w:hAnsi="Times New Roman" w:eastAsia="仿宋_GB2312" w:cs="Times New Roman"/>
          <w:color w:val="auto"/>
          <w:sz w:val="32"/>
          <w:szCs w:val="32"/>
          <w:highlight w:val="none"/>
        </w:rPr>
        <w:t>万元</w:t>
      </w:r>
      <w:r>
        <w:rPr>
          <w:rFonts w:hint="default" w:ascii="Times New Roman" w:hAnsi="Times New Roman" w:eastAsia="仿宋_GB2312" w:cs="Times New Roman"/>
          <w:color w:val="auto"/>
          <w:kern w:val="0"/>
          <w:sz w:val="32"/>
          <w:szCs w:val="32"/>
          <w:highlight w:val="none"/>
          <w:lang w:val="en-US" w:eastAsia="zh-CN"/>
        </w:rPr>
        <w:t>；</w:t>
      </w:r>
      <w:r>
        <w:rPr>
          <w:rFonts w:hint="default" w:ascii="Times New Roman" w:hAnsi="Times New Roman" w:eastAsia="仿宋_GB2312" w:cs="Times New Roman"/>
          <w:color w:val="auto"/>
          <w:sz w:val="32"/>
          <w:szCs w:val="32"/>
          <w:highlight w:val="none"/>
          <w:lang w:eastAsia="zh-CN"/>
        </w:rPr>
        <w:t>预算绩效评价项目</w:t>
      </w:r>
      <w:r>
        <w:rPr>
          <w:rFonts w:hint="default" w:ascii="Times New Roman" w:hAnsi="Times New Roman" w:eastAsia="仿宋_GB2312" w:cs="Times New Roman"/>
          <w:color w:val="auto"/>
          <w:sz w:val="32"/>
          <w:szCs w:val="32"/>
          <w:highlight w:val="none"/>
          <w:lang w:val="en-US" w:eastAsia="zh-CN"/>
        </w:rPr>
        <w:t>1</w:t>
      </w:r>
      <w:r>
        <w:rPr>
          <w:rFonts w:hint="default" w:ascii="Times New Roman" w:hAnsi="Times New Roman" w:eastAsia="仿宋_GB2312" w:cs="Times New Roman"/>
          <w:color w:val="auto"/>
          <w:sz w:val="32"/>
          <w:szCs w:val="32"/>
          <w:highlight w:val="none"/>
          <w:lang w:eastAsia="zh-CN"/>
        </w:rPr>
        <w:t>个，</w:t>
      </w:r>
      <w:r>
        <w:rPr>
          <w:rFonts w:hint="default" w:ascii="Times New Roman" w:hAnsi="Times New Roman" w:eastAsia="仿宋_GB2312" w:cs="Times New Roman"/>
          <w:color w:val="auto"/>
          <w:sz w:val="32"/>
          <w:szCs w:val="32"/>
          <w:highlight w:val="none"/>
          <w:lang w:val="en-US" w:eastAsia="zh-CN"/>
        </w:rPr>
        <w:t>全年预算数10</w:t>
      </w:r>
      <w:r>
        <w:rPr>
          <w:rFonts w:hint="default" w:ascii="Times New Roman" w:hAnsi="Times New Roman" w:eastAsia="仿宋_GB2312" w:cs="Times New Roman"/>
          <w:color w:val="auto"/>
          <w:sz w:val="32"/>
          <w:szCs w:val="32"/>
          <w:highlight w:val="none"/>
        </w:rPr>
        <w:t>万元</w:t>
      </w: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lang w:val="en-US" w:eastAsia="zh-CN"/>
        </w:rPr>
        <w:t>全年执行数10</w:t>
      </w:r>
      <w:r>
        <w:rPr>
          <w:rFonts w:hint="default" w:ascii="Times New Roman" w:hAnsi="Times New Roman" w:eastAsia="仿宋_GB2312" w:cs="Times New Roman"/>
          <w:color w:val="auto"/>
          <w:sz w:val="32"/>
          <w:szCs w:val="32"/>
          <w:highlight w:val="none"/>
        </w:rPr>
        <w:t>万元</w:t>
      </w:r>
      <w:r>
        <w:rPr>
          <w:rFonts w:hint="default" w:ascii="Times New Roman" w:hAnsi="Times New Roman" w:eastAsia="仿宋_GB2312" w:cs="Times New Roman"/>
          <w:color w:val="auto"/>
          <w:sz w:val="32"/>
          <w:szCs w:val="32"/>
          <w:highlight w:val="none"/>
          <w:lang w:eastAsia="zh-CN"/>
        </w:rPr>
        <w:t>。预算绩效管理取得的成效：一是对各地、各单位水利项目资金使用和管理情况进行现场检查；二是完成了对各地、各单位开展中央财政水利发展资金、中央预算内资金绩效评价工作，并对各地、各单位的绩效评价情况进行核查；三是完成了自治区层面的中央财政水利发展资金、中央预算内资金绩效评价报告，并按时将绩效评价报告上报水利部和自治区财政厅等相关单位。发现的问题及原因：</w:t>
      </w:r>
      <w:r>
        <w:rPr>
          <w:rFonts w:hint="default" w:ascii="Times New Roman" w:hAnsi="Times New Roman" w:eastAsia="仿宋_GB2312" w:cs="Times New Roman"/>
          <w:sz w:val="32"/>
          <w:szCs w:val="32"/>
        </w:rPr>
        <w:t>在项目执行中未发现问题。</w:t>
      </w:r>
      <w:r>
        <w:rPr>
          <w:rFonts w:hint="default" w:ascii="Times New Roman" w:hAnsi="Times New Roman" w:eastAsia="仿宋_GB2312" w:cs="Times New Roman"/>
          <w:color w:val="auto"/>
          <w:sz w:val="32"/>
          <w:szCs w:val="32"/>
          <w:highlight w:val="none"/>
          <w:lang w:eastAsia="zh-CN"/>
        </w:rPr>
        <w:t>下一步改进措施：</w:t>
      </w:r>
      <w:r>
        <w:rPr>
          <w:rFonts w:hint="default" w:ascii="Times New Roman" w:hAnsi="Times New Roman" w:eastAsia="仿宋_GB2312" w:cs="Times New Roman"/>
          <w:sz w:val="32"/>
          <w:szCs w:val="32"/>
        </w:rPr>
        <w:t>一是进一步规范和强化资金、绩效管理；二是加强与部门间的沟通联系，做好农牧水利资金绩效评价前期准备工作，科学合理设定任务清单和绩效目标；三是进一步加强预算执行管理，落实跟踪反馈制度，加快项目执行和资金支付进度，做好绩效评价结果运用。</w:t>
      </w:r>
      <w:r>
        <w:rPr>
          <w:rFonts w:hint="default" w:ascii="Times New Roman" w:hAnsi="Times New Roman" w:eastAsia="仿宋_GB2312" w:cs="Times New Roman"/>
          <w:color w:val="auto"/>
          <w:sz w:val="32"/>
          <w:szCs w:val="32"/>
          <w:highlight w:val="none"/>
          <w:lang w:eastAsia="zh-CN"/>
        </w:rPr>
        <w:t>具体</w:t>
      </w:r>
      <w:r>
        <w:rPr>
          <w:rFonts w:hint="default" w:ascii="Times New Roman" w:hAnsi="Times New Roman" w:eastAsia="仿宋_GB2312" w:cs="Times New Roman"/>
          <w:color w:val="auto"/>
          <w:sz w:val="32"/>
          <w:szCs w:val="32"/>
          <w:highlight w:val="none"/>
        </w:rPr>
        <w:t>项目自评情况附绩效自评表</w:t>
      </w:r>
      <w:r>
        <w:rPr>
          <w:rFonts w:hint="default" w:ascii="Times New Roman" w:hAnsi="Times New Roman" w:eastAsia="仿宋_GB2312" w:cs="Times New Roman"/>
          <w:color w:val="auto"/>
          <w:sz w:val="32"/>
          <w:szCs w:val="32"/>
          <w:highlight w:val="none"/>
          <w:lang w:val="en-US" w:eastAsia="zh-CN"/>
        </w:rPr>
        <w:t>及自评报告</w:t>
      </w:r>
      <w:r>
        <w:rPr>
          <w:rFonts w:hint="default" w:ascii="Times New Roman" w:hAnsi="Times New Roman" w:eastAsia="仿宋_GB2312" w:cs="Times New Roman"/>
          <w:color w:val="auto"/>
          <w:sz w:val="32"/>
          <w:szCs w:val="32"/>
          <w:highlight w:val="none"/>
        </w:rPr>
        <w:t>。</w:t>
      </w:r>
    </w:p>
    <w:p>
      <w:pPr>
        <w:keepNext w:val="0"/>
        <w:keepLines w:val="0"/>
        <w:pageBreakBefore w:val="0"/>
        <w:widowControl w:val="0"/>
        <w:kinsoku/>
        <w:wordWrap/>
        <w:overflowPunct/>
        <w:topLinePunct w:val="0"/>
        <w:bidi w:val="0"/>
        <w:adjustRightInd/>
        <w:snapToGrid/>
        <w:spacing w:line="560" w:lineRule="exact"/>
        <w:ind w:firstLine="640" w:firstLineChars="200"/>
        <w:jc w:val="left"/>
        <w:textAlignment w:val="auto"/>
        <w:rPr>
          <w:rFonts w:hint="default" w:ascii="Times New Roman" w:hAnsi="Times New Roman" w:eastAsia="黑体" w:cs="Times New Roman"/>
          <w:bCs/>
          <w:color w:val="auto"/>
          <w:kern w:val="0"/>
          <w:sz w:val="32"/>
          <w:szCs w:val="32"/>
          <w:highlight w:val="none"/>
          <w:lang w:eastAsia="zh-CN"/>
        </w:rPr>
      </w:pPr>
      <w:r>
        <w:rPr>
          <w:rFonts w:hint="default" w:ascii="Times New Roman" w:hAnsi="Times New Roman" w:eastAsia="黑体" w:cs="Times New Roman"/>
          <w:bCs/>
          <w:color w:val="auto"/>
          <w:kern w:val="0"/>
          <w:sz w:val="32"/>
          <w:szCs w:val="32"/>
          <w:highlight w:val="none"/>
          <w:lang w:eastAsia="zh-CN"/>
        </w:rPr>
        <w:t>十</w:t>
      </w:r>
      <w:r>
        <w:rPr>
          <w:rFonts w:hint="default" w:ascii="Times New Roman" w:hAnsi="Times New Roman" w:eastAsia="黑体" w:cs="Times New Roman"/>
          <w:bCs/>
          <w:color w:val="auto"/>
          <w:kern w:val="0"/>
          <w:sz w:val="32"/>
          <w:szCs w:val="32"/>
          <w:highlight w:val="none"/>
          <w:lang w:val="en-US" w:eastAsia="zh-CN"/>
        </w:rPr>
        <w:t>二</w:t>
      </w:r>
      <w:r>
        <w:rPr>
          <w:rFonts w:hint="default" w:ascii="Times New Roman" w:hAnsi="Times New Roman" w:eastAsia="黑体" w:cs="Times New Roman"/>
          <w:bCs/>
          <w:color w:val="auto"/>
          <w:kern w:val="0"/>
          <w:sz w:val="32"/>
          <w:szCs w:val="32"/>
          <w:highlight w:val="none"/>
          <w:lang w:eastAsia="zh-CN"/>
        </w:rPr>
        <w:t>、其他需说明的事项</w:t>
      </w:r>
    </w:p>
    <w:p>
      <w:pPr>
        <w:keepNext w:val="0"/>
        <w:keepLines w:val="0"/>
        <w:pageBreakBefore w:val="0"/>
        <w:widowControl w:val="0"/>
        <w:kinsoku/>
        <w:wordWrap/>
        <w:overflowPunct/>
        <w:topLinePunct w:val="0"/>
        <w:bidi w:val="0"/>
        <w:adjustRightInd/>
        <w:snapToGrid/>
        <w:spacing w:line="560" w:lineRule="exact"/>
        <w:ind w:firstLine="640" w:firstLineChars="200"/>
        <w:jc w:val="left"/>
        <w:textAlignment w:val="auto"/>
        <w:rPr>
          <w:rFonts w:hint="default" w:ascii="Times New Roman" w:hAnsi="Times New Roman" w:eastAsia="仿宋_GB2312" w:cs="Times New Roman"/>
          <w:color w:val="auto"/>
          <w:kern w:val="0"/>
          <w:sz w:val="32"/>
          <w:szCs w:val="32"/>
          <w:highlight w:val="none"/>
          <w:lang w:val="en-US" w:eastAsia="zh-CN"/>
        </w:rPr>
      </w:pPr>
      <w:r>
        <w:rPr>
          <w:rFonts w:hint="default" w:ascii="Times New Roman" w:hAnsi="Times New Roman" w:eastAsia="仿宋_GB2312" w:cs="Times New Roman"/>
          <w:color w:val="auto"/>
          <w:kern w:val="0"/>
          <w:sz w:val="32"/>
          <w:szCs w:val="32"/>
          <w:highlight w:val="none"/>
          <w:lang w:val="en-US" w:eastAsia="zh-CN"/>
        </w:rPr>
        <w:t>本单位无其他需说明事项</w:t>
      </w: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outlineLvl w:val="0"/>
        <w:rPr>
          <w:rFonts w:hint="default" w:ascii="Times New Roman" w:hAnsi="Times New Roman" w:eastAsia="黑体" w:cs="Times New Roman"/>
          <w:color w:val="auto"/>
          <w:sz w:val="32"/>
          <w:szCs w:val="32"/>
          <w:highlight w:val="none"/>
        </w:rPr>
      </w:pPr>
      <w:bookmarkStart w:id="30" w:name="_Toc3250"/>
      <w:bookmarkStart w:id="31" w:name="_Toc24143"/>
      <w:r>
        <w:rPr>
          <w:rFonts w:hint="default" w:ascii="Times New Roman" w:hAnsi="Times New Roman" w:eastAsia="黑体" w:cs="Times New Roman"/>
          <w:color w:val="auto"/>
          <w:sz w:val="32"/>
          <w:szCs w:val="32"/>
          <w:highlight w:val="none"/>
        </w:rPr>
        <w:br w:type="page"/>
      </w:r>
      <w:r>
        <w:rPr>
          <w:rFonts w:hint="default" w:ascii="Times New Roman" w:hAnsi="Times New Roman" w:eastAsia="黑体" w:cs="Times New Roman"/>
          <w:color w:val="auto"/>
          <w:sz w:val="32"/>
          <w:szCs w:val="32"/>
          <w:highlight w:val="none"/>
        </w:rPr>
        <w:t>第</w:t>
      </w:r>
      <w:r>
        <w:rPr>
          <w:rFonts w:hint="default" w:ascii="Times New Roman" w:hAnsi="Times New Roman" w:eastAsia="黑体" w:cs="Times New Roman"/>
          <w:color w:val="auto"/>
          <w:sz w:val="32"/>
          <w:szCs w:val="32"/>
          <w:highlight w:val="none"/>
          <w:lang w:val="en-US" w:eastAsia="zh-CN"/>
        </w:rPr>
        <w:t>三</w:t>
      </w:r>
      <w:r>
        <w:rPr>
          <w:rFonts w:hint="default" w:ascii="Times New Roman" w:hAnsi="Times New Roman" w:eastAsia="黑体" w:cs="Times New Roman"/>
          <w:color w:val="auto"/>
          <w:sz w:val="32"/>
          <w:szCs w:val="32"/>
          <w:highlight w:val="none"/>
        </w:rPr>
        <w:t>部分 专业名词解释</w:t>
      </w:r>
      <w:bookmarkEnd w:id="30"/>
      <w:bookmarkEnd w:id="31"/>
    </w:p>
    <w:p>
      <w:pPr>
        <w:keepNext w:val="0"/>
        <w:keepLines w:val="0"/>
        <w:pageBreakBefore w:val="0"/>
        <w:widowControl w:val="0"/>
        <w:kinsoku/>
        <w:wordWrap/>
        <w:overflowPunct/>
        <w:topLinePunct w:val="0"/>
        <w:autoSpaceDE w:val="0"/>
        <w:autoSpaceDN w:val="0"/>
        <w:bidi w:val="0"/>
        <w:adjustRightInd/>
        <w:snapToGrid/>
        <w:spacing w:line="560" w:lineRule="exact"/>
        <w:ind w:firstLine="643" w:firstLineChars="200"/>
        <w:jc w:val="left"/>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b/>
          <w:bCs/>
          <w:color w:val="auto"/>
          <w:sz w:val="32"/>
          <w:szCs w:val="32"/>
          <w:highlight w:val="none"/>
          <w:lang w:val="en-US" w:eastAsia="zh-CN"/>
        </w:rPr>
        <w:t>一、</w:t>
      </w:r>
      <w:r>
        <w:rPr>
          <w:rFonts w:hint="default" w:ascii="Times New Roman" w:hAnsi="Times New Roman" w:eastAsia="仿宋_GB2312" w:cs="Times New Roman"/>
          <w:b/>
          <w:bCs/>
          <w:color w:val="auto"/>
          <w:sz w:val="32"/>
          <w:szCs w:val="32"/>
          <w:highlight w:val="none"/>
        </w:rPr>
        <w:t>财政拨款收入：</w:t>
      </w:r>
      <w:r>
        <w:rPr>
          <w:rFonts w:hint="default" w:ascii="Times New Roman" w:hAnsi="Times New Roman" w:eastAsia="仿宋_GB2312" w:cs="Times New Roman"/>
          <w:color w:val="auto"/>
          <w:sz w:val="32"/>
          <w:szCs w:val="32"/>
          <w:highlight w:val="none"/>
        </w:rPr>
        <w:t>指同级财政当年拨付的资金。</w:t>
      </w:r>
    </w:p>
    <w:p>
      <w:pPr>
        <w:keepNext w:val="0"/>
        <w:keepLines w:val="0"/>
        <w:pageBreakBefore w:val="0"/>
        <w:widowControl w:val="0"/>
        <w:kinsoku/>
        <w:wordWrap/>
        <w:overflowPunct/>
        <w:topLinePunct w:val="0"/>
        <w:autoSpaceDE w:val="0"/>
        <w:autoSpaceDN w:val="0"/>
        <w:bidi w:val="0"/>
        <w:adjustRightInd/>
        <w:snapToGrid/>
        <w:spacing w:line="560" w:lineRule="exact"/>
        <w:ind w:firstLine="643" w:firstLineChars="200"/>
        <w:jc w:val="left"/>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b/>
          <w:bCs/>
          <w:color w:val="auto"/>
          <w:sz w:val="32"/>
          <w:szCs w:val="32"/>
          <w:highlight w:val="none"/>
          <w:lang w:val="en-US" w:eastAsia="zh-CN"/>
        </w:rPr>
        <w:t>二、</w:t>
      </w:r>
      <w:r>
        <w:rPr>
          <w:rFonts w:hint="default" w:ascii="Times New Roman" w:hAnsi="Times New Roman" w:eastAsia="仿宋_GB2312" w:cs="Times New Roman"/>
          <w:b/>
          <w:bCs/>
          <w:color w:val="auto"/>
          <w:sz w:val="32"/>
          <w:szCs w:val="32"/>
          <w:highlight w:val="none"/>
        </w:rPr>
        <w:t>上级补助收入：</w:t>
      </w:r>
      <w:r>
        <w:rPr>
          <w:rFonts w:hint="default" w:ascii="Times New Roman" w:hAnsi="Times New Roman" w:eastAsia="仿宋_GB2312" w:cs="Times New Roman"/>
          <w:color w:val="auto"/>
          <w:sz w:val="32"/>
          <w:szCs w:val="32"/>
          <w:highlight w:val="none"/>
        </w:rPr>
        <w:t>指事业单位从主管部门和上级单位取得的非财政补助收入。</w:t>
      </w:r>
    </w:p>
    <w:p>
      <w:pPr>
        <w:keepNext w:val="0"/>
        <w:keepLines w:val="0"/>
        <w:pageBreakBefore w:val="0"/>
        <w:widowControl w:val="0"/>
        <w:kinsoku/>
        <w:wordWrap/>
        <w:overflowPunct/>
        <w:topLinePunct w:val="0"/>
        <w:autoSpaceDE w:val="0"/>
        <w:autoSpaceDN w:val="0"/>
        <w:bidi w:val="0"/>
        <w:adjustRightInd/>
        <w:snapToGrid/>
        <w:spacing w:line="560" w:lineRule="exact"/>
        <w:ind w:firstLine="643" w:firstLineChars="200"/>
        <w:jc w:val="left"/>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b/>
          <w:bCs/>
          <w:color w:val="auto"/>
          <w:sz w:val="32"/>
          <w:szCs w:val="32"/>
          <w:highlight w:val="none"/>
          <w:lang w:val="en-US" w:eastAsia="zh-CN"/>
        </w:rPr>
        <w:t>三、</w:t>
      </w:r>
      <w:r>
        <w:rPr>
          <w:rFonts w:hint="default" w:ascii="Times New Roman" w:hAnsi="Times New Roman" w:eastAsia="仿宋_GB2312" w:cs="Times New Roman"/>
          <w:b/>
          <w:bCs/>
          <w:color w:val="auto"/>
          <w:sz w:val="32"/>
          <w:szCs w:val="32"/>
          <w:highlight w:val="none"/>
        </w:rPr>
        <w:t>事业收入：</w:t>
      </w:r>
      <w:r>
        <w:rPr>
          <w:rFonts w:hint="default" w:ascii="Times New Roman" w:hAnsi="Times New Roman" w:eastAsia="仿宋_GB2312" w:cs="Times New Roman"/>
          <w:color w:val="auto"/>
          <w:sz w:val="32"/>
          <w:szCs w:val="32"/>
          <w:highlight w:val="none"/>
        </w:rPr>
        <w:t>指事业单位开展专业业务活动及其辅助活动所取得的收入。</w:t>
      </w:r>
    </w:p>
    <w:p>
      <w:pPr>
        <w:keepNext w:val="0"/>
        <w:keepLines w:val="0"/>
        <w:pageBreakBefore w:val="0"/>
        <w:widowControl w:val="0"/>
        <w:kinsoku/>
        <w:wordWrap/>
        <w:overflowPunct/>
        <w:topLinePunct w:val="0"/>
        <w:autoSpaceDE w:val="0"/>
        <w:autoSpaceDN w:val="0"/>
        <w:bidi w:val="0"/>
        <w:adjustRightInd/>
        <w:snapToGrid/>
        <w:spacing w:line="560" w:lineRule="exact"/>
        <w:ind w:firstLine="643" w:firstLineChars="200"/>
        <w:jc w:val="left"/>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b/>
          <w:bCs/>
          <w:color w:val="auto"/>
          <w:sz w:val="32"/>
          <w:szCs w:val="32"/>
          <w:highlight w:val="none"/>
          <w:lang w:val="en-US" w:eastAsia="zh-CN"/>
        </w:rPr>
        <w:t>四、</w:t>
      </w:r>
      <w:r>
        <w:rPr>
          <w:rFonts w:hint="default" w:ascii="Times New Roman" w:hAnsi="Times New Roman" w:eastAsia="仿宋_GB2312" w:cs="Times New Roman"/>
          <w:b/>
          <w:bCs/>
          <w:color w:val="auto"/>
          <w:sz w:val="32"/>
          <w:szCs w:val="32"/>
          <w:highlight w:val="none"/>
        </w:rPr>
        <w:t>经营收入：</w:t>
      </w:r>
      <w:r>
        <w:rPr>
          <w:rFonts w:hint="default" w:ascii="Times New Roman" w:hAnsi="Times New Roman" w:eastAsia="仿宋_GB2312" w:cs="Times New Roman"/>
          <w:color w:val="auto"/>
          <w:sz w:val="32"/>
          <w:szCs w:val="32"/>
          <w:highlight w:val="none"/>
        </w:rPr>
        <w:t>指事业单位在专业业务活动及其辅助活动之外开展非独立核算经营活动取得的收入。</w:t>
      </w:r>
    </w:p>
    <w:p>
      <w:pPr>
        <w:keepNext w:val="0"/>
        <w:keepLines w:val="0"/>
        <w:pageBreakBefore w:val="0"/>
        <w:widowControl w:val="0"/>
        <w:kinsoku/>
        <w:wordWrap/>
        <w:overflowPunct/>
        <w:topLinePunct w:val="0"/>
        <w:autoSpaceDE w:val="0"/>
        <w:autoSpaceDN w:val="0"/>
        <w:bidi w:val="0"/>
        <w:adjustRightInd/>
        <w:snapToGrid/>
        <w:spacing w:line="560" w:lineRule="exact"/>
        <w:ind w:firstLine="643" w:firstLineChars="200"/>
        <w:jc w:val="left"/>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b/>
          <w:bCs/>
          <w:color w:val="auto"/>
          <w:sz w:val="32"/>
          <w:szCs w:val="32"/>
          <w:highlight w:val="none"/>
          <w:lang w:val="en-US" w:eastAsia="zh-CN"/>
        </w:rPr>
        <w:t>五、</w:t>
      </w:r>
      <w:r>
        <w:rPr>
          <w:rFonts w:hint="default" w:ascii="Times New Roman" w:hAnsi="Times New Roman" w:eastAsia="仿宋_GB2312" w:cs="Times New Roman"/>
          <w:b/>
          <w:bCs/>
          <w:color w:val="auto"/>
          <w:sz w:val="32"/>
          <w:szCs w:val="32"/>
          <w:highlight w:val="none"/>
        </w:rPr>
        <w:t>附属单位上缴收入：</w:t>
      </w:r>
      <w:r>
        <w:rPr>
          <w:rFonts w:hint="default" w:ascii="Times New Roman" w:hAnsi="Times New Roman" w:eastAsia="仿宋_GB2312" w:cs="Times New Roman"/>
          <w:color w:val="auto"/>
          <w:sz w:val="32"/>
          <w:szCs w:val="32"/>
          <w:highlight w:val="none"/>
        </w:rPr>
        <w:t>指事业单位附属的独立核算单位按有关规定上缴的收入。</w:t>
      </w:r>
    </w:p>
    <w:p>
      <w:pPr>
        <w:keepNext w:val="0"/>
        <w:keepLines w:val="0"/>
        <w:pageBreakBefore w:val="0"/>
        <w:widowControl w:val="0"/>
        <w:kinsoku/>
        <w:wordWrap/>
        <w:overflowPunct/>
        <w:topLinePunct w:val="0"/>
        <w:autoSpaceDE w:val="0"/>
        <w:autoSpaceDN w:val="0"/>
        <w:bidi w:val="0"/>
        <w:adjustRightInd/>
        <w:snapToGrid/>
        <w:spacing w:line="560" w:lineRule="exact"/>
        <w:ind w:firstLine="643" w:firstLineChars="200"/>
        <w:jc w:val="left"/>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b/>
          <w:bCs/>
          <w:color w:val="auto"/>
          <w:sz w:val="32"/>
          <w:szCs w:val="32"/>
          <w:highlight w:val="none"/>
          <w:lang w:val="en-US" w:eastAsia="zh-CN"/>
        </w:rPr>
        <w:t>六、</w:t>
      </w:r>
      <w:r>
        <w:rPr>
          <w:rFonts w:hint="default" w:ascii="Times New Roman" w:hAnsi="Times New Roman" w:eastAsia="仿宋_GB2312" w:cs="Times New Roman"/>
          <w:b/>
          <w:bCs/>
          <w:color w:val="auto"/>
          <w:sz w:val="32"/>
          <w:szCs w:val="32"/>
          <w:highlight w:val="none"/>
        </w:rPr>
        <w:t>其他收入：</w:t>
      </w:r>
      <w:r>
        <w:rPr>
          <w:rFonts w:hint="default" w:ascii="Times New Roman" w:hAnsi="Times New Roman" w:eastAsia="仿宋_GB2312" w:cs="Times New Roman"/>
          <w:color w:val="auto"/>
          <w:sz w:val="32"/>
          <w:szCs w:val="32"/>
          <w:highlight w:val="none"/>
        </w:rPr>
        <w:t>指除上述“财政拨款收入”、“事业收入”、“经营收入”、“附属单位上缴收入”等之外取得的收入。</w:t>
      </w:r>
    </w:p>
    <w:p>
      <w:pPr>
        <w:keepNext w:val="0"/>
        <w:keepLines w:val="0"/>
        <w:pageBreakBefore w:val="0"/>
        <w:widowControl w:val="0"/>
        <w:kinsoku/>
        <w:wordWrap/>
        <w:overflowPunct/>
        <w:topLinePunct w:val="0"/>
        <w:autoSpaceDE w:val="0"/>
        <w:autoSpaceDN w:val="0"/>
        <w:bidi w:val="0"/>
        <w:adjustRightInd/>
        <w:snapToGrid/>
        <w:spacing w:line="560" w:lineRule="exact"/>
        <w:ind w:firstLine="643" w:firstLineChars="200"/>
        <w:jc w:val="left"/>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b/>
          <w:bCs/>
          <w:color w:val="auto"/>
          <w:sz w:val="32"/>
          <w:szCs w:val="32"/>
          <w:highlight w:val="none"/>
          <w:lang w:val="en-US" w:eastAsia="zh-CN"/>
        </w:rPr>
        <w:t>七、</w:t>
      </w:r>
      <w:r>
        <w:rPr>
          <w:rFonts w:hint="default" w:ascii="Times New Roman" w:hAnsi="Times New Roman" w:eastAsia="仿宋_GB2312" w:cs="Times New Roman"/>
          <w:b/>
          <w:bCs/>
          <w:color w:val="auto"/>
          <w:sz w:val="32"/>
          <w:szCs w:val="32"/>
          <w:highlight w:val="none"/>
          <w:lang w:eastAsia="zh-CN"/>
        </w:rPr>
        <w:t>年初</w:t>
      </w:r>
      <w:r>
        <w:rPr>
          <w:rFonts w:hint="default" w:ascii="Times New Roman" w:hAnsi="Times New Roman" w:eastAsia="仿宋_GB2312" w:cs="Times New Roman"/>
          <w:b/>
          <w:bCs/>
          <w:color w:val="auto"/>
          <w:sz w:val="32"/>
          <w:szCs w:val="32"/>
          <w:highlight w:val="none"/>
        </w:rPr>
        <w:t>结转和结余：</w:t>
      </w:r>
      <w:r>
        <w:rPr>
          <w:rFonts w:hint="default" w:ascii="Times New Roman" w:hAnsi="Times New Roman" w:eastAsia="仿宋_GB2312" w:cs="Times New Roman"/>
          <w:color w:val="auto"/>
          <w:sz w:val="32"/>
          <w:szCs w:val="32"/>
          <w:highlight w:val="none"/>
        </w:rPr>
        <w:t>指以前年度支出预算因客观条件变化未执行完毕、结转到本年度按有关规定继续使用的资金，既包括财政拨款结转和结余，也包括事业收入、经营收入、其他收入的结转和结余。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560" w:lineRule="exact"/>
        <w:ind w:firstLine="643" w:firstLineChars="200"/>
        <w:jc w:val="left"/>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b/>
          <w:bCs/>
          <w:color w:val="auto"/>
          <w:sz w:val="32"/>
          <w:szCs w:val="32"/>
          <w:highlight w:val="none"/>
          <w:lang w:val="en-US" w:eastAsia="zh-CN"/>
        </w:rPr>
        <w:t>八、</w:t>
      </w:r>
      <w:r>
        <w:rPr>
          <w:rFonts w:hint="default" w:ascii="Times New Roman" w:hAnsi="Times New Roman" w:eastAsia="仿宋_GB2312" w:cs="Times New Roman"/>
          <w:b/>
          <w:bCs/>
          <w:color w:val="auto"/>
          <w:sz w:val="32"/>
          <w:szCs w:val="32"/>
          <w:highlight w:val="none"/>
        </w:rPr>
        <w:t>年末结转和结余：</w:t>
      </w:r>
      <w:r>
        <w:rPr>
          <w:rFonts w:hint="default" w:ascii="Times New Roman" w:hAnsi="Times New Roman" w:eastAsia="仿宋_GB2312" w:cs="Times New Roman"/>
          <w:color w:val="auto"/>
          <w:sz w:val="32"/>
          <w:szCs w:val="32"/>
          <w:highlight w:val="none"/>
        </w:rPr>
        <w:t>指本年度或以前年度预算安排、因客观条件发生变化无法按原计划实施，需要延迟到以后年度按有关规定继续使用的资金，既包括财政拨款结转和结余，也包括事业收入、经营收入、其他收入的结转和结余。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560" w:lineRule="exact"/>
        <w:ind w:firstLine="643" w:firstLineChars="200"/>
        <w:jc w:val="left"/>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b/>
          <w:bCs/>
          <w:color w:val="auto"/>
          <w:sz w:val="32"/>
          <w:szCs w:val="32"/>
          <w:highlight w:val="none"/>
          <w:lang w:val="en-US" w:eastAsia="zh-CN"/>
        </w:rPr>
        <w:t>九、</w:t>
      </w:r>
      <w:r>
        <w:rPr>
          <w:rFonts w:hint="default" w:ascii="Times New Roman" w:hAnsi="Times New Roman" w:eastAsia="仿宋_GB2312" w:cs="Times New Roman"/>
          <w:b/>
          <w:bCs/>
          <w:color w:val="auto"/>
          <w:sz w:val="32"/>
          <w:szCs w:val="32"/>
          <w:highlight w:val="none"/>
        </w:rPr>
        <w:t>基本支出：</w:t>
      </w:r>
      <w:r>
        <w:rPr>
          <w:rFonts w:hint="default" w:ascii="Times New Roman" w:hAnsi="Times New Roman" w:eastAsia="仿宋_GB2312" w:cs="Times New Roman"/>
          <w:color w:val="auto"/>
          <w:sz w:val="32"/>
          <w:szCs w:val="32"/>
          <w:highlight w:val="none"/>
        </w:rPr>
        <w:t>指为保障机构正常运转、完成日常工作任务而发生的人员支出和公用支出。</w:t>
      </w:r>
    </w:p>
    <w:p>
      <w:pPr>
        <w:keepNext w:val="0"/>
        <w:keepLines w:val="0"/>
        <w:pageBreakBefore w:val="0"/>
        <w:widowControl w:val="0"/>
        <w:kinsoku/>
        <w:wordWrap/>
        <w:overflowPunct/>
        <w:topLinePunct w:val="0"/>
        <w:autoSpaceDE w:val="0"/>
        <w:autoSpaceDN w:val="0"/>
        <w:bidi w:val="0"/>
        <w:adjustRightInd/>
        <w:snapToGrid/>
        <w:spacing w:line="560" w:lineRule="exact"/>
        <w:ind w:firstLine="643" w:firstLineChars="200"/>
        <w:jc w:val="left"/>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b/>
          <w:bCs/>
          <w:color w:val="auto"/>
          <w:sz w:val="32"/>
          <w:szCs w:val="32"/>
          <w:highlight w:val="none"/>
          <w:lang w:val="en-US" w:eastAsia="zh-CN"/>
        </w:rPr>
        <w:t>十、</w:t>
      </w:r>
      <w:r>
        <w:rPr>
          <w:rFonts w:hint="default" w:ascii="Times New Roman" w:hAnsi="Times New Roman" w:eastAsia="仿宋_GB2312" w:cs="Times New Roman"/>
          <w:b/>
          <w:bCs/>
          <w:color w:val="auto"/>
          <w:sz w:val="32"/>
          <w:szCs w:val="32"/>
          <w:highlight w:val="none"/>
        </w:rPr>
        <w:t>项目支出：</w:t>
      </w:r>
      <w:r>
        <w:rPr>
          <w:rFonts w:hint="default" w:ascii="Times New Roman" w:hAnsi="Times New Roman" w:eastAsia="仿宋_GB2312" w:cs="Times New Roman"/>
          <w:color w:val="auto"/>
          <w:sz w:val="32"/>
          <w:szCs w:val="32"/>
          <w:highlight w:val="none"/>
        </w:rPr>
        <w:t>指在基本支出之外为完成特定行政任务和事业发展目标所发生的支出。</w:t>
      </w:r>
    </w:p>
    <w:p>
      <w:pPr>
        <w:keepNext w:val="0"/>
        <w:keepLines w:val="0"/>
        <w:pageBreakBefore w:val="0"/>
        <w:widowControl w:val="0"/>
        <w:kinsoku/>
        <w:wordWrap/>
        <w:overflowPunct/>
        <w:topLinePunct w:val="0"/>
        <w:autoSpaceDE w:val="0"/>
        <w:autoSpaceDN w:val="0"/>
        <w:bidi w:val="0"/>
        <w:adjustRightInd/>
        <w:snapToGrid/>
        <w:spacing w:line="560" w:lineRule="exact"/>
        <w:ind w:firstLine="643"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b/>
          <w:bCs/>
          <w:color w:val="auto"/>
          <w:sz w:val="32"/>
          <w:szCs w:val="32"/>
          <w:highlight w:val="none"/>
          <w:lang w:val="en-US" w:eastAsia="zh-CN"/>
        </w:rPr>
        <w:t>十一、</w:t>
      </w:r>
      <w:r>
        <w:rPr>
          <w:rFonts w:hint="default" w:ascii="Times New Roman" w:hAnsi="Times New Roman" w:eastAsia="仿宋_GB2312" w:cs="Times New Roman"/>
          <w:b/>
          <w:bCs/>
          <w:color w:val="auto"/>
          <w:sz w:val="32"/>
          <w:szCs w:val="32"/>
          <w:highlight w:val="none"/>
        </w:rPr>
        <w:t>经营支出：</w:t>
      </w:r>
      <w:r>
        <w:rPr>
          <w:rFonts w:hint="default" w:ascii="Times New Roman" w:hAnsi="Times New Roman" w:eastAsia="仿宋_GB2312" w:cs="Times New Roman"/>
          <w:color w:val="auto"/>
          <w:sz w:val="32"/>
          <w:szCs w:val="32"/>
          <w:highlight w:val="none"/>
        </w:rPr>
        <w:t>指事业单位在专业业务活动及其辅助活动之外开展非独立核算经营活动发生的支出。</w:t>
      </w:r>
    </w:p>
    <w:p>
      <w:pPr>
        <w:keepNext w:val="0"/>
        <w:keepLines w:val="0"/>
        <w:pageBreakBefore w:val="0"/>
        <w:widowControl w:val="0"/>
        <w:kinsoku/>
        <w:wordWrap/>
        <w:overflowPunct/>
        <w:topLinePunct w:val="0"/>
        <w:autoSpaceDE w:val="0"/>
        <w:autoSpaceDN w:val="0"/>
        <w:bidi w:val="0"/>
        <w:adjustRightInd/>
        <w:snapToGrid/>
        <w:spacing w:line="560" w:lineRule="exact"/>
        <w:ind w:firstLine="643"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b/>
          <w:bCs/>
          <w:color w:val="auto"/>
          <w:sz w:val="32"/>
          <w:szCs w:val="32"/>
          <w:highlight w:val="none"/>
          <w:lang w:val="en-US" w:eastAsia="zh-CN"/>
        </w:rPr>
        <w:t>十二、</w:t>
      </w:r>
      <w:r>
        <w:rPr>
          <w:rFonts w:hint="default" w:ascii="Times New Roman" w:hAnsi="Times New Roman" w:eastAsia="仿宋_GB2312" w:cs="Times New Roman"/>
          <w:b/>
          <w:bCs/>
          <w:color w:val="auto"/>
          <w:sz w:val="32"/>
          <w:szCs w:val="32"/>
          <w:highlight w:val="none"/>
        </w:rPr>
        <w:t>对附属单位补助支出：</w:t>
      </w:r>
      <w:r>
        <w:rPr>
          <w:rFonts w:hint="default" w:ascii="Times New Roman" w:hAnsi="Times New Roman" w:eastAsia="仿宋_GB2312" w:cs="Times New Roman"/>
          <w:color w:val="auto"/>
          <w:sz w:val="32"/>
          <w:szCs w:val="32"/>
          <w:highlight w:val="none"/>
        </w:rPr>
        <w:t>指事业单位发生的用非财政预算资金对附属单位的补助支出。</w:t>
      </w:r>
    </w:p>
    <w:p>
      <w:pPr>
        <w:keepNext w:val="0"/>
        <w:keepLines w:val="0"/>
        <w:pageBreakBefore w:val="0"/>
        <w:widowControl w:val="0"/>
        <w:kinsoku/>
        <w:wordWrap/>
        <w:overflowPunct/>
        <w:topLinePunct w:val="0"/>
        <w:autoSpaceDE w:val="0"/>
        <w:autoSpaceDN w:val="0"/>
        <w:bidi w:val="0"/>
        <w:adjustRightInd/>
        <w:snapToGrid/>
        <w:spacing w:line="560" w:lineRule="exact"/>
        <w:ind w:firstLine="643"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b/>
          <w:bCs/>
          <w:color w:val="auto"/>
          <w:sz w:val="32"/>
          <w:szCs w:val="32"/>
          <w:highlight w:val="none"/>
          <w:lang w:val="en-US" w:eastAsia="zh-CN"/>
        </w:rPr>
        <w:t>十三、</w:t>
      </w:r>
      <w:r>
        <w:rPr>
          <w:rFonts w:hint="default" w:ascii="Times New Roman" w:hAnsi="Times New Roman" w:eastAsia="仿宋_GB2312" w:cs="Times New Roman"/>
          <w:b/>
          <w:bCs/>
          <w:color w:val="auto"/>
          <w:sz w:val="32"/>
          <w:szCs w:val="32"/>
          <w:highlight w:val="none"/>
        </w:rPr>
        <w:t>“三公”经费：</w:t>
      </w:r>
      <w:r>
        <w:rPr>
          <w:rFonts w:hint="default" w:ascii="Times New Roman" w:hAnsi="Times New Roman" w:eastAsia="仿宋_GB2312" w:cs="Times New Roman"/>
          <w:color w:val="auto"/>
          <w:sz w:val="32"/>
          <w:szCs w:val="32"/>
          <w:highlight w:val="none"/>
        </w:rPr>
        <w:t>指用财政拨款安排的因公出国（境）费、公务用车购置及运行费和公务接待费。其中，因公出国（境）费反映单位公务出国（境）的</w:t>
      </w:r>
      <w:r>
        <w:rPr>
          <w:rFonts w:hint="default" w:ascii="Times New Roman" w:hAnsi="Times New Roman" w:eastAsia="仿宋_GB2312" w:cs="Times New Roman"/>
          <w:color w:val="auto"/>
          <w:sz w:val="32"/>
          <w:szCs w:val="32"/>
          <w:highlight w:val="none"/>
          <w:lang w:eastAsia="zh-CN"/>
        </w:rPr>
        <w:t>国际旅费、国外城市间交通费、</w:t>
      </w:r>
      <w:r>
        <w:rPr>
          <w:rFonts w:hint="default" w:ascii="Times New Roman" w:hAnsi="Times New Roman" w:eastAsia="仿宋_GB2312" w:cs="Times New Roman"/>
          <w:color w:val="auto"/>
          <w:sz w:val="32"/>
          <w:szCs w:val="32"/>
          <w:highlight w:val="none"/>
        </w:rPr>
        <w:t>住宿费、伙食费、培训费、</w:t>
      </w:r>
      <w:r>
        <w:rPr>
          <w:rFonts w:hint="default" w:ascii="Times New Roman" w:hAnsi="Times New Roman" w:eastAsia="仿宋_GB2312" w:cs="Times New Roman"/>
          <w:color w:val="auto"/>
          <w:sz w:val="32"/>
          <w:szCs w:val="32"/>
          <w:highlight w:val="none"/>
          <w:lang w:eastAsia="zh-CN"/>
        </w:rPr>
        <w:t>公</w:t>
      </w:r>
      <w:r>
        <w:rPr>
          <w:rFonts w:hint="default" w:ascii="Times New Roman" w:hAnsi="Times New Roman" w:eastAsia="仿宋_GB2312" w:cs="Times New Roman"/>
          <w:color w:val="auto"/>
          <w:sz w:val="32"/>
          <w:szCs w:val="32"/>
          <w:highlight w:val="none"/>
        </w:rPr>
        <w:t>杂费等支出；公务用车购置费</w:t>
      </w:r>
      <w:r>
        <w:rPr>
          <w:rFonts w:hint="default" w:ascii="Times New Roman" w:hAnsi="Times New Roman" w:eastAsia="仿宋_GB2312" w:cs="Times New Roman"/>
          <w:color w:val="auto"/>
          <w:sz w:val="32"/>
          <w:szCs w:val="32"/>
          <w:highlight w:val="none"/>
          <w:lang w:eastAsia="zh-CN"/>
        </w:rPr>
        <w:t>反映公务用车购置支出（含车辆购置税、牌照费）；</w:t>
      </w:r>
      <w:r>
        <w:rPr>
          <w:rFonts w:hint="default" w:ascii="Times New Roman" w:hAnsi="Times New Roman" w:eastAsia="仿宋_GB2312" w:cs="Times New Roman"/>
          <w:color w:val="auto"/>
          <w:sz w:val="32"/>
          <w:szCs w:val="32"/>
          <w:highlight w:val="none"/>
        </w:rPr>
        <w:t>公务用车运行</w:t>
      </w:r>
      <w:r>
        <w:rPr>
          <w:rFonts w:hint="default" w:ascii="Times New Roman" w:hAnsi="Times New Roman" w:eastAsia="仿宋_GB2312" w:cs="Times New Roman"/>
          <w:color w:val="auto"/>
          <w:sz w:val="32"/>
          <w:szCs w:val="32"/>
          <w:highlight w:val="none"/>
          <w:lang w:eastAsia="zh-CN"/>
        </w:rPr>
        <w:t>维护</w:t>
      </w:r>
      <w:r>
        <w:rPr>
          <w:rFonts w:hint="default" w:ascii="Times New Roman" w:hAnsi="Times New Roman" w:eastAsia="仿宋_GB2312" w:cs="Times New Roman"/>
          <w:color w:val="auto"/>
          <w:sz w:val="32"/>
          <w:szCs w:val="32"/>
          <w:highlight w:val="none"/>
        </w:rPr>
        <w:t>费反映</w:t>
      </w:r>
      <w:r>
        <w:rPr>
          <w:rFonts w:hint="default" w:ascii="Times New Roman" w:hAnsi="Times New Roman" w:eastAsia="仿宋_GB2312" w:cs="Times New Roman"/>
          <w:color w:val="auto"/>
          <w:sz w:val="32"/>
          <w:szCs w:val="32"/>
          <w:highlight w:val="none"/>
          <w:lang w:eastAsia="zh-CN"/>
        </w:rPr>
        <w:t>单位按规定保留的公务用车燃料费、维修费、</w:t>
      </w:r>
      <w:r>
        <w:rPr>
          <w:rFonts w:hint="default" w:ascii="Times New Roman" w:hAnsi="Times New Roman" w:eastAsia="仿宋_GB2312" w:cs="Times New Roman"/>
          <w:color w:val="auto"/>
          <w:sz w:val="32"/>
          <w:szCs w:val="32"/>
          <w:highlight w:val="none"/>
        </w:rPr>
        <w:t>过路过桥费、保险费、安全奖励费用等支出</w:t>
      </w: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rPr>
        <w:t>公务接待费反映单位按规定开支的各类公务接待（含外宾接待）</w:t>
      </w:r>
      <w:r>
        <w:rPr>
          <w:rFonts w:hint="default" w:ascii="Times New Roman" w:hAnsi="Times New Roman" w:eastAsia="仿宋_GB2312" w:cs="Times New Roman"/>
          <w:color w:val="auto"/>
          <w:sz w:val="32"/>
          <w:szCs w:val="32"/>
          <w:highlight w:val="none"/>
          <w:lang w:eastAsia="zh-CN"/>
        </w:rPr>
        <w:t>费用</w:t>
      </w:r>
      <w:r>
        <w:rPr>
          <w:rFonts w:hint="default" w:ascii="Times New Roman" w:hAnsi="Times New Roman" w:eastAsia="仿宋_GB2312" w:cs="Times New Roman"/>
          <w:color w:val="auto"/>
          <w:sz w:val="32"/>
          <w:szCs w:val="32"/>
          <w:highlight w:val="none"/>
        </w:rPr>
        <w:t>。</w:t>
      </w:r>
    </w:p>
    <w:p>
      <w:pPr>
        <w:keepNext w:val="0"/>
        <w:keepLines w:val="0"/>
        <w:pageBreakBefore w:val="0"/>
        <w:widowControl w:val="0"/>
        <w:kinsoku/>
        <w:wordWrap/>
        <w:overflowPunct/>
        <w:topLinePunct w:val="0"/>
        <w:bidi w:val="0"/>
        <w:adjustRightInd/>
        <w:snapToGrid/>
        <w:spacing w:line="560" w:lineRule="exact"/>
        <w:ind w:firstLine="643"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b/>
          <w:bCs/>
          <w:color w:val="auto"/>
          <w:sz w:val="32"/>
          <w:szCs w:val="32"/>
          <w:highlight w:val="none"/>
          <w:lang w:val="en-US" w:eastAsia="zh-CN"/>
        </w:rPr>
        <w:t>十四、</w:t>
      </w:r>
      <w:r>
        <w:rPr>
          <w:rFonts w:hint="default" w:ascii="Times New Roman" w:hAnsi="Times New Roman" w:eastAsia="仿宋_GB2312" w:cs="Times New Roman"/>
          <w:b/>
          <w:bCs/>
          <w:color w:val="auto"/>
          <w:sz w:val="32"/>
          <w:szCs w:val="32"/>
          <w:highlight w:val="none"/>
        </w:rPr>
        <w:t>机关运行经费：</w:t>
      </w:r>
      <w:r>
        <w:rPr>
          <w:rFonts w:hint="default" w:ascii="Times New Roman" w:hAnsi="Times New Roman" w:eastAsia="仿宋_GB2312" w:cs="Times New Roman"/>
          <w:color w:val="auto"/>
          <w:sz w:val="32"/>
          <w:szCs w:val="32"/>
          <w:highlight w:val="none"/>
        </w:rPr>
        <w:t>行政单位和参照公务员法管理的事业单位财政拨款基本支出中的公用经费支出。</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center"/>
        <w:textAlignment w:val="auto"/>
        <w:outlineLvl w:val="0"/>
        <w:rPr>
          <w:rFonts w:hint="default" w:ascii="Times New Roman" w:hAnsi="Times New Roman" w:eastAsia="黑体" w:cs="Times New Roman"/>
          <w:color w:val="auto"/>
          <w:sz w:val="32"/>
          <w:szCs w:val="32"/>
          <w:highlight w:val="none"/>
        </w:rPr>
      </w:pPr>
      <w:r>
        <w:rPr>
          <w:rFonts w:hint="default" w:ascii="Times New Roman" w:hAnsi="Times New Roman" w:eastAsia="仿宋_GB2312" w:cs="Times New Roman"/>
          <w:color w:val="auto"/>
          <w:sz w:val="32"/>
          <w:szCs w:val="32"/>
          <w:highlight w:val="none"/>
        </w:rPr>
        <w:br w:type="page"/>
      </w:r>
      <w:r>
        <w:rPr>
          <w:rFonts w:hint="default" w:ascii="Times New Roman" w:hAnsi="Times New Roman" w:eastAsia="黑体" w:cs="Times New Roman"/>
          <w:color w:val="auto"/>
          <w:sz w:val="32"/>
          <w:szCs w:val="32"/>
          <w:highlight w:val="none"/>
        </w:rPr>
        <w:t>第四部分 部门决算报表（见附表）</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1"/>
        <w:rPr>
          <w:rFonts w:hint="default" w:ascii="Times New Roman" w:hAnsi="Times New Roman" w:eastAsia="仿宋_GB2312" w:cs="Times New Roman"/>
          <w:bCs/>
          <w:color w:val="auto"/>
          <w:kern w:val="0"/>
          <w:sz w:val="32"/>
          <w:szCs w:val="32"/>
          <w:highlight w:val="none"/>
        </w:rPr>
      </w:pPr>
      <w:bookmarkStart w:id="32" w:name="_Toc2183"/>
      <w:bookmarkStart w:id="33" w:name="_Toc6062"/>
      <w:r>
        <w:rPr>
          <w:rFonts w:hint="default" w:ascii="Times New Roman" w:hAnsi="Times New Roman" w:eastAsia="仿宋_GB2312" w:cs="Times New Roman"/>
          <w:bCs/>
          <w:color w:val="auto"/>
          <w:kern w:val="0"/>
          <w:sz w:val="32"/>
          <w:szCs w:val="32"/>
          <w:highlight w:val="none"/>
        </w:rPr>
        <w:t>一、《收入支出决算总表》</w:t>
      </w:r>
      <w:bookmarkEnd w:id="32"/>
      <w:bookmarkEnd w:id="33"/>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1"/>
        <w:rPr>
          <w:rFonts w:hint="default" w:ascii="Times New Roman" w:hAnsi="Times New Roman" w:eastAsia="仿宋_GB2312" w:cs="Times New Roman"/>
          <w:bCs/>
          <w:color w:val="auto"/>
          <w:kern w:val="0"/>
          <w:sz w:val="32"/>
          <w:szCs w:val="32"/>
          <w:highlight w:val="none"/>
        </w:rPr>
      </w:pPr>
      <w:bookmarkStart w:id="34" w:name="_Toc30364"/>
      <w:bookmarkStart w:id="35" w:name="_Toc24532"/>
      <w:r>
        <w:rPr>
          <w:rFonts w:hint="default" w:ascii="Times New Roman" w:hAnsi="Times New Roman" w:eastAsia="仿宋_GB2312" w:cs="Times New Roman"/>
          <w:bCs/>
          <w:color w:val="auto"/>
          <w:kern w:val="0"/>
          <w:sz w:val="32"/>
          <w:szCs w:val="32"/>
          <w:highlight w:val="none"/>
        </w:rPr>
        <w:t>二、《收入决算表》</w:t>
      </w:r>
      <w:bookmarkEnd w:id="34"/>
      <w:bookmarkEnd w:id="35"/>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1"/>
        <w:rPr>
          <w:rFonts w:hint="default" w:ascii="Times New Roman" w:hAnsi="Times New Roman" w:eastAsia="仿宋_GB2312" w:cs="Times New Roman"/>
          <w:bCs/>
          <w:color w:val="auto"/>
          <w:kern w:val="0"/>
          <w:sz w:val="32"/>
          <w:szCs w:val="32"/>
          <w:highlight w:val="none"/>
        </w:rPr>
      </w:pPr>
      <w:bookmarkStart w:id="36" w:name="_Toc21304"/>
      <w:bookmarkStart w:id="37" w:name="_Toc32434"/>
      <w:r>
        <w:rPr>
          <w:rFonts w:hint="default" w:ascii="Times New Roman" w:hAnsi="Times New Roman" w:eastAsia="仿宋_GB2312" w:cs="Times New Roman"/>
          <w:bCs/>
          <w:color w:val="auto"/>
          <w:kern w:val="0"/>
          <w:sz w:val="32"/>
          <w:szCs w:val="32"/>
          <w:highlight w:val="none"/>
        </w:rPr>
        <w:t>三、《支出决算表》</w:t>
      </w:r>
      <w:bookmarkEnd w:id="36"/>
      <w:bookmarkEnd w:id="37"/>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1"/>
        <w:rPr>
          <w:rFonts w:hint="default" w:ascii="Times New Roman" w:hAnsi="Times New Roman" w:eastAsia="仿宋_GB2312" w:cs="Times New Roman"/>
          <w:bCs/>
          <w:color w:val="auto"/>
          <w:kern w:val="0"/>
          <w:sz w:val="32"/>
          <w:szCs w:val="32"/>
          <w:highlight w:val="none"/>
        </w:rPr>
      </w:pPr>
      <w:bookmarkStart w:id="38" w:name="_Toc14238"/>
      <w:bookmarkStart w:id="39" w:name="_Toc28786"/>
      <w:r>
        <w:rPr>
          <w:rFonts w:hint="default" w:ascii="Times New Roman" w:hAnsi="Times New Roman" w:eastAsia="仿宋_GB2312" w:cs="Times New Roman"/>
          <w:bCs/>
          <w:color w:val="auto"/>
          <w:kern w:val="0"/>
          <w:sz w:val="32"/>
          <w:szCs w:val="32"/>
          <w:highlight w:val="none"/>
        </w:rPr>
        <w:t>四、《财政拨款收入支出决算总表》</w:t>
      </w:r>
      <w:bookmarkEnd w:id="38"/>
      <w:bookmarkEnd w:id="39"/>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1"/>
        <w:rPr>
          <w:rFonts w:hint="default" w:ascii="Times New Roman" w:hAnsi="Times New Roman" w:eastAsia="仿宋_GB2312" w:cs="Times New Roman"/>
          <w:bCs/>
          <w:color w:val="auto"/>
          <w:kern w:val="0"/>
          <w:sz w:val="32"/>
          <w:szCs w:val="32"/>
          <w:highlight w:val="none"/>
        </w:rPr>
      </w:pPr>
      <w:bookmarkStart w:id="40" w:name="_Toc10347"/>
      <w:bookmarkStart w:id="41" w:name="_Toc14869"/>
      <w:r>
        <w:rPr>
          <w:rFonts w:hint="default" w:ascii="Times New Roman" w:hAnsi="Times New Roman" w:eastAsia="仿宋_GB2312" w:cs="Times New Roman"/>
          <w:bCs/>
          <w:color w:val="auto"/>
          <w:kern w:val="0"/>
          <w:sz w:val="32"/>
          <w:szCs w:val="32"/>
          <w:highlight w:val="none"/>
        </w:rPr>
        <w:t>五、《一般公共预算财政拨款支出决算表》</w:t>
      </w:r>
      <w:bookmarkEnd w:id="40"/>
      <w:bookmarkEnd w:id="41"/>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1"/>
        <w:rPr>
          <w:rFonts w:hint="default" w:ascii="Times New Roman" w:hAnsi="Times New Roman" w:eastAsia="仿宋_GB2312" w:cs="Times New Roman"/>
          <w:bCs/>
          <w:color w:val="auto"/>
          <w:kern w:val="0"/>
          <w:sz w:val="32"/>
          <w:szCs w:val="32"/>
          <w:highlight w:val="none"/>
        </w:rPr>
      </w:pPr>
      <w:bookmarkStart w:id="42" w:name="_Toc5626"/>
      <w:bookmarkStart w:id="43" w:name="_Toc8884"/>
      <w:r>
        <w:rPr>
          <w:rFonts w:hint="default" w:ascii="Times New Roman" w:hAnsi="Times New Roman" w:eastAsia="仿宋_GB2312" w:cs="Times New Roman"/>
          <w:bCs/>
          <w:color w:val="auto"/>
          <w:kern w:val="0"/>
          <w:sz w:val="32"/>
          <w:szCs w:val="32"/>
          <w:highlight w:val="none"/>
        </w:rPr>
        <w:t>六、《一般公共预算财政拨款基本支出决算表》</w:t>
      </w:r>
      <w:bookmarkEnd w:id="42"/>
      <w:bookmarkEnd w:id="43"/>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1"/>
        <w:rPr>
          <w:rFonts w:hint="default" w:ascii="Times New Roman" w:hAnsi="Times New Roman" w:eastAsia="仿宋_GB2312" w:cs="Times New Roman"/>
          <w:bCs/>
          <w:color w:val="auto"/>
          <w:kern w:val="0"/>
          <w:sz w:val="32"/>
          <w:szCs w:val="32"/>
          <w:highlight w:val="none"/>
        </w:rPr>
      </w:pPr>
      <w:r>
        <w:rPr>
          <w:rFonts w:hint="default" w:ascii="Times New Roman" w:hAnsi="Times New Roman" w:eastAsia="仿宋_GB2312" w:cs="Times New Roman"/>
          <w:bCs/>
          <w:color w:val="auto"/>
          <w:kern w:val="0"/>
          <w:sz w:val="32"/>
          <w:szCs w:val="32"/>
          <w:highlight w:val="none"/>
        </w:rPr>
        <w:t>七、</w:t>
      </w:r>
      <w:bookmarkStart w:id="44" w:name="_Toc29106"/>
      <w:bookmarkStart w:id="45" w:name="_Toc32663"/>
      <w:r>
        <w:rPr>
          <w:rFonts w:hint="default" w:ascii="Times New Roman" w:hAnsi="Times New Roman" w:eastAsia="仿宋_GB2312" w:cs="Times New Roman"/>
          <w:bCs/>
          <w:color w:val="auto"/>
          <w:kern w:val="0"/>
          <w:sz w:val="32"/>
          <w:szCs w:val="32"/>
          <w:highlight w:val="none"/>
        </w:rPr>
        <w:t>《财政拨款“三公”经费支出决算表》</w:t>
      </w:r>
      <w:bookmarkEnd w:id="44"/>
      <w:bookmarkEnd w:id="45"/>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1"/>
        <w:rPr>
          <w:rFonts w:hint="default" w:ascii="Times New Roman" w:hAnsi="Times New Roman" w:eastAsia="仿宋_GB2312" w:cs="Times New Roman"/>
          <w:bCs/>
          <w:color w:val="auto"/>
          <w:kern w:val="0"/>
          <w:sz w:val="32"/>
          <w:szCs w:val="32"/>
          <w:highlight w:val="none"/>
        </w:rPr>
      </w:pPr>
      <w:bookmarkStart w:id="46" w:name="_Toc5453"/>
      <w:bookmarkStart w:id="47" w:name="_Toc7643"/>
      <w:r>
        <w:rPr>
          <w:rFonts w:hint="default" w:ascii="Times New Roman" w:hAnsi="Times New Roman" w:eastAsia="仿宋_GB2312" w:cs="Times New Roman"/>
          <w:bCs/>
          <w:color w:val="auto"/>
          <w:kern w:val="0"/>
          <w:sz w:val="32"/>
          <w:szCs w:val="32"/>
          <w:highlight w:val="none"/>
        </w:rPr>
        <w:t>八、《政府性基金预算财政拨款收入支出决算表》</w:t>
      </w:r>
      <w:bookmarkEnd w:id="46"/>
      <w:bookmarkEnd w:id="47"/>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1"/>
        <w:rPr>
          <w:rFonts w:hint="default" w:ascii="Times New Roman" w:hAnsi="Times New Roman" w:eastAsia="仿宋_GB2312" w:cs="Times New Roman"/>
          <w:bCs/>
          <w:color w:val="auto"/>
          <w:kern w:val="0"/>
          <w:sz w:val="32"/>
          <w:szCs w:val="32"/>
          <w:highlight w:val="none"/>
        </w:rPr>
      </w:pPr>
      <w:r>
        <w:rPr>
          <w:rFonts w:hint="default" w:ascii="Times New Roman" w:hAnsi="Times New Roman" w:eastAsia="仿宋_GB2312" w:cs="Times New Roman"/>
          <w:bCs/>
          <w:color w:val="auto"/>
          <w:kern w:val="0"/>
          <w:sz w:val="32"/>
          <w:szCs w:val="32"/>
          <w:highlight w:val="none"/>
          <w:lang w:val="en-US" w:eastAsia="zh-CN"/>
        </w:rPr>
        <w:t>九</w:t>
      </w:r>
      <w:r>
        <w:rPr>
          <w:rFonts w:hint="default" w:ascii="Times New Roman" w:hAnsi="Times New Roman" w:eastAsia="仿宋_GB2312" w:cs="Times New Roman"/>
          <w:bCs/>
          <w:color w:val="auto"/>
          <w:kern w:val="0"/>
          <w:sz w:val="32"/>
          <w:szCs w:val="32"/>
          <w:highlight w:val="none"/>
        </w:rPr>
        <w:t>、《</w:t>
      </w:r>
      <w:r>
        <w:rPr>
          <w:rFonts w:hint="default" w:ascii="Times New Roman" w:hAnsi="Times New Roman" w:eastAsia="仿宋_GB2312" w:cs="Times New Roman"/>
          <w:bCs/>
          <w:color w:val="auto"/>
          <w:kern w:val="0"/>
          <w:sz w:val="32"/>
          <w:szCs w:val="32"/>
          <w:highlight w:val="none"/>
          <w:lang w:eastAsia="zh-CN"/>
        </w:rPr>
        <w:t>国有资本经营</w:t>
      </w:r>
      <w:r>
        <w:rPr>
          <w:rFonts w:hint="default" w:ascii="Times New Roman" w:hAnsi="Times New Roman" w:eastAsia="仿宋_GB2312" w:cs="Times New Roman"/>
          <w:bCs/>
          <w:color w:val="auto"/>
          <w:kern w:val="0"/>
          <w:sz w:val="32"/>
          <w:szCs w:val="32"/>
          <w:highlight w:val="none"/>
        </w:rPr>
        <w:t>预算财政拨款收入支出决算表》</w:t>
      </w:r>
    </w:p>
    <w:p>
      <w:pPr>
        <w:keepNext w:val="0"/>
        <w:keepLines w:val="0"/>
        <w:pageBreakBefore w:val="0"/>
        <w:widowControl w:val="0"/>
        <w:kinsoku/>
        <w:wordWrap/>
        <w:overflowPunct/>
        <w:topLinePunct w:val="0"/>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1"/>
        <w:rPr>
          <w:rFonts w:hint="default" w:ascii="Times New Roman" w:hAnsi="Times New Roman" w:eastAsia="黑体" w:cs="Times New Roman"/>
          <w:bCs/>
          <w:color w:val="auto"/>
          <w:kern w:val="0"/>
          <w:sz w:val="32"/>
          <w:szCs w:val="32"/>
          <w:highlight w:val="none"/>
          <w:lang w:eastAsia="zh-CN"/>
        </w:rPr>
      </w:pPr>
    </w:p>
    <w:sectPr>
      <w:pgSz w:w="11906" w:h="16838"/>
      <w:pgMar w:top="1440" w:right="1800" w:bottom="1440" w:left="1800" w:header="851" w:footer="992" w:gutter="0"/>
      <w:pgNumType w:fmt="numberInDash"/>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50"/>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altName w:val="微软雅黑"/>
    <w:panose1 w:val="02000000000000000000"/>
    <w:charset w:val="86"/>
    <w:family w:val="script"/>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posOffset>2451100</wp:posOffset>
              </wp:positionH>
              <wp:positionV relativeFrom="paragraph">
                <wp:posOffset>-153670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asciiTheme="minorEastAsia" w:hAnsiTheme="minorEastAsia" w:eastAsiaTheme="minorEastAsia" w:cstheme="minorEastAsia"/>
                              <w:sz w:val="28"/>
                              <w:szCs w:val="28"/>
                              <w:lang w:eastAsia="zh-CN"/>
                            </w:rPr>
                          </w:pPr>
                          <w:r>
                            <w:rPr>
                              <w:rFonts w:hint="eastAsia" w:asciiTheme="minorEastAsia" w:hAnsiTheme="minorEastAsia" w:eastAsiaTheme="minorEastAsia" w:cstheme="minorEastAsia"/>
                              <w:sz w:val="28"/>
                              <w:szCs w:val="28"/>
                              <w:lang w:eastAsia="zh-CN"/>
                            </w:rPr>
                            <w:fldChar w:fldCharType="begin"/>
                          </w:r>
                          <w:r>
                            <w:rPr>
                              <w:rFonts w:hint="eastAsia" w:asciiTheme="minorEastAsia" w:hAnsiTheme="minorEastAsia" w:eastAsiaTheme="minorEastAsia" w:cstheme="minorEastAsia"/>
                              <w:sz w:val="28"/>
                              <w:szCs w:val="28"/>
                              <w:lang w:eastAsia="zh-CN"/>
                            </w:rPr>
                            <w:instrText xml:space="preserve"> PAGE  \* MERGEFORMAT </w:instrText>
                          </w:r>
                          <w:r>
                            <w:rPr>
                              <w:rFonts w:hint="eastAsia" w:asciiTheme="minorEastAsia" w:hAnsiTheme="minorEastAsia" w:eastAsiaTheme="minorEastAsia" w:cstheme="minorEastAsia"/>
                              <w:sz w:val="28"/>
                              <w:szCs w:val="28"/>
                              <w:lang w:eastAsia="zh-CN"/>
                            </w:rPr>
                            <w:fldChar w:fldCharType="separate"/>
                          </w:r>
                          <w:r>
                            <w:rPr>
                              <w:rFonts w:hint="eastAsia" w:asciiTheme="minorEastAsia" w:hAnsiTheme="minorEastAsia" w:eastAsiaTheme="minorEastAsia" w:cstheme="minorEastAsia"/>
                              <w:sz w:val="28"/>
                              <w:szCs w:val="28"/>
                              <w:lang w:eastAsia="zh-CN"/>
                            </w:rPr>
                            <w:t>1</w:t>
                          </w:r>
                          <w:r>
                            <w:rPr>
                              <w:rFonts w:hint="eastAsia" w:asciiTheme="minorEastAsia" w:hAnsiTheme="minorEastAsia" w:eastAsiaTheme="minorEastAsia" w:cstheme="minorEastAsia"/>
                              <w:sz w:val="28"/>
                              <w:szCs w:val="28"/>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left:193pt;margin-top:-12.1pt;height:144pt;width:144pt;mso-position-horizontal-relative:margin;mso-wrap-style:none;z-index:251659264;mso-width-relative:page;mso-height-relative:page;" filled="f" stroked="f" coordsize="21600,21600" o:gfxdata="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">
              <v:fill on="f" focussize="0,0"/>
              <v:stroke on="f"/>
              <v:imagedata o:title=""/>
              <o:lock v:ext="edit" aspectratio="f"/>
              <v:textbox inset="0mm,0mm,0mm,0mm" style="mso-fit-shape-to-text:t;">
                <w:txbxContent>
                  <w:p>
                    <w:pPr>
                      <w:pStyle w:val="4"/>
                      <w:rPr>
                        <w:rFonts w:hint="eastAsia" w:asciiTheme="minorEastAsia" w:hAnsiTheme="minorEastAsia" w:eastAsiaTheme="minorEastAsia" w:cstheme="minorEastAsia"/>
                        <w:sz w:val="28"/>
                        <w:szCs w:val="28"/>
                        <w:lang w:eastAsia="zh-CN"/>
                      </w:rPr>
                    </w:pPr>
                    <w:r>
                      <w:rPr>
                        <w:rFonts w:hint="eastAsia" w:asciiTheme="minorEastAsia" w:hAnsiTheme="minorEastAsia" w:eastAsiaTheme="minorEastAsia" w:cstheme="minorEastAsia"/>
                        <w:sz w:val="28"/>
                        <w:szCs w:val="28"/>
                        <w:lang w:eastAsia="zh-CN"/>
                      </w:rPr>
                      <w:fldChar w:fldCharType="begin"/>
                    </w:r>
                    <w:r>
                      <w:rPr>
                        <w:rFonts w:hint="eastAsia" w:asciiTheme="minorEastAsia" w:hAnsiTheme="minorEastAsia" w:eastAsiaTheme="minorEastAsia" w:cstheme="minorEastAsia"/>
                        <w:sz w:val="28"/>
                        <w:szCs w:val="28"/>
                        <w:lang w:eastAsia="zh-CN"/>
                      </w:rPr>
                      <w:instrText xml:space="preserve"> PAGE  \* MERGEFORMAT </w:instrText>
                    </w:r>
                    <w:r>
                      <w:rPr>
                        <w:rFonts w:hint="eastAsia" w:asciiTheme="minorEastAsia" w:hAnsiTheme="minorEastAsia" w:eastAsiaTheme="minorEastAsia" w:cstheme="minorEastAsia"/>
                        <w:sz w:val="28"/>
                        <w:szCs w:val="28"/>
                        <w:lang w:eastAsia="zh-CN"/>
                      </w:rPr>
                      <w:fldChar w:fldCharType="separate"/>
                    </w:r>
                    <w:r>
                      <w:rPr>
                        <w:rFonts w:hint="eastAsia" w:asciiTheme="minorEastAsia" w:hAnsiTheme="minorEastAsia" w:eastAsiaTheme="minorEastAsia" w:cstheme="minorEastAsia"/>
                        <w:sz w:val="28"/>
                        <w:szCs w:val="28"/>
                        <w:lang w:eastAsia="zh-CN"/>
                      </w:rPr>
                      <w:t>1</w:t>
                    </w:r>
                    <w:r>
                      <w:rPr>
                        <w:rFonts w:hint="eastAsia" w:asciiTheme="minorEastAsia" w:hAnsiTheme="minorEastAsia" w:eastAsiaTheme="minorEastAsia" w:cstheme="minorEastAsia"/>
                        <w:sz w:val="28"/>
                        <w:szCs w:val="28"/>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NiYjdmOGU5M2EyYTY1ZTk1NzViNDE4MzcyOWY3YjkifQ=="/>
    <w:docVar w:name="KSO_WPS_MARK_KEY" w:val="41ee2a61-2d54-4f93-83be-afdb9a40d732"/>
  </w:docVars>
  <w:rsids>
    <w:rsidRoot w:val="00000000"/>
    <w:rsid w:val="00213C59"/>
    <w:rsid w:val="003210CE"/>
    <w:rsid w:val="00B70D59"/>
    <w:rsid w:val="00F52A8D"/>
    <w:rsid w:val="019404F8"/>
    <w:rsid w:val="01ED22F2"/>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A30B9B"/>
    <w:rsid w:val="34C13589"/>
    <w:rsid w:val="353369E3"/>
    <w:rsid w:val="35B21E0B"/>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5E816A3"/>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BED7256"/>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2B0ABA"/>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37837"/>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E0E35C4"/>
    <w:rsid w:val="6E0F7A08"/>
    <w:rsid w:val="6E3947F5"/>
    <w:rsid w:val="6E6E3938"/>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6D1C30"/>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B527379"/>
    <w:rsid w:val="7C7248A0"/>
    <w:rsid w:val="7C976D69"/>
    <w:rsid w:val="7CD752DA"/>
    <w:rsid w:val="7CDE40AB"/>
    <w:rsid w:val="7CF057E2"/>
    <w:rsid w:val="7D1548B5"/>
    <w:rsid w:val="7DF84014"/>
    <w:rsid w:val="7E207949"/>
    <w:rsid w:val="7E5C0A47"/>
    <w:rsid w:val="7E670C75"/>
    <w:rsid w:val="7EE24272"/>
    <w:rsid w:val="7EEA6053"/>
    <w:rsid w:val="7EFF2728"/>
    <w:rsid w:val="7F487C04"/>
    <w:rsid w:val="7FB45F21"/>
    <w:rsid w:val="7FE57088"/>
    <w:rsid w:val="7FF37FA3"/>
    <w:rsid w:val="F7FFD67A"/>
    <w:rsid w:val="FFE72DA8"/>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character" w:styleId="11">
    <w:name w:val="Strong"/>
    <w:basedOn w:val="10"/>
    <w:qFormat/>
    <w:uiPriority w:val="0"/>
    <w:rPr>
      <w:b/>
    </w:rPr>
  </w:style>
  <w:style w:type="paragraph" w:customStyle="1" w:styleId="12">
    <w:name w:val="WPSOffice手动目录 3"/>
    <w:qFormat/>
    <w:uiPriority w:val="0"/>
    <w:pPr>
      <w:ind w:leftChars="400"/>
    </w:pPr>
    <w:rPr>
      <w:rFonts w:ascii="Times New Roman" w:hAnsi="Times New Roman" w:eastAsia="宋体" w:cs="Times New Roman"/>
      <w:sz w:val="20"/>
      <w:szCs w:val="20"/>
    </w:rPr>
  </w:style>
  <w:style w:type="paragraph" w:customStyle="1" w:styleId="13">
    <w:name w:val="WPSOffice手动目录 2"/>
    <w:qFormat/>
    <w:uiPriority w:val="0"/>
    <w:pPr>
      <w:ind w:leftChars="200"/>
    </w:pPr>
    <w:rPr>
      <w:rFonts w:ascii="Times New Roman" w:hAnsi="Times New Roman" w:eastAsia="宋体" w:cs="Times New Roman"/>
      <w:sz w:val="20"/>
      <w:szCs w:val="20"/>
    </w:rPr>
  </w:style>
  <w:style w:type="paragraph" w:customStyle="1" w:styleId="14">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14</Pages>
  <Words>5138</Words>
  <Characters>5730</Characters>
  <Lines>0</Lines>
  <Paragraphs>0</Paragraphs>
  <TotalTime>4</TotalTime>
  <ScaleCrop>false</ScaleCrop>
  <LinksUpToDate>false</LinksUpToDate>
  <CharactersWithSpaces>5745</CharactersWithSpaces>
  <Application>WPS Office_12.1.0.16894_F1E327BC-269C-435d-A152-05C5408002CA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2014-10-30T20:08:00Z</dcterms:created>
  <dc:creator>GXR</dc:creator>
  <cp:lastModifiedBy>滑行前进</cp:lastModifiedBy>
  <dcterms:modified xsi:type="dcterms:W3CDTF">2024-09-09T05:30:06Z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2052-12.1.0.16894</vt:lpwstr>
  </property>
  <property fmtid="{D5CDD505-2E9C-101B-9397-08002B2CF9AE}" pid="3" name="ICV">
    <vt:lpwstr>0F254D23877B26FD62C8C56694CB8829</vt:lpwstr>
  </property>
</Properties>
</file>