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ECE1DB8">
      <w:pPr>
        <w:keepNext w:val="0"/>
        <w:keepLines w:val="0"/>
        <w:pageBreakBefore w:val="0"/>
        <w:wordWrap/>
        <w:overflowPunct/>
        <w:topLinePunct w:val="0"/>
        <w:bidi w:val="0"/>
        <w:spacing w:line="560" w:lineRule="exact"/>
        <w:jc w:val="both"/>
        <w:textAlignment w:val="auto"/>
        <w:rPr>
          <w:rFonts w:ascii="Times New Roman" w:hAnsi="Times New Roman" w:eastAsia="黑体"/>
          <w:sz w:val="32"/>
          <w:szCs w:val="32"/>
        </w:rPr>
      </w:pPr>
    </w:p>
    <w:p w14:paraId="6C1A31EA">
      <w:pPr>
        <w:keepNext w:val="0"/>
        <w:keepLines w:val="0"/>
        <w:pageBreakBefore w:val="0"/>
        <w:wordWrap/>
        <w:overflowPunct/>
        <w:topLinePunct w:val="0"/>
        <w:bidi w:val="0"/>
        <w:spacing w:line="560" w:lineRule="exact"/>
        <w:jc w:val="both"/>
        <w:textAlignment w:val="auto"/>
        <w:rPr>
          <w:rFonts w:ascii="Times New Roman" w:hAnsi="Times New Roman" w:eastAsia="方正小标宋_GBK"/>
          <w:sz w:val="44"/>
          <w:szCs w:val="44"/>
        </w:rPr>
      </w:pPr>
    </w:p>
    <w:p w14:paraId="1D27FC78">
      <w:pPr>
        <w:keepNext w:val="0"/>
        <w:keepLines w:val="0"/>
        <w:pageBreakBefore w:val="0"/>
        <w:wordWrap/>
        <w:overflowPunct/>
        <w:topLinePunct w:val="0"/>
        <w:bidi w:val="0"/>
        <w:spacing w:line="560" w:lineRule="exact"/>
        <w:jc w:val="center"/>
        <w:textAlignment w:val="auto"/>
        <w:rPr>
          <w:rFonts w:ascii="Times New Roman" w:hAnsi="Times New Roman" w:eastAsia="方正小标宋_GBK"/>
          <w:sz w:val="44"/>
          <w:szCs w:val="44"/>
        </w:rPr>
      </w:pPr>
      <w:r>
        <w:rPr>
          <w:rFonts w:hint="eastAsia" w:ascii="Times New Roman" w:hAnsi="Times New Roman" w:eastAsia="方正小标宋_GBK"/>
          <w:sz w:val="44"/>
          <w:szCs w:val="44"/>
        </w:rPr>
        <w:t>新疆维吾尔自治区农村饮水安全管理总站</w:t>
      </w:r>
    </w:p>
    <w:p w14:paraId="27BC6360">
      <w:pPr>
        <w:keepNext w:val="0"/>
        <w:keepLines w:val="0"/>
        <w:pageBreakBefore w:val="0"/>
        <w:wordWrap/>
        <w:overflowPunct/>
        <w:topLinePunct w:val="0"/>
        <w:bidi w:val="0"/>
        <w:spacing w:line="560" w:lineRule="exact"/>
        <w:jc w:val="center"/>
        <w:textAlignment w:val="auto"/>
        <w:rPr>
          <w:rFonts w:ascii="Times New Roman" w:hAnsi="Times New Roman" w:eastAsia="方正小标宋_GBK"/>
          <w:sz w:val="44"/>
          <w:szCs w:val="44"/>
        </w:rPr>
      </w:pPr>
      <w:r>
        <w:rPr>
          <w:rFonts w:hint="eastAsia" w:ascii="Times New Roman" w:hAnsi="Times New Roman" w:eastAsia="方正小标宋_GBK"/>
          <w:sz w:val="44"/>
          <w:szCs w:val="44"/>
        </w:rPr>
        <w:t>2023年度部门决算</w:t>
      </w:r>
    </w:p>
    <w:p w14:paraId="180F003E">
      <w:pPr>
        <w:keepNext w:val="0"/>
        <w:keepLines w:val="0"/>
        <w:pageBreakBefore w:val="0"/>
        <w:wordWrap/>
        <w:overflowPunct/>
        <w:topLinePunct w:val="0"/>
        <w:bidi w:val="0"/>
        <w:spacing w:line="560" w:lineRule="exact"/>
        <w:jc w:val="center"/>
        <w:textAlignment w:val="auto"/>
        <w:rPr>
          <w:rFonts w:ascii="Times New Roman" w:hAnsi="Times New Roman" w:eastAsia="方正小标宋_GBK"/>
          <w:sz w:val="44"/>
          <w:szCs w:val="44"/>
        </w:rPr>
      </w:pPr>
      <w:r>
        <w:rPr>
          <w:rFonts w:hint="eastAsia" w:ascii="Times New Roman" w:hAnsi="Times New Roman" w:eastAsia="方正小标宋_GBK"/>
          <w:sz w:val="44"/>
          <w:szCs w:val="44"/>
        </w:rPr>
        <w:t>公开说明</w:t>
      </w:r>
    </w:p>
    <w:p w14:paraId="182C9C7F">
      <w:pPr>
        <w:keepNext w:val="0"/>
        <w:keepLines w:val="0"/>
        <w:pageBreakBefore w:val="0"/>
        <w:wordWrap/>
        <w:overflowPunct/>
        <w:topLinePunct w:val="0"/>
        <w:bidi w:val="0"/>
        <w:spacing w:line="560" w:lineRule="exact"/>
        <w:jc w:val="center"/>
        <w:textAlignment w:val="auto"/>
        <w:rPr>
          <w:rFonts w:ascii="Times New Roman" w:hAnsi="Times New Roman" w:eastAsia="方正小标宋_GBK"/>
          <w:sz w:val="44"/>
          <w:szCs w:val="44"/>
        </w:rPr>
      </w:pPr>
      <w:r>
        <w:rPr>
          <w:rFonts w:hint="eastAsia" w:ascii="Times New Roman" w:hAnsi="Times New Roman" w:eastAsia="方正小标宋_GBK"/>
          <w:sz w:val="44"/>
          <w:szCs w:val="44"/>
        </w:rPr>
        <w:br w:type="page"/>
      </w:r>
    </w:p>
    <w:p w14:paraId="17B5AFD3">
      <w:pPr>
        <w:keepNext w:val="0"/>
        <w:keepLines w:val="0"/>
        <w:pageBreakBefore w:val="0"/>
        <w:wordWrap/>
        <w:overflowPunct/>
        <w:topLinePunct w:val="0"/>
        <w:bidi w:val="0"/>
        <w:spacing w:line="560" w:lineRule="exact"/>
        <w:jc w:val="center"/>
        <w:textAlignment w:val="auto"/>
        <w:rPr>
          <w:rFonts w:ascii="Times New Roman" w:hAnsi="Times New Roman" w:eastAsia="仿宋_GB2312" w:cs="仿宋_GB2312"/>
          <w:bCs/>
          <w:kern w:val="0"/>
          <w:sz w:val="32"/>
          <w:szCs w:val="32"/>
        </w:rPr>
      </w:pPr>
      <w:r>
        <w:rPr>
          <w:rFonts w:hint="eastAsia" w:ascii="Times New Roman" w:hAnsi="Times New Roman" w:eastAsia="仿宋_GB2312" w:cs="仿宋_GB2312"/>
          <w:b/>
          <w:kern w:val="0"/>
          <w:sz w:val="36"/>
          <w:szCs w:val="36"/>
        </w:rPr>
        <w:t>目  录</w:t>
      </w:r>
    </w:p>
    <w:p w14:paraId="55DC6A23">
      <w:pPr>
        <w:pStyle w:val="7"/>
        <w:keepNext w:val="0"/>
        <w:keepLines w:val="0"/>
        <w:pageBreakBefore w:val="0"/>
        <w:tabs>
          <w:tab w:val="right" w:pos="8306"/>
        </w:tabs>
        <w:wordWrap/>
        <w:overflowPunct/>
        <w:topLinePunct w:val="0"/>
        <w:bidi w:val="0"/>
        <w:spacing w:line="560" w:lineRule="exact"/>
        <w:jc w:val="both"/>
        <w:textAlignment w:val="auto"/>
        <w:rPr>
          <w:rFonts w:ascii="Times New Roman" w:hAnsi="Times New Roman" w:eastAsia="仿宋_GB2312" w:cs="仿宋_GB2312"/>
          <w:b/>
          <w:bCs/>
          <w:sz w:val="32"/>
          <w:szCs w:val="32"/>
        </w:rPr>
      </w:pPr>
      <w:r>
        <w:rPr>
          <w:rFonts w:hint="eastAsia" w:ascii="Times New Roman" w:hAnsi="Times New Roman" w:eastAsia="仿宋_GB2312" w:cs="仿宋_GB2312"/>
          <w:sz w:val="32"/>
          <w:szCs w:val="32"/>
        </w:rPr>
        <w:fldChar w:fldCharType="begin"/>
      </w:r>
      <w:r>
        <w:rPr>
          <w:rFonts w:hint="eastAsia" w:ascii="Times New Roman" w:hAnsi="Times New Roman" w:eastAsia="仿宋_GB2312" w:cs="仿宋_GB2312"/>
          <w:sz w:val="32"/>
          <w:szCs w:val="32"/>
        </w:rPr>
        <w:instrText xml:space="preserve">TOC \o "1-3" \n  \h \u </w:instrText>
      </w:r>
      <w:r>
        <w:rPr>
          <w:rFonts w:hint="eastAsia" w:ascii="Times New Roman" w:hAnsi="Times New Roman" w:eastAsia="仿宋_GB2312" w:cs="仿宋_GB2312"/>
          <w:sz w:val="32"/>
          <w:szCs w:val="32"/>
        </w:rPr>
        <w:fldChar w:fldCharType="separate"/>
      </w:r>
      <w:r>
        <w:rPr>
          <w:rFonts w:ascii="Times New Roman" w:hAnsi="Times New Roman"/>
        </w:rPr>
        <w:fldChar w:fldCharType="begin"/>
      </w:r>
      <w:r>
        <w:rPr>
          <w:rFonts w:ascii="Times New Roman" w:hAnsi="Times New Roman"/>
        </w:rPr>
        <w:instrText xml:space="preserve"> HYPERLINK \l "_Toc32314" </w:instrText>
      </w:r>
      <w:r>
        <w:rPr>
          <w:rFonts w:ascii="Times New Roman" w:hAnsi="Times New Roman"/>
        </w:rPr>
        <w:fldChar w:fldCharType="separate"/>
      </w:r>
      <w:r>
        <w:rPr>
          <w:rFonts w:hint="eastAsia" w:ascii="Times New Roman" w:hAnsi="Times New Roman" w:eastAsia="仿宋_GB2312" w:cs="仿宋_GB2312"/>
          <w:b/>
          <w:bCs/>
          <w:sz w:val="32"/>
          <w:szCs w:val="32"/>
        </w:rPr>
        <w:t>第一部分 单位概况</w:t>
      </w:r>
      <w:r>
        <w:rPr>
          <w:rFonts w:hint="eastAsia" w:ascii="Times New Roman" w:hAnsi="Times New Roman" w:eastAsia="仿宋_GB2312" w:cs="仿宋_GB2312"/>
          <w:b/>
          <w:bCs/>
          <w:sz w:val="32"/>
          <w:szCs w:val="32"/>
        </w:rPr>
        <w:fldChar w:fldCharType="end"/>
      </w:r>
    </w:p>
    <w:p w14:paraId="38262F46">
      <w:pPr>
        <w:pStyle w:val="8"/>
        <w:keepNext w:val="0"/>
        <w:keepLines w:val="0"/>
        <w:pageBreakBefore w:val="0"/>
        <w:tabs>
          <w:tab w:val="right" w:pos="8306"/>
        </w:tabs>
        <w:wordWrap/>
        <w:overflowPunct/>
        <w:topLinePunct w:val="0"/>
        <w:bidi w:val="0"/>
        <w:spacing w:line="560" w:lineRule="exact"/>
        <w:ind w:left="0" w:leftChars="0"/>
        <w:jc w:val="both"/>
        <w:textAlignment w:val="auto"/>
        <w:rPr>
          <w:rFonts w:ascii="Times New Roman" w:hAnsi="Times New Roman" w:eastAsia="仿宋_GB2312" w:cs="仿宋_GB2312"/>
          <w:sz w:val="32"/>
          <w:szCs w:val="32"/>
        </w:rPr>
      </w:pPr>
      <w:r>
        <w:rPr>
          <w:rFonts w:ascii="Times New Roman" w:hAnsi="Times New Roman"/>
        </w:rPr>
        <w:fldChar w:fldCharType="begin"/>
      </w:r>
      <w:r>
        <w:rPr>
          <w:rFonts w:ascii="Times New Roman" w:hAnsi="Times New Roman"/>
        </w:rPr>
        <w:instrText xml:space="preserve"> HYPERLINK \l "_Toc30567" </w:instrText>
      </w:r>
      <w:r>
        <w:rPr>
          <w:rFonts w:ascii="Times New Roman" w:hAnsi="Times New Roman"/>
        </w:rPr>
        <w:fldChar w:fldCharType="separate"/>
      </w:r>
      <w:r>
        <w:rPr>
          <w:rFonts w:hint="eastAsia" w:ascii="Times New Roman" w:hAnsi="Times New Roman" w:eastAsia="仿宋_GB2312" w:cs="仿宋_GB2312"/>
          <w:bCs/>
          <w:kern w:val="0"/>
          <w:sz w:val="32"/>
          <w:szCs w:val="32"/>
        </w:rPr>
        <w:t>一、主要职能</w:t>
      </w:r>
      <w:r>
        <w:rPr>
          <w:rFonts w:hint="eastAsia" w:ascii="Times New Roman" w:hAnsi="Times New Roman" w:eastAsia="仿宋_GB2312" w:cs="仿宋_GB2312"/>
          <w:bCs/>
          <w:kern w:val="0"/>
          <w:sz w:val="32"/>
          <w:szCs w:val="32"/>
        </w:rPr>
        <w:fldChar w:fldCharType="end"/>
      </w:r>
    </w:p>
    <w:p w14:paraId="14D71B21">
      <w:pPr>
        <w:pStyle w:val="8"/>
        <w:keepNext w:val="0"/>
        <w:keepLines w:val="0"/>
        <w:pageBreakBefore w:val="0"/>
        <w:tabs>
          <w:tab w:val="right" w:pos="8306"/>
        </w:tabs>
        <w:wordWrap/>
        <w:overflowPunct/>
        <w:topLinePunct w:val="0"/>
        <w:bidi w:val="0"/>
        <w:spacing w:line="560" w:lineRule="exact"/>
        <w:ind w:left="0" w:leftChars="0"/>
        <w:jc w:val="both"/>
        <w:textAlignment w:val="auto"/>
        <w:rPr>
          <w:rFonts w:ascii="Times New Roman" w:hAnsi="Times New Roman" w:eastAsia="仿宋_GB2312" w:cs="仿宋_GB2312"/>
          <w:sz w:val="32"/>
          <w:szCs w:val="32"/>
        </w:rPr>
      </w:pPr>
      <w:r>
        <w:rPr>
          <w:rFonts w:ascii="Times New Roman" w:hAnsi="Times New Roman"/>
        </w:rPr>
        <w:fldChar w:fldCharType="begin"/>
      </w:r>
      <w:r>
        <w:rPr>
          <w:rFonts w:ascii="Times New Roman" w:hAnsi="Times New Roman"/>
        </w:rPr>
        <w:instrText xml:space="preserve"> HYPERLINK \l "_Toc2151" </w:instrText>
      </w:r>
      <w:r>
        <w:rPr>
          <w:rFonts w:ascii="Times New Roman" w:hAnsi="Times New Roman"/>
        </w:rPr>
        <w:fldChar w:fldCharType="separate"/>
      </w:r>
      <w:r>
        <w:rPr>
          <w:rFonts w:hint="eastAsia" w:ascii="Times New Roman" w:hAnsi="Times New Roman" w:eastAsia="仿宋_GB2312" w:cs="仿宋_GB2312"/>
          <w:bCs/>
          <w:kern w:val="0"/>
          <w:sz w:val="32"/>
          <w:szCs w:val="32"/>
        </w:rPr>
        <w:t>二、机构设置及人员情况</w:t>
      </w:r>
      <w:r>
        <w:rPr>
          <w:rFonts w:hint="eastAsia" w:ascii="Times New Roman" w:hAnsi="Times New Roman" w:eastAsia="仿宋_GB2312" w:cs="仿宋_GB2312"/>
          <w:bCs/>
          <w:kern w:val="0"/>
          <w:sz w:val="32"/>
          <w:szCs w:val="32"/>
        </w:rPr>
        <w:fldChar w:fldCharType="end"/>
      </w:r>
    </w:p>
    <w:p w14:paraId="26F79A5C">
      <w:pPr>
        <w:pStyle w:val="7"/>
        <w:keepNext w:val="0"/>
        <w:keepLines w:val="0"/>
        <w:pageBreakBefore w:val="0"/>
        <w:tabs>
          <w:tab w:val="right" w:pos="8306"/>
        </w:tabs>
        <w:wordWrap/>
        <w:overflowPunct/>
        <w:topLinePunct w:val="0"/>
        <w:bidi w:val="0"/>
        <w:spacing w:line="560" w:lineRule="exact"/>
        <w:jc w:val="both"/>
        <w:textAlignment w:val="auto"/>
        <w:rPr>
          <w:rFonts w:ascii="Times New Roman" w:hAnsi="Times New Roman" w:eastAsia="仿宋_GB2312" w:cs="仿宋_GB2312"/>
          <w:b/>
          <w:bCs/>
          <w:sz w:val="32"/>
          <w:szCs w:val="32"/>
        </w:rPr>
      </w:pPr>
      <w:r>
        <w:rPr>
          <w:rFonts w:ascii="Times New Roman" w:hAnsi="Times New Roman"/>
        </w:rPr>
        <w:fldChar w:fldCharType="begin"/>
      </w:r>
      <w:r>
        <w:rPr>
          <w:rFonts w:ascii="Times New Roman" w:hAnsi="Times New Roman"/>
        </w:rPr>
        <w:instrText xml:space="preserve"> HYPERLINK \l "_Toc29374" </w:instrText>
      </w:r>
      <w:r>
        <w:rPr>
          <w:rFonts w:ascii="Times New Roman" w:hAnsi="Times New Roman"/>
        </w:rPr>
        <w:fldChar w:fldCharType="separate"/>
      </w:r>
      <w:r>
        <w:rPr>
          <w:rFonts w:hint="eastAsia" w:ascii="Times New Roman" w:hAnsi="Times New Roman" w:eastAsia="仿宋_GB2312" w:cs="仿宋_GB2312"/>
          <w:b/>
          <w:bCs/>
          <w:sz w:val="32"/>
          <w:szCs w:val="32"/>
        </w:rPr>
        <w:t>第二部分 部门决算情况说明</w:t>
      </w:r>
      <w:r>
        <w:rPr>
          <w:rFonts w:hint="eastAsia" w:ascii="Times New Roman" w:hAnsi="Times New Roman" w:eastAsia="仿宋_GB2312" w:cs="仿宋_GB2312"/>
          <w:b/>
          <w:bCs/>
          <w:sz w:val="32"/>
          <w:szCs w:val="32"/>
        </w:rPr>
        <w:fldChar w:fldCharType="end"/>
      </w:r>
    </w:p>
    <w:p w14:paraId="506499D9">
      <w:pPr>
        <w:pStyle w:val="8"/>
        <w:keepNext w:val="0"/>
        <w:keepLines w:val="0"/>
        <w:pageBreakBefore w:val="0"/>
        <w:tabs>
          <w:tab w:val="right" w:pos="8306"/>
        </w:tabs>
        <w:wordWrap/>
        <w:overflowPunct/>
        <w:topLinePunct w:val="0"/>
        <w:bidi w:val="0"/>
        <w:spacing w:line="560" w:lineRule="exact"/>
        <w:ind w:left="0" w:leftChars="0"/>
        <w:jc w:val="both"/>
        <w:textAlignment w:val="auto"/>
        <w:rPr>
          <w:rFonts w:ascii="Times New Roman" w:hAnsi="Times New Roman" w:eastAsia="仿宋_GB2312" w:cs="仿宋_GB2312"/>
          <w:sz w:val="32"/>
          <w:szCs w:val="32"/>
        </w:rPr>
      </w:pPr>
      <w:r>
        <w:rPr>
          <w:rFonts w:ascii="Times New Roman" w:hAnsi="Times New Roman"/>
        </w:rPr>
        <w:fldChar w:fldCharType="begin"/>
      </w:r>
      <w:r>
        <w:rPr>
          <w:rFonts w:ascii="Times New Roman" w:hAnsi="Times New Roman"/>
        </w:rPr>
        <w:instrText xml:space="preserve"> HYPERLINK \l "_Toc25314" </w:instrText>
      </w:r>
      <w:r>
        <w:rPr>
          <w:rFonts w:ascii="Times New Roman" w:hAnsi="Times New Roman"/>
        </w:rPr>
        <w:fldChar w:fldCharType="separate"/>
      </w:r>
      <w:r>
        <w:rPr>
          <w:rFonts w:hint="eastAsia" w:ascii="Times New Roman" w:hAnsi="Times New Roman" w:eastAsia="仿宋_GB2312" w:cs="仿宋_GB2312"/>
          <w:bCs/>
          <w:kern w:val="0"/>
          <w:sz w:val="32"/>
          <w:szCs w:val="32"/>
        </w:rPr>
        <w:t>一、收入支出决算总体情况说明</w:t>
      </w:r>
      <w:r>
        <w:rPr>
          <w:rFonts w:hint="eastAsia" w:ascii="Times New Roman" w:hAnsi="Times New Roman" w:eastAsia="仿宋_GB2312" w:cs="仿宋_GB2312"/>
          <w:bCs/>
          <w:kern w:val="0"/>
          <w:sz w:val="32"/>
          <w:szCs w:val="32"/>
        </w:rPr>
        <w:fldChar w:fldCharType="end"/>
      </w:r>
    </w:p>
    <w:p w14:paraId="730ECC5F">
      <w:pPr>
        <w:pStyle w:val="8"/>
        <w:keepNext w:val="0"/>
        <w:keepLines w:val="0"/>
        <w:pageBreakBefore w:val="0"/>
        <w:tabs>
          <w:tab w:val="right" w:pos="8306"/>
        </w:tabs>
        <w:wordWrap/>
        <w:overflowPunct/>
        <w:topLinePunct w:val="0"/>
        <w:bidi w:val="0"/>
        <w:spacing w:line="560" w:lineRule="exact"/>
        <w:ind w:left="0" w:leftChars="0"/>
        <w:jc w:val="both"/>
        <w:textAlignment w:val="auto"/>
        <w:rPr>
          <w:rFonts w:ascii="Times New Roman" w:hAnsi="Times New Roman" w:eastAsia="仿宋_GB2312" w:cs="仿宋_GB2312"/>
          <w:sz w:val="32"/>
          <w:szCs w:val="32"/>
        </w:rPr>
      </w:pPr>
      <w:r>
        <w:rPr>
          <w:rFonts w:ascii="Times New Roman" w:hAnsi="Times New Roman"/>
        </w:rPr>
        <w:fldChar w:fldCharType="begin"/>
      </w:r>
      <w:r>
        <w:rPr>
          <w:rFonts w:ascii="Times New Roman" w:hAnsi="Times New Roman"/>
        </w:rPr>
        <w:instrText xml:space="preserve"> HYPERLINK \l "_Toc12142" </w:instrText>
      </w:r>
      <w:r>
        <w:rPr>
          <w:rFonts w:ascii="Times New Roman" w:hAnsi="Times New Roman"/>
        </w:rPr>
        <w:fldChar w:fldCharType="separate"/>
      </w:r>
      <w:r>
        <w:rPr>
          <w:rFonts w:hint="eastAsia" w:ascii="Times New Roman" w:hAnsi="Times New Roman" w:eastAsia="仿宋_GB2312" w:cs="仿宋_GB2312"/>
          <w:bCs/>
          <w:kern w:val="0"/>
          <w:sz w:val="32"/>
          <w:szCs w:val="32"/>
        </w:rPr>
        <w:t>二、收入决算情况说明</w:t>
      </w:r>
      <w:r>
        <w:rPr>
          <w:rFonts w:hint="eastAsia" w:ascii="Times New Roman" w:hAnsi="Times New Roman" w:eastAsia="仿宋_GB2312" w:cs="仿宋_GB2312"/>
          <w:bCs/>
          <w:kern w:val="0"/>
          <w:sz w:val="32"/>
          <w:szCs w:val="32"/>
        </w:rPr>
        <w:fldChar w:fldCharType="end"/>
      </w:r>
    </w:p>
    <w:p w14:paraId="5F822918">
      <w:pPr>
        <w:pStyle w:val="8"/>
        <w:keepNext w:val="0"/>
        <w:keepLines w:val="0"/>
        <w:pageBreakBefore w:val="0"/>
        <w:tabs>
          <w:tab w:val="right" w:pos="8306"/>
        </w:tabs>
        <w:wordWrap/>
        <w:overflowPunct/>
        <w:topLinePunct w:val="0"/>
        <w:bidi w:val="0"/>
        <w:spacing w:line="560" w:lineRule="exact"/>
        <w:ind w:left="0" w:leftChars="0"/>
        <w:jc w:val="both"/>
        <w:textAlignment w:val="auto"/>
        <w:rPr>
          <w:rFonts w:ascii="Times New Roman" w:hAnsi="Times New Roman" w:eastAsia="仿宋_GB2312" w:cs="仿宋_GB2312"/>
          <w:sz w:val="32"/>
          <w:szCs w:val="32"/>
        </w:rPr>
      </w:pPr>
      <w:r>
        <w:rPr>
          <w:rFonts w:ascii="Times New Roman" w:hAnsi="Times New Roman"/>
        </w:rPr>
        <w:fldChar w:fldCharType="begin"/>
      </w:r>
      <w:r>
        <w:rPr>
          <w:rFonts w:ascii="Times New Roman" w:hAnsi="Times New Roman"/>
        </w:rPr>
        <w:instrText xml:space="preserve"> HYPERLINK \l "_Toc13201" </w:instrText>
      </w:r>
      <w:r>
        <w:rPr>
          <w:rFonts w:ascii="Times New Roman" w:hAnsi="Times New Roman"/>
        </w:rPr>
        <w:fldChar w:fldCharType="separate"/>
      </w:r>
      <w:r>
        <w:rPr>
          <w:rFonts w:hint="eastAsia" w:ascii="Times New Roman" w:hAnsi="Times New Roman" w:eastAsia="仿宋_GB2312" w:cs="仿宋_GB2312"/>
          <w:bCs/>
          <w:kern w:val="0"/>
          <w:sz w:val="32"/>
          <w:szCs w:val="32"/>
        </w:rPr>
        <w:t>三、支出决算情况说明</w:t>
      </w:r>
      <w:r>
        <w:rPr>
          <w:rFonts w:hint="eastAsia" w:ascii="Times New Roman" w:hAnsi="Times New Roman" w:eastAsia="仿宋_GB2312" w:cs="仿宋_GB2312"/>
          <w:bCs/>
          <w:kern w:val="0"/>
          <w:sz w:val="32"/>
          <w:szCs w:val="32"/>
        </w:rPr>
        <w:fldChar w:fldCharType="end"/>
      </w:r>
    </w:p>
    <w:p w14:paraId="4E86386D">
      <w:pPr>
        <w:pStyle w:val="8"/>
        <w:keepNext w:val="0"/>
        <w:keepLines w:val="0"/>
        <w:pageBreakBefore w:val="0"/>
        <w:tabs>
          <w:tab w:val="right" w:pos="8306"/>
        </w:tabs>
        <w:wordWrap/>
        <w:overflowPunct/>
        <w:topLinePunct w:val="0"/>
        <w:bidi w:val="0"/>
        <w:spacing w:line="560" w:lineRule="exact"/>
        <w:ind w:left="0" w:leftChars="0"/>
        <w:jc w:val="both"/>
        <w:textAlignment w:val="auto"/>
        <w:rPr>
          <w:rFonts w:ascii="Times New Roman" w:hAnsi="Times New Roman" w:eastAsia="仿宋_GB2312" w:cs="仿宋_GB2312"/>
          <w:sz w:val="32"/>
          <w:szCs w:val="32"/>
        </w:rPr>
      </w:pPr>
      <w:r>
        <w:rPr>
          <w:rFonts w:ascii="Times New Roman" w:hAnsi="Times New Roman"/>
        </w:rPr>
        <w:fldChar w:fldCharType="begin"/>
      </w:r>
      <w:r>
        <w:rPr>
          <w:rFonts w:ascii="Times New Roman" w:hAnsi="Times New Roman"/>
        </w:rPr>
        <w:instrText xml:space="preserve"> HYPERLINK \l "_Toc26564" </w:instrText>
      </w:r>
      <w:r>
        <w:rPr>
          <w:rFonts w:ascii="Times New Roman" w:hAnsi="Times New Roman"/>
        </w:rPr>
        <w:fldChar w:fldCharType="separate"/>
      </w:r>
      <w:r>
        <w:rPr>
          <w:rFonts w:hint="eastAsia" w:ascii="Times New Roman" w:hAnsi="Times New Roman" w:eastAsia="仿宋_GB2312" w:cs="仿宋_GB2312"/>
          <w:bCs/>
          <w:kern w:val="0"/>
          <w:sz w:val="32"/>
          <w:szCs w:val="32"/>
        </w:rPr>
        <w:t>四、财政拨款收入支出决算总体情况说明</w:t>
      </w:r>
      <w:r>
        <w:rPr>
          <w:rFonts w:hint="eastAsia" w:ascii="Times New Roman" w:hAnsi="Times New Roman" w:eastAsia="仿宋_GB2312" w:cs="仿宋_GB2312"/>
          <w:bCs/>
          <w:kern w:val="0"/>
          <w:sz w:val="32"/>
          <w:szCs w:val="32"/>
        </w:rPr>
        <w:fldChar w:fldCharType="end"/>
      </w:r>
    </w:p>
    <w:p w14:paraId="33F73F47">
      <w:pPr>
        <w:pStyle w:val="8"/>
        <w:keepNext w:val="0"/>
        <w:keepLines w:val="0"/>
        <w:pageBreakBefore w:val="0"/>
        <w:tabs>
          <w:tab w:val="right" w:pos="8306"/>
        </w:tabs>
        <w:wordWrap/>
        <w:overflowPunct/>
        <w:topLinePunct w:val="0"/>
        <w:bidi w:val="0"/>
        <w:spacing w:line="560" w:lineRule="exact"/>
        <w:ind w:left="0" w:leftChars="0"/>
        <w:jc w:val="both"/>
        <w:textAlignment w:val="auto"/>
        <w:rPr>
          <w:rFonts w:ascii="Times New Roman" w:hAnsi="Times New Roman" w:eastAsia="仿宋_GB2312" w:cs="仿宋_GB2312"/>
          <w:sz w:val="32"/>
          <w:szCs w:val="32"/>
        </w:rPr>
      </w:pPr>
      <w:r>
        <w:rPr>
          <w:rFonts w:ascii="Times New Roman" w:hAnsi="Times New Roman"/>
        </w:rPr>
        <w:fldChar w:fldCharType="begin"/>
      </w:r>
      <w:r>
        <w:rPr>
          <w:rFonts w:ascii="Times New Roman" w:hAnsi="Times New Roman"/>
        </w:rPr>
        <w:instrText xml:space="preserve"> HYPERLINK \l "_Toc20360" </w:instrText>
      </w:r>
      <w:r>
        <w:rPr>
          <w:rFonts w:ascii="Times New Roman" w:hAnsi="Times New Roman"/>
        </w:rPr>
        <w:fldChar w:fldCharType="separate"/>
      </w:r>
      <w:r>
        <w:rPr>
          <w:rFonts w:hint="eastAsia" w:ascii="Times New Roman" w:hAnsi="Times New Roman" w:eastAsia="仿宋_GB2312" w:cs="仿宋_GB2312"/>
          <w:bCs/>
          <w:kern w:val="0"/>
          <w:sz w:val="32"/>
          <w:szCs w:val="32"/>
        </w:rPr>
        <w:t>五、一般公共预算财政拨款支出决算情况说明</w:t>
      </w:r>
      <w:r>
        <w:rPr>
          <w:rFonts w:hint="eastAsia" w:ascii="Times New Roman" w:hAnsi="Times New Roman" w:eastAsia="仿宋_GB2312" w:cs="仿宋_GB2312"/>
          <w:bCs/>
          <w:kern w:val="0"/>
          <w:sz w:val="32"/>
          <w:szCs w:val="32"/>
        </w:rPr>
        <w:fldChar w:fldCharType="end"/>
      </w:r>
    </w:p>
    <w:p w14:paraId="35374864">
      <w:pPr>
        <w:pStyle w:val="8"/>
        <w:keepNext w:val="0"/>
        <w:keepLines w:val="0"/>
        <w:pageBreakBefore w:val="0"/>
        <w:tabs>
          <w:tab w:val="right" w:pos="8306"/>
        </w:tabs>
        <w:wordWrap/>
        <w:overflowPunct/>
        <w:topLinePunct w:val="0"/>
        <w:bidi w:val="0"/>
        <w:spacing w:line="560" w:lineRule="exact"/>
        <w:ind w:left="0" w:leftChars="0"/>
        <w:jc w:val="both"/>
        <w:textAlignment w:val="auto"/>
        <w:rPr>
          <w:rFonts w:ascii="Times New Roman" w:hAnsi="Times New Roman" w:eastAsia="仿宋_GB2312" w:cs="仿宋_GB2312"/>
          <w:sz w:val="32"/>
          <w:szCs w:val="32"/>
        </w:rPr>
      </w:pPr>
      <w:r>
        <w:rPr>
          <w:rFonts w:ascii="Times New Roman" w:hAnsi="Times New Roman"/>
        </w:rPr>
        <w:fldChar w:fldCharType="begin"/>
      </w:r>
      <w:r>
        <w:rPr>
          <w:rFonts w:ascii="Times New Roman" w:hAnsi="Times New Roman"/>
        </w:rPr>
        <w:instrText xml:space="preserve"> HYPERLINK \l "_Toc30870" </w:instrText>
      </w:r>
      <w:r>
        <w:rPr>
          <w:rFonts w:ascii="Times New Roman" w:hAnsi="Times New Roman"/>
        </w:rPr>
        <w:fldChar w:fldCharType="separate"/>
      </w:r>
      <w:r>
        <w:rPr>
          <w:rFonts w:hint="eastAsia" w:ascii="Times New Roman" w:hAnsi="Times New Roman" w:eastAsia="仿宋_GB2312" w:cs="仿宋_GB2312"/>
          <w:bCs/>
          <w:kern w:val="0"/>
          <w:sz w:val="32"/>
          <w:szCs w:val="32"/>
        </w:rPr>
        <w:t>六、一般公共预算财政拨款基本支出决算情况说明</w:t>
      </w:r>
      <w:r>
        <w:rPr>
          <w:rFonts w:hint="eastAsia" w:ascii="Times New Roman" w:hAnsi="Times New Roman" w:eastAsia="仿宋_GB2312" w:cs="仿宋_GB2312"/>
          <w:bCs/>
          <w:kern w:val="0"/>
          <w:sz w:val="32"/>
          <w:szCs w:val="32"/>
        </w:rPr>
        <w:fldChar w:fldCharType="end"/>
      </w:r>
    </w:p>
    <w:p w14:paraId="2BE638EE">
      <w:pPr>
        <w:pStyle w:val="8"/>
        <w:keepNext w:val="0"/>
        <w:keepLines w:val="0"/>
        <w:pageBreakBefore w:val="0"/>
        <w:tabs>
          <w:tab w:val="right" w:pos="8306"/>
        </w:tabs>
        <w:wordWrap/>
        <w:overflowPunct/>
        <w:topLinePunct w:val="0"/>
        <w:bidi w:val="0"/>
        <w:spacing w:line="560" w:lineRule="exact"/>
        <w:ind w:left="0" w:leftChars="0"/>
        <w:jc w:val="both"/>
        <w:textAlignment w:val="auto"/>
        <w:rPr>
          <w:rFonts w:ascii="Times New Roman" w:hAnsi="Times New Roman" w:eastAsia="仿宋_GB2312" w:cs="仿宋_GB2312"/>
          <w:sz w:val="32"/>
          <w:szCs w:val="32"/>
        </w:rPr>
      </w:pPr>
      <w:r>
        <w:rPr>
          <w:rFonts w:ascii="Times New Roman" w:hAnsi="Times New Roman"/>
        </w:rPr>
        <w:fldChar w:fldCharType="begin"/>
      </w:r>
      <w:r>
        <w:rPr>
          <w:rFonts w:ascii="Times New Roman" w:hAnsi="Times New Roman"/>
        </w:rPr>
        <w:instrText xml:space="preserve"> HYPERLINK \l "_Toc21518" </w:instrText>
      </w:r>
      <w:r>
        <w:rPr>
          <w:rFonts w:ascii="Times New Roman" w:hAnsi="Times New Roman"/>
        </w:rPr>
        <w:fldChar w:fldCharType="separate"/>
      </w:r>
      <w:r>
        <w:rPr>
          <w:rFonts w:hint="eastAsia" w:ascii="Times New Roman" w:hAnsi="Times New Roman" w:eastAsia="仿宋_GB2312" w:cs="仿宋_GB2312"/>
          <w:bCs/>
          <w:kern w:val="0"/>
          <w:sz w:val="32"/>
          <w:szCs w:val="32"/>
        </w:rPr>
        <w:t>七、财政拨款“三公”经费支出决算情况说明</w:t>
      </w:r>
      <w:r>
        <w:rPr>
          <w:rFonts w:hint="eastAsia" w:ascii="Times New Roman" w:hAnsi="Times New Roman" w:eastAsia="仿宋_GB2312" w:cs="仿宋_GB2312"/>
          <w:bCs/>
          <w:kern w:val="0"/>
          <w:sz w:val="32"/>
          <w:szCs w:val="32"/>
        </w:rPr>
        <w:fldChar w:fldCharType="end"/>
      </w:r>
    </w:p>
    <w:p w14:paraId="1630E8EE">
      <w:pPr>
        <w:pStyle w:val="8"/>
        <w:keepNext w:val="0"/>
        <w:keepLines w:val="0"/>
        <w:pageBreakBefore w:val="0"/>
        <w:tabs>
          <w:tab w:val="right" w:pos="8306"/>
        </w:tabs>
        <w:wordWrap/>
        <w:overflowPunct/>
        <w:topLinePunct w:val="0"/>
        <w:bidi w:val="0"/>
        <w:spacing w:line="560" w:lineRule="exact"/>
        <w:ind w:left="0" w:leftChars="0"/>
        <w:jc w:val="both"/>
        <w:textAlignment w:val="auto"/>
        <w:rPr>
          <w:rFonts w:ascii="Times New Roman" w:hAnsi="Times New Roman" w:eastAsia="仿宋_GB2312" w:cs="仿宋_GB2312"/>
          <w:sz w:val="32"/>
          <w:szCs w:val="32"/>
        </w:rPr>
      </w:pPr>
      <w:r>
        <w:rPr>
          <w:rFonts w:ascii="Times New Roman" w:hAnsi="Times New Roman"/>
        </w:rPr>
        <w:fldChar w:fldCharType="begin"/>
      </w:r>
      <w:r>
        <w:rPr>
          <w:rFonts w:ascii="Times New Roman" w:hAnsi="Times New Roman"/>
        </w:rPr>
        <w:instrText xml:space="preserve"> HYPERLINK \l "_Toc5810" </w:instrText>
      </w:r>
      <w:r>
        <w:rPr>
          <w:rFonts w:ascii="Times New Roman" w:hAnsi="Times New Roman"/>
        </w:rPr>
        <w:fldChar w:fldCharType="separate"/>
      </w:r>
      <w:r>
        <w:rPr>
          <w:rFonts w:hint="eastAsia" w:ascii="Times New Roman" w:hAnsi="Times New Roman" w:eastAsia="仿宋_GB2312" w:cs="仿宋_GB2312"/>
          <w:bCs/>
          <w:kern w:val="0"/>
          <w:sz w:val="32"/>
          <w:szCs w:val="32"/>
        </w:rPr>
        <w:t>八、政府性基金预算财政拨款收入支出决算情况说明</w:t>
      </w:r>
      <w:r>
        <w:rPr>
          <w:rFonts w:hint="eastAsia" w:ascii="Times New Roman" w:hAnsi="Times New Roman" w:eastAsia="仿宋_GB2312" w:cs="仿宋_GB2312"/>
          <w:bCs/>
          <w:kern w:val="0"/>
          <w:sz w:val="32"/>
          <w:szCs w:val="32"/>
        </w:rPr>
        <w:fldChar w:fldCharType="end"/>
      </w:r>
    </w:p>
    <w:p w14:paraId="7E3B21B0">
      <w:pPr>
        <w:keepNext w:val="0"/>
        <w:keepLines w:val="0"/>
        <w:pageBreakBefore w:val="0"/>
        <w:wordWrap/>
        <w:overflowPunct/>
        <w:topLinePunct w:val="0"/>
        <w:bidi w:val="0"/>
        <w:spacing w:line="560" w:lineRule="exact"/>
        <w:jc w:val="both"/>
        <w:textAlignment w:val="auto"/>
        <w:rPr>
          <w:rFonts w:ascii="Times New Roman" w:hAnsi="Times New Roman"/>
        </w:rPr>
      </w:pPr>
      <w:r>
        <w:rPr>
          <w:rFonts w:ascii="Times New Roman" w:hAnsi="Times New Roman"/>
        </w:rPr>
        <w:fldChar w:fldCharType="begin"/>
      </w:r>
      <w:r>
        <w:rPr>
          <w:rFonts w:ascii="Times New Roman" w:hAnsi="Times New Roman"/>
        </w:rPr>
        <w:instrText xml:space="preserve"> HYPERLINK \l "_Toc5810" </w:instrText>
      </w:r>
      <w:r>
        <w:rPr>
          <w:rFonts w:ascii="Times New Roman" w:hAnsi="Times New Roman"/>
        </w:rPr>
        <w:fldChar w:fldCharType="separate"/>
      </w:r>
      <w:r>
        <w:rPr>
          <w:rFonts w:hint="eastAsia" w:ascii="Times New Roman" w:hAnsi="Times New Roman" w:eastAsia="仿宋_GB2312" w:cs="仿宋_GB2312"/>
          <w:bCs/>
          <w:kern w:val="0"/>
          <w:sz w:val="32"/>
          <w:szCs w:val="32"/>
        </w:rPr>
        <w:t>九、国有资本经营预算财政拨款收入支出决算情况说明</w:t>
      </w:r>
      <w:r>
        <w:rPr>
          <w:rFonts w:hint="eastAsia" w:ascii="Times New Roman" w:hAnsi="Times New Roman" w:eastAsia="仿宋_GB2312" w:cs="仿宋_GB2312"/>
          <w:bCs/>
          <w:kern w:val="0"/>
          <w:sz w:val="32"/>
          <w:szCs w:val="32"/>
        </w:rPr>
        <w:fldChar w:fldCharType="end"/>
      </w:r>
    </w:p>
    <w:p w14:paraId="021D94F5">
      <w:pPr>
        <w:pStyle w:val="8"/>
        <w:keepNext w:val="0"/>
        <w:keepLines w:val="0"/>
        <w:pageBreakBefore w:val="0"/>
        <w:tabs>
          <w:tab w:val="right" w:pos="8306"/>
        </w:tabs>
        <w:wordWrap/>
        <w:overflowPunct/>
        <w:topLinePunct w:val="0"/>
        <w:bidi w:val="0"/>
        <w:spacing w:line="560" w:lineRule="exact"/>
        <w:ind w:left="0" w:leftChars="0"/>
        <w:jc w:val="both"/>
        <w:textAlignment w:val="auto"/>
        <w:rPr>
          <w:rFonts w:ascii="Times New Roman" w:hAnsi="Times New Roman" w:eastAsia="仿宋_GB2312" w:cs="仿宋_GB2312"/>
          <w:sz w:val="32"/>
          <w:szCs w:val="32"/>
        </w:rPr>
      </w:pPr>
      <w:r>
        <w:rPr>
          <w:rFonts w:ascii="Times New Roman" w:hAnsi="Times New Roman"/>
        </w:rPr>
        <w:fldChar w:fldCharType="begin"/>
      </w:r>
      <w:r>
        <w:rPr>
          <w:rFonts w:ascii="Times New Roman" w:hAnsi="Times New Roman"/>
        </w:rPr>
        <w:instrText xml:space="preserve"> HYPERLINK \l "_Toc1235" </w:instrText>
      </w:r>
      <w:r>
        <w:rPr>
          <w:rFonts w:ascii="Times New Roman" w:hAnsi="Times New Roman"/>
        </w:rPr>
        <w:fldChar w:fldCharType="separate"/>
      </w:r>
      <w:r>
        <w:rPr>
          <w:rFonts w:hint="eastAsia" w:ascii="Times New Roman" w:hAnsi="Times New Roman" w:eastAsia="仿宋_GB2312" w:cs="仿宋_GB2312"/>
          <w:sz w:val="32"/>
          <w:szCs w:val="32"/>
        </w:rPr>
        <w:t>十</w:t>
      </w:r>
      <w:r>
        <w:rPr>
          <w:rFonts w:hint="eastAsia" w:ascii="Times New Roman" w:hAnsi="Times New Roman" w:eastAsia="仿宋_GB2312" w:cs="仿宋_GB2312"/>
          <w:bCs/>
          <w:kern w:val="0"/>
          <w:sz w:val="32"/>
          <w:szCs w:val="32"/>
        </w:rPr>
        <w:t>、其他重要事项的情况说明</w:t>
      </w:r>
      <w:r>
        <w:rPr>
          <w:rFonts w:hint="eastAsia" w:ascii="Times New Roman" w:hAnsi="Times New Roman" w:eastAsia="仿宋_GB2312" w:cs="仿宋_GB2312"/>
          <w:bCs/>
          <w:kern w:val="0"/>
          <w:sz w:val="32"/>
          <w:szCs w:val="32"/>
        </w:rPr>
        <w:fldChar w:fldCharType="end"/>
      </w:r>
    </w:p>
    <w:p w14:paraId="4D6B0708">
      <w:pPr>
        <w:pStyle w:val="4"/>
        <w:keepNext w:val="0"/>
        <w:keepLines w:val="0"/>
        <w:pageBreakBefore w:val="0"/>
        <w:tabs>
          <w:tab w:val="right" w:pos="8306"/>
        </w:tabs>
        <w:wordWrap/>
        <w:overflowPunct/>
        <w:topLinePunct w:val="0"/>
        <w:bidi w:val="0"/>
        <w:spacing w:line="560" w:lineRule="exact"/>
        <w:ind w:left="0" w:leftChars="0"/>
        <w:jc w:val="both"/>
        <w:textAlignment w:val="auto"/>
        <w:rPr>
          <w:rFonts w:ascii="Times New Roman" w:hAnsi="Times New Roman" w:eastAsia="仿宋_GB2312" w:cs="仿宋_GB2312"/>
          <w:sz w:val="32"/>
          <w:szCs w:val="32"/>
        </w:rPr>
      </w:pPr>
      <w:r>
        <w:rPr>
          <w:rFonts w:ascii="Times New Roman" w:hAnsi="Times New Roman"/>
        </w:rPr>
        <w:fldChar w:fldCharType="begin"/>
      </w:r>
      <w:r>
        <w:rPr>
          <w:rFonts w:ascii="Times New Roman" w:hAnsi="Times New Roman"/>
        </w:rPr>
        <w:instrText xml:space="preserve"> HYPERLINK \l "_Toc14519" </w:instrText>
      </w:r>
      <w:r>
        <w:rPr>
          <w:rFonts w:ascii="Times New Roman" w:hAnsi="Times New Roman"/>
        </w:rPr>
        <w:fldChar w:fldCharType="separate"/>
      </w:r>
      <w:r>
        <w:rPr>
          <w:rFonts w:hint="eastAsia" w:ascii="Times New Roman" w:hAnsi="Times New Roman" w:eastAsia="仿宋_GB2312" w:cs="仿宋_GB2312"/>
          <w:sz w:val="32"/>
          <w:szCs w:val="32"/>
        </w:rPr>
        <w:t>（一）机关运行经费支出情况</w:t>
      </w:r>
      <w:r>
        <w:rPr>
          <w:rFonts w:hint="eastAsia" w:ascii="Times New Roman" w:hAnsi="Times New Roman" w:eastAsia="仿宋_GB2312" w:cs="仿宋_GB2312"/>
          <w:sz w:val="32"/>
          <w:szCs w:val="32"/>
        </w:rPr>
        <w:fldChar w:fldCharType="end"/>
      </w:r>
    </w:p>
    <w:p w14:paraId="74AC1D3C">
      <w:pPr>
        <w:pStyle w:val="4"/>
        <w:keepNext w:val="0"/>
        <w:keepLines w:val="0"/>
        <w:pageBreakBefore w:val="0"/>
        <w:tabs>
          <w:tab w:val="right" w:pos="8306"/>
        </w:tabs>
        <w:wordWrap/>
        <w:overflowPunct/>
        <w:topLinePunct w:val="0"/>
        <w:bidi w:val="0"/>
        <w:spacing w:line="560" w:lineRule="exact"/>
        <w:ind w:left="0" w:leftChars="0"/>
        <w:jc w:val="both"/>
        <w:textAlignment w:val="auto"/>
        <w:rPr>
          <w:rFonts w:ascii="Times New Roman" w:hAnsi="Times New Roman" w:eastAsia="仿宋_GB2312" w:cs="仿宋_GB2312"/>
          <w:sz w:val="32"/>
          <w:szCs w:val="32"/>
        </w:rPr>
      </w:pPr>
      <w:r>
        <w:rPr>
          <w:rFonts w:ascii="Times New Roman" w:hAnsi="Times New Roman"/>
        </w:rPr>
        <w:fldChar w:fldCharType="begin"/>
      </w:r>
      <w:r>
        <w:rPr>
          <w:rFonts w:ascii="Times New Roman" w:hAnsi="Times New Roman"/>
        </w:rPr>
        <w:instrText xml:space="preserve"> HYPERLINK \l "_Toc227" </w:instrText>
      </w:r>
      <w:r>
        <w:rPr>
          <w:rFonts w:ascii="Times New Roman" w:hAnsi="Times New Roman"/>
        </w:rPr>
        <w:fldChar w:fldCharType="separate"/>
      </w:r>
      <w:r>
        <w:rPr>
          <w:rFonts w:hint="eastAsia" w:ascii="Times New Roman" w:hAnsi="Times New Roman" w:eastAsia="仿宋_GB2312" w:cs="仿宋_GB2312"/>
          <w:sz w:val="32"/>
          <w:szCs w:val="32"/>
        </w:rPr>
        <w:t>（二）政府采购情况</w:t>
      </w:r>
      <w:r>
        <w:rPr>
          <w:rFonts w:hint="eastAsia" w:ascii="Times New Roman" w:hAnsi="Times New Roman" w:eastAsia="仿宋_GB2312" w:cs="仿宋_GB2312"/>
          <w:sz w:val="32"/>
          <w:szCs w:val="32"/>
        </w:rPr>
        <w:fldChar w:fldCharType="end"/>
      </w:r>
    </w:p>
    <w:p w14:paraId="0001ABF1">
      <w:pPr>
        <w:pStyle w:val="4"/>
        <w:keepNext w:val="0"/>
        <w:keepLines w:val="0"/>
        <w:pageBreakBefore w:val="0"/>
        <w:tabs>
          <w:tab w:val="right" w:pos="8306"/>
        </w:tabs>
        <w:wordWrap/>
        <w:overflowPunct/>
        <w:topLinePunct w:val="0"/>
        <w:bidi w:val="0"/>
        <w:spacing w:line="560" w:lineRule="exact"/>
        <w:ind w:left="0" w:leftChars="0"/>
        <w:jc w:val="both"/>
        <w:textAlignment w:val="auto"/>
        <w:rPr>
          <w:rFonts w:ascii="Times New Roman" w:hAnsi="Times New Roman" w:eastAsia="仿宋_GB2312" w:cs="仿宋_GB2312"/>
          <w:sz w:val="32"/>
          <w:szCs w:val="32"/>
        </w:rPr>
      </w:pPr>
      <w:r>
        <w:rPr>
          <w:rFonts w:ascii="Times New Roman" w:hAnsi="Times New Roman"/>
        </w:rPr>
        <w:fldChar w:fldCharType="begin"/>
      </w:r>
      <w:r>
        <w:rPr>
          <w:rFonts w:ascii="Times New Roman" w:hAnsi="Times New Roman"/>
        </w:rPr>
        <w:instrText xml:space="preserve"> HYPERLINK \l "_Toc8391" </w:instrText>
      </w:r>
      <w:r>
        <w:rPr>
          <w:rFonts w:ascii="Times New Roman" w:hAnsi="Times New Roman"/>
        </w:rPr>
        <w:fldChar w:fldCharType="separate"/>
      </w:r>
      <w:r>
        <w:rPr>
          <w:rFonts w:hint="eastAsia" w:ascii="Times New Roman" w:hAnsi="Times New Roman" w:eastAsia="仿宋_GB2312" w:cs="仿宋_GB2312"/>
          <w:sz w:val="32"/>
          <w:szCs w:val="32"/>
        </w:rPr>
        <w:t>（三）国有资产占用情况说明</w:t>
      </w:r>
      <w:r>
        <w:rPr>
          <w:rFonts w:hint="eastAsia" w:ascii="Times New Roman" w:hAnsi="Times New Roman" w:eastAsia="仿宋_GB2312" w:cs="仿宋_GB2312"/>
          <w:sz w:val="32"/>
          <w:szCs w:val="32"/>
        </w:rPr>
        <w:fldChar w:fldCharType="end"/>
      </w:r>
    </w:p>
    <w:p w14:paraId="52BF5DA3">
      <w:pPr>
        <w:pStyle w:val="8"/>
        <w:keepNext w:val="0"/>
        <w:keepLines w:val="0"/>
        <w:pageBreakBefore w:val="0"/>
        <w:tabs>
          <w:tab w:val="right" w:pos="8306"/>
        </w:tabs>
        <w:wordWrap/>
        <w:overflowPunct/>
        <w:topLinePunct w:val="0"/>
        <w:bidi w:val="0"/>
        <w:spacing w:line="560" w:lineRule="exact"/>
        <w:ind w:left="0" w:leftChars="0"/>
        <w:jc w:val="both"/>
        <w:textAlignment w:val="auto"/>
        <w:rPr>
          <w:rFonts w:ascii="Times New Roman" w:hAnsi="Times New Roman" w:eastAsia="仿宋_GB2312" w:cs="仿宋_GB2312"/>
          <w:sz w:val="32"/>
          <w:szCs w:val="32"/>
        </w:rPr>
      </w:pPr>
      <w:r>
        <w:rPr>
          <w:rFonts w:ascii="Times New Roman" w:hAnsi="Times New Roman"/>
        </w:rPr>
        <w:fldChar w:fldCharType="begin"/>
      </w:r>
      <w:r>
        <w:rPr>
          <w:rFonts w:ascii="Times New Roman" w:hAnsi="Times New Roman"/>
        </w:rPr>
        <w:instrText xml:space="preserve"> HYPERLINK \l "_Toc11283" </w:instrText>
      </w:r>
      <w:r>
        <w:rPr>
          <w:rFonts w:ascii="Times New Roman" w:hAnsi="Times New Roman"/>
        </w:rPr>
        <w:fldChar w:fldCharType="separate"/>
      </w:r>
      <w:r>
        <w:rPr>
          <w:rFonts w:hint="eastAsia" w:ascii="Times New Roman" w:hAnsi="Times New Roman" w:eastAsia="仿宋_GB2312" w:cs="仿宋_GB2312"/>
          <w:bCs/>
          <w:kern w:val="0"/>
          <w:sz w:val="32"/>
          <w:szCs w:val="32"/>
        </w:rPr>
        <w:t>十一、预算绩效的情况说明</w:t>
      </w:r>
      <w:r>
        <w:rPr>
          <w:rFonts w:hint="eastAsia" w:ascii="Times New Roman" w:hAnsi="Times New Roman" w:eastAsia="仿宋_GB2312" w:cs="仿宋_GB2312"/>
          <w:bCs/>
          <w:kern w:val="0"/>
          <w:sz w:val="32"/>
          <w:szCs w:val="32"/>
        </w:rPr>
        <w:fldChar w:fldCharType="end"/>
      </w:r>
    </w:p>
    <w:p w14:paraId="1D082545">
      <w:pPr>
        <w:pStyle w:val="8"/>
        <w:keepNext w:val="0"/>
        <w:keepLines w:val="0"/>
        <w:pageBreakBefore w:val="0"/>
        <w:tabs>
          <w:tab w:val="right" w:pos="8306"/>
        </w:tabs>
        <w:wordWrap/>
        <w:overflowPunct/>
        <w:topLinePunct w:val="0"/>
        <w:bidi w:val="0"/>
        <w:spacing w:line="560" w:lineRule="exact"/>
        <w:ind w:left="0" w:leftChars="0"/>
        <w:jc w:val="both"/>
        <w:textAlignment w:val="auto"/>
        <w:rPr>
          <w:rFonts w:ascii="Times New Roman" w:hAnsi="Times New Roman" w:eastAsia="仿宋_GB2312" w:cs="仿宋_GB2312"/>
          <w:sz w:val="32"/>
          <w:szCs w:val="32"/>
        </w:rPr>
      </w:pPr>
      <w:r>
        <w:rPr>
          <w:rFonts w:hint="eastAsia" w:ascii="Times New Roman" w:hAnsi="Times New Roman" w:eastAsia="仿宋_GB2312" w:cs="仿宋_GB2312"/>
          <w:sz w:val="32"/>
          <w:szCs w:val="32"/>
        </w:rPr>
        <w:t>十二、其他需说明的事项</w:t>
      </w:r>
    </w:p>
    <w:p w14:paraId="3D479D68">
      <w:pPr>
        <w:pStyle w:val="7"/>
        <w:keepNext w:val="0"/>
        <w:keepLines w:val="0"/>
        <w:pageBreakBefore w:val="0"/>
        <w:tabs>
          <w:tab w:val="right" w:pos="8306"/>
        </w:tabs>
        <w:wordWrap/>
        <w:overflowPunct/>
        <w:topLinePunct w:val="0"/>
        <w:bidi w:val="0"/>
        <w:spacing w:line="560" w:lineRule="exact"/>
        <w:jc w:val="both"/>
        <w:textAlignment w:val="auto"/>
        <w:rPr>
          <w:rFonts w:ascii="Times New Roman" w:hAnsi="Times New Roman" w:eastAsia="仿宋_GB2312" w:cs="仿宋_GB2312"/>
          <w:b/>
          <w:bCs/>
          <w:sz w:val="32"/>
          <w:szCs w:val="32"/>
        </w:rPr>
      </w:pPr>
      <w:r>
        <w:rPr>
          <w:rFonts w:ascii="Times New Roman" w:hAnsi="Times New Roman"/>
        </w:rPr>
        <w:fldChar w:fldCharType="begin"/>
      </w:r>
      <w:r>
        <w:rPr>
          <w:rFonts w:ascii="Times New Roman" w:hAnsi="Times New Roman"/>
        </w:rPr>
        <w:instrText xml:space="preserve"> HYPERLINK \l "_Toc3250" </w:instrText>
      </w:r>
      <w:r>
        <w:rPr>
          <w:rFonts w:ascii="Times New Roman" w:hAnsi="Times New Roman"/>
        </w:rPr>
        <w:fldChar w:fldCharType="separate"/>
      </w:r>
      <w:r>
        <w:rPr>
          <w:rFonts w:hint="eastAsia" w:ascii="Times New Roman" w:hAnsi="Times New Roman" w:eastAsia="仿宋_GB2312" w:cs="仿宋_GB2312"/>
          <w:b/>
          <w:bCs/>
          <w:sz w:val="32"/>
          <w:szCs w:val="32"/>
        </w:rPr>
        <w:t>第三部分 专业名词解释</w:t>
      </w:r>
      <w:r>
        <w:rPr>
          <w:rFonts w:hint="eastAsia" w:ascii="Times New Roman" w:hAnsi="Times New Roman" w:eastAsia="仿宋_GB2312" w:cs="仿宋_GB2312"/>
          <w:b/>
          <w:bCs/>
          <w:sz w:val="32"/>
          <w:szCs w:val="32"/>
        </w:rPr>
        <w:fldChar w:fldCharType="end"/>
      </w:r>
    </w:p>
    <w:p w14:paraId="52BA61A5">
      <w:pPr>
        <w:pStyle w:val="7"/>
        <w:keepNext w:val="0"/>
        <w:keepLines w:val="0"/>
        <w:pageBreakBefore w:val="0"/>
        <w:tabs>
          <w:tab w:val="right" w:pos="8306"/>
        </w:tabs>
        <w:wordWrap/>
        <w:overflowPunct/>
        <w:topLinePunct w:val="0"/>
        <w:bidi w:val="0"/>
        <w:spacing w:line="560" w:lineRule="exact"/>
        <w:jc w:val="both"/>
        <w:textAlignment w:val="auto"/>
        <w:rPr>
          <w:rFonts w:ascii="Times New Roman" w:hAnsi="Times New Roman" w:eastAsia="仿宋_GB2312" w:cs="仿宋_GB2312"/>
          <w:b/>
          <w:bCs/>
          <w:sz w:val="32"/>
          <w:szCs w:val="32"/>
        </w:rPr>
      </w:pPr>
      <w:r>
        <w:rPr>
          <w:rFonts w:ascii="Times New Roman" w:hAnsi="Times New Roman"/>
        </w:rPr>
        <w:fldChar w:fldCharType="begin"/>
      </w:r>
      <w:r>
        <w:rPr>
          <w:rFonts w:ascii="Times New Roman" w:hAnsi="Times New Roman"/>
        </w:rPr>
        <w:instrText xml:space="preserve"> HYPERLINK \l "_Toc22784" </w:instrText>
      </w:r>
      <w:r>
        <w:rPr>
          <w:rFonts w:ascii="Times New Roman" w:hAnsi="Times New Roman"/>
        </w:rPr>
        <w:fldChar w:fldCharType="separate"/>
      </w:r>
      <w:r>
        <w:rPr>
          <w:rFonts w:hint="eastAsia" w:ascii="Times New Roman" w:hAnsi="Times New Roman" w:eastAsia="仿宋_GB2312" w:cs="仿宋_GB2312"/>
          <w:b/>
          <w:bCs/>
          <w:sz w:val="32"/>
          <w:szCs w:val="32"/>
        </w:rPr>
        <w:t>第四部分 部门决算报表（见附表）</w:t>
      </w:r>
      <w:r>
        <w:rPr>
          <w:rFonts w:hint="eastAsia" w:ascii="Times New Roman" w:hAnsi="Times New Roman" w:eastAsia="仿宋_GB2312" w:cs="仿宋_GB2312"/>
          <w:b/>
          <w:bCs/>
          <w:sz w:val="32"/>
          <w:szCs w:val="32"/>
        </w:rPr>
        <w:fldChar w:fldCharType="end"/>
      </w:r>
    </w:p>
    <w:p w14:paraId="2E1F00EB">
      <w:pPr>
        <w:pStyle w:val="8"/>
        <w:keepNext w:val="0"/>
        <w:keepLines w:val="0"/>
        <w:pageBreakBefore w:val="0"/>
        <w:tabs>
          <w:tab w:val="right" w:pos="8306"/>
        </w:tabs>
        <w:wordWrap/>
        <w:overflowPunct/>
        <w:topLinePunct w:val="0"/>
        <w:bidi w:val="0"/>
        <w:spacing w:line="560" w:lineRule="exact"/>
        <w:ind w:left="0" w:leftChars="0"/>
        <w:jc w:val="both"/>
        <w:textAlignment w:val="auto"/>
        <w:rPr>
          <w:rFonts w:ascii="Times New Roman" w:hAnsi="Times New Roman" w:eastAsia="仿宋_GB2312" w:cs="仿宋_GB2312"/>
          <w:sz w:val="32"/>
          <w:szCs w:val="32"/>
        </w:rPr>
      </w:pPr>
      <w:r>
        <w:rPr>
          <w:rFonts w:ascii="Times New Roman" w:hAnsi="Times New Roman"/>
        </w:rPr>
        <w:fldChar w:fldCharType="begin"/>
      </w:r>
      <w:r>
        <w:rPr>
          <w:rFonts w:ascii="Times New Roman" w:hAnsi="Times New Roman"/>
        </w:rPr>
        <w:instrText xml:space="preserve"> HYPERLINK \l "_Toc2183" </w:instrText>
      </w:r>
      <w:r>
        <w:rPr>
          <w:rFonts w:ascii="Times New Roman" w:hAnsi="Times New Roman"/>
        </w:rPr>
        <w:fldChar w:fldCharType="separate"/>
      </w:r>
      <w:r>
        <w:rPr>
          <w:rFonts w:hint="eastAsia" w:ascii="Times New Roman" w:hAnsi="Times New Roman" w:eastAsia="仿宋_GB2312" w:cs="仿宋_GB2312"/>
          <w:bCs/>
          <w:kern w:val="0"/>
          <w:sz w:val="32"/>
          <w:szCs w:val="32"/>
        </w:rPr>
        <w:t>一、《收入支出决算总表》</w:t>
      </w:r>
      <w:r>
        <w:rPr>
          <w:rFonts w:hint="eastAsia" w:ascii="Times New Roman" w:hAnsi="Times New Roman" w:eastAsia="仿宋_GB2312" w:cs="仿宋_GB2312"/>
          <w:bCs/>
          <w:kern w:val="0"/>
          <w:sz w:val="32"/>
          <w:szCs w:val="32"/>
        </w:rPr>
        <w:fldChar w:fldCharType="end"/>
      </w:r>
    </w:p>
    <w:p w14:paraId="69F4CD51">
      <w:pPr>
        <w:pStyle w:val="8"/>
        <w:keepNext w:val="0"/>
        <w:keepLines w:val="0"/>
        <w:pageBreakBefore w:val="0"/>
        <w:tabs>
          <w:tab w:val="right" w:pos="8306"/>
        </w:tabs>
        <w:wordWrap/>
        <w:overflowPunct/>
        <w:topLinePunct w:val="0"/>
        <w:bidi w:val="0"/>
        <w:spacing w:line="560" w:lineRule="exact"/>
        <w:ind w:left="0" w:leftChars="0"/>
        <w:jc w:val="both"/>
        <w:textAlignment w:val="auto"/>
        <w:rPr>
          <w:rFonts w:ascii="Times New Roman" w:hAnsi="Times New Roman" w:eastAsia="仿宋_GB2312" w:cs="仿宋_GB2312"/>
          <w:sz w:val="32"/>
          <w:szCs w:val="32"/>
        </w:rPr>
      </w:pPr>
      <w:r>
        <w:rPr>
          <w:rFonts w:ascii="Times New Roman" w:hAnsi="Times New Roman"/>
        </w:rPr>
        <w:fldChar w:fldCharType="begin"/>
      </w:r>
      <w:r>
        <w:rPr>
          <w:rFonts w:ascii="Times New Roman" w:hAnsi="Times New Roman"/>
        </w:rPr>
        <w:instrText xml:space="preserve"> HYPERLINK \l "_Toc24532" </w:instrText>
      </w:r>
      <w:r>
        <w:rPr>
          <w:rFonts w:ascii="Times New Roman" w:hAnsi="Times New Roman"/>
        </w:rPr>
        <w:fldChar w:fldCharType="separate"/>
      </w:r>
      <w:r>
        <w:rPr>
          <w:rFonts w:hint="eastAsia" w:ascii="Times New Roman" w:hAnsi="Times New Roman" w:eastAsia="仿宋_GB2312" w:cs="仿宋_GB2312"/>
          <w:bCs/>
          <w:kern w:val="0"/>
          <w:sz w:val="32"/>
          <w:szCs w:val="32"/>
        </w:rPr>
        <w:t>二、《收入决算表》</w:t>
      </w:r>
      <w:r>
        <w:rPr>
          <w:rFonts w:hint="eastAsia" w:ascii="Times New Roman" w:hAnsi="Times New Roman" w:eastAsia="仿宋_GB2312" w:cs="仿宋_GB2312"/>
          <w:bCs/>
          <w:kern w:val="0"/>
          <w:sz w:val="32"/>
          <w:szCs w:val="32"/>
        </w:rPr>
        <w:fldChar w:fldCharType="end"/>
      </w:r>
    </w:p>
    <w:p w14:paraId="455C5785">
      <w:pPr>
        <w:pStyle w:val="8"/>
        <w:keepNext w:val="0"/>
        <w:keepLines w:val="0"/>
        <w:pageBreakBefore w:val="0"/>
        <w:tabs>
          <w:tab w:val="right" w:pos="8306"/>
        </w:tabs>
        <w:wordWrap/>
        <w:overflowPunct/>
        <w:topLinePunct w:val="0"/>
        <w:bidi w:val="0"/>
        <w:spacing w:line="560" w:lineRule="exact"/>
        <w:ind w:left="0" w:leftChars="0"/>
        <w:jc w:val="both"/>
        <w:textAlignment w:val="auto"/>
        <w:rPr>
          <w:rFonts w:ascii="Times New Roman" w:hAnsi="Times New Roman" w:eastAsia="仿宋_GB2312" w:cs="仿宋_GB2312"/>
          <w:sz w:val="32"/>
          <w:szCs w:val="32"/>
        </w:rPr>
      </w:pPr>
      <w:r>
        <w:rPr>
          <w:rFonts w:ascii="Times New Roman" w:hAnsi="Times New Roman"/>
        </w:rPr>
        <w:fldChar w:fldCharType="begin"/>
      </w:r>
      <w:r>
        <w:rPr>
          <w:rFonts w:ascii="Times New Roman" w:hAnsi="Times New Roman"/>
        </w:rPr>
        <w:instrText xml:space="preserve"> HYPERLINK \l "_Toc32434" </w:instrText>
      </w:r>
      <w:r>
        <w:rPr>
          <w:rFonts w:ascii="Times New Roman" w:hAnsi="Times New Roman"/>
        </w:rPr>
        <w:fldChar w:fldCharType="separate"/>
      </w:r>
      <w:r>
        <w:rPr>
          <w:rFonts w:hint="eastAsia" w:ascii="Times New Roman" w:hAnsi="Times New Roman" w:eastAsia="仿宋_GB2312" w:cs="仿宋_GB2312"/>
          <w:bCs/>
          <w:kern w:val="0"/>
          <w:sz w:val="32"/>
          <w:szCs w:val="32"/>
        </w:rPr>
        <w:t>三、《支出决算表》</w:t>
      </w:r>
      <w:r>
        <w:rPr>
          <w:rFonts w:hint="eastAsia" w:ascii="Times New Roman" w:hAnsi="Times New Roman" w:eastAsia="仿宋_GB2312" w:cs="仿宋_GB2312"/>
          <w:bCs/>
          <w:kern w:val="0"/>
          <w:sz w:val="32"/>
          <w:szCs w:val="32"/>
        </w:rPr>
        <w:fldChar w:fldCharType="end"/>
      </w:r>
    </w:p>
    <w:p w14:paraId="58828DE8">
      <w:pPr>
        <w:pStyle w:val="8"/>
        <w:keepNext w:val="0"/>
        <w:keepLines w:val="0"/>
        <w:pageBreakBefore w:val="0"/>
        <w:tabs>
          <w:tab w:val="right" w:pos="8306"/>
        </w:tabs>
        <w:wordWrap/>
        <w:overflowPunct/>
        <w:topLinePunct w:val="0"/>
        <w:bidi w:val="0"/>
        <w:spacing w:line="560" w:lineRule="exact"/>
        <w:ind w:left="0" w:leftChars="0"/>
        <w:jc w:val="both"/>
        <w:textAlignment w:val="auto"/>
        <w:rPr>
          <w:rFonts w:ascii="Times New Roman" w:hAnsi="Times New Roman" w:eastAsia="仿宋_GB2312" w:cs="仿宋_GB2312"/>
          <w:sz w:val="32"/>
          <w:szCs w:val="32"/>
        </w:rPr>
      </w:pPr>
      <w:r>
        <w:rPr>
          <w:rFonts w:ascii="Times New Roman" w:hAnsi="Times New Roman"/>
        </w:rPr>
        <w:fldChar w:fldCharType="begin"/>
      </w:r>
      <w:r>
        <w:rPr>
          <w:rFonts w:ascii="Times New Roman" w:hAnsi="Times New Roman"/>
        </w:rPr>
        <w:instrText xml:space="preserve"> HYPERLINK \l "_Toc28786" </w:instrText>
      </w:r>
      <w:r>
        <w:rPr>
          <w:rFonts w:ascii="Times New Roman" w:hAnsi="Times New Roman"/>
        </w:rPr>
        <w:fldChar w:fldCharType="separate"/>
      </w:r>
      <w:r>
        <w:rPr>
          <w:rFonts w:hint="eastAsia" w:ascii="Times New Roman" w:hAnsi="Times New Roman" w:eastAsia="仿宋_GB2312" w:cs="仿宋_GB2312"/>
          <w:bCs/>
          <w:kern w:val="0"/>
          <w:sz w:val="32"/>
          <w:szCs w:val="32"/>
        </w:rPr>
        <w:t>四、《财政拨款收入支出决算总表》</w:t>
      </w:r>
      <w:r>
        <w:rPr>
          <w:rFonts w:hint="eastAsia" w:ascii="Times New Roman" w:hAnsi="Times New Roman" w:eastAsia="仿宋_GB2312" w:cs="仿宋_GB2312"/>
          <w:bCs/>
          <w:kern w:val="0"/>
          <w:sz w:val="32"/>
          <w:szCs w:val="32"/>
        </w:rPr>
        <w:fldChar w:fldCharType="end"/>
      </w:r>
    </w:p>
    <w:p w14:paraId="452DFA80">
      <w:pPr>
        <w:pStyle w:val="8"/>
        <w:keepNext w:val="0"/>
        <w:keepLines w:val="0"/>
        <w:pageBreakBefore w:val="0"/>
        <w:tabs>
          <w:tab w:val="right" w:pos="8306"/>
        </w:tabs>
        <w:wordWrap/>
        <w:overflowPunct/>
        <w:topLinePunct w:val="0"/>
        <w:bidi w:val="0"/>
        <w:spacing w:line="560" w:lineRule="exact"/>
        <w:ind w:left="0" w:leftChars="0"/>
        <w:jc w:val="both"/>
        <w:textAlignment w:val="auto"/>
        <w:rPr>
          <w:rFonts w:ascii="Times New Roman" w:hAnsi="Times New Roman" w:eastAsia="仿宋_GB2312" w:cs="仿宋_GB2312"/>
          <w:sz w:val="32"/>
          <w:szCs w:val="32"/>
        </w:rPr>
      </w:pPr>
      <w:r>
        <w:rPr>
          <w:rFonts w:ascii="Times New Roman" w:hAnsi="Times New Roman"/>
        </w:rPr>
        <w:fldChar w:fldCharType="begin"/>
      </w:r>
      <w:r>
        <w:rPr>
          <w:rFonts w:ascii="Times New Roman" w:hAnsi="Times New Roman"/>
        </w:rPr>
        <w:instrText xml:space="preserve"> HYPERLINK \l "_Toc14869" </w:instrText>
      </w:r>
      <w:r>
        <w:rPr>
          <w:rFonts w:ascii="Times New Roman" w:hAnsi="Times New Roman"/>
        </w:rPr>
        <w:fldChar w:fldCharType="separate"/>
      </w:r>
      <w:r>
        <w:rPr>
          <w:rFonts w:hint="eastAsia" w:ascii="Times New Roman" w:hAnsi="Times New Roman" w:eastAsia="仿宋_GB2312" w:cs="仿宋_GB2312"/>
          <w:bCs/>
          <w:kern w:val="0"/>
          <w:sz w:val="32"/>
          <w:szCs w:val="32"/>
        </w:rPr>
        <w:t>五、《一般公共预算财政拨款支出决算表》</w:t>
      </w:r>
      <w:r>
        <w:rPr>
          <w:rFonts w:hint="eastAsia" w:ascii="Times New Roman" w:hAnsi="Times New Roman" w:eastAsia="仿宋_GB2312" w:cs="仿宋_GB2312"/>
          <w:bCs/>
          <w:kern w:val="0"/>
          <w:sz w:val="32"/>
          <w:szCs w:val="32"/>
        </w:rPr>
        <w:fldChar w:fldCharType="end"/>
      </w:r>
    </w:p>
    <w:p w14:paraId="6A106F01">
      <w:pPr>
        <w:pStyle w:val="8"/>
        <w:keepNext w:val="0"/>
        <w:keepLines w:val="0"/>
        <w:pageBreakBefore w:val="0"/>
        <w:tabs>
          <w:tab w:val="right" w:pos="8306"/>
        </w:tabs>
        <w:wordWrap/>
        <w:overflowPunct/>
        <w:topLinePunct w:val="0"/>
        <w:bidi w:val="0"/>
        <w:spacing w:line="560" w:lineRule="exact"/>
        <w:ind w:left="0" w:leftChars="0"/>
        <w:jc w:val="both"/>
        <w:textAlignment w:val="auto"/>
        <w:rPr>
          <w:rFonts w:ascii="Times New Roman" w:hAnsi="Times New Roman" w:eastAsia="仿宋_GB2312" w:cs="仿宋_GB2312"/>
          <w:sz w:val="32"/>
          <w:szCs w:val="32"/>
        </w:rPr>
      </w:pPr>
      <w:r>
        <w:rPr>
          <w:rFonts w:ascii="Times New Roman" w:hAnsi="Times New Roman"/>
        </w:rPr>
        <w:fldChar w:fldCharType="begin"/>
      </w:r>
      <w:r>
        <w:rPr>
          <w:rFonts w:ascii="Times New Roman" w:hAnsi="Times New Roman"/>
        </w:rPr>
        <w:instrText xml:space="preserve"> HYPERLINK \l "_Toc8884" </w:instrText>
      </w:r>
      <w:r>
        <w:rPr>
          <w:rFonts w:ascii="Times New Roman" w:hAnsi="Times New Roman"/>
        </w:rPr>
        <w:fldChar w:fldCharType="separate"/>
      </w:r>
      <w:r>
        <w:rPr>
          <w:rFonts w:hint="eastAsia" w:ascii="Times New Roman" w:hAnsi="Times New Roman" w:eastAsia="仿宋_GB2312" w:cs="仿宋_GB2312"/>
          <w:bCs/>
          <w:kern w:val="0"/>
          <w:sz w:val="32"/>
          <w:szCs w:val="32"/>
        </w:rPr>
        <w:t>六、《一般公共预算财政拨款基本支出决算表》</w:t>
      </w:r>
      <w:r>
        <w:rPr>
          <w:rFonts w:hint="eastAsia" w:ascii="Times New Roman" w:hAnsi="Times New Roman" w:eastAsia="仿宋_GB2312" w:cs="仿宋_GB2312"/>
          <w:bCs/>
          <w:kern w:val="0"/>
          <w:sz w:val="32"/>
          <w:szCs w:val="32"/>
        </w:rPr>
        <w:fldChar w:fldCharType="end"/>
      </w:r>
    </w:p>
    <w:p w14:paraId="1784844A">
      <w:pPr>
        <w:pStyle w:val="8"/>
        <w:keepNext w:val="0"/>
        <w:keepLines w:val="0"/>
        <w:pageBreakBefore w:val="0"/>
        <w:tabs>
          <w:tab w:val="right" w:pos="8306"/>
        </w:tabs>
        <w:wordWrap/>
        <w:overflowPunct/>
        <w:topLinePunct w:val="0"/>
        <w:bidi w:val="0"/>
        <w:spacing w:line="560" w:lineRule="exact"/>
        <w:ind w:left="0" w:leftChars="0"/>
        <w:jc w:val="both"/>
        <w:textAlignment w:val="auto"/>
        <w:rPr>
          <w:rFonts w:ascii="Times New Roman" w:hAnsi="Times New Roman" w:eastAsia="仿宋_GB2312" w:cs="仿宋_GB2312"/>
          <w:sz w:val="32"/>
          <w:szCs w:val="32"/>
        </w:rPr>
      </w:pPr>
      <w:r>
        <w:rPr>
          <w:rFonts w:ascii="Times New Roman" w:hAnsi="Times New Roman"/>
        </w:rPr>
        <w:fldChar w:fldCharType="begin"/>
      </w:r>
      <w:r>
        <w:rPr>
          <w:rFonts w:ascii="Times New Roman" w:hAnsi="Times New Roman"/>
        </w:rPr>
        <w:instrText xml:space="preserve"> HYPERLINK \l "_Toc29106" </w:instrText>
      </w:r>
      <w:r>
        <w:rPr>
          <w:rFonts w:ascii="Times New Roman" w:hAnsi="Times New Roman"/>
        </w:rPr>
        <w:fldChar w:fldCharType="separate"/>
      </w:r>
      <w:r>
        <w:rPr>
          <w:rFonts w:hint="eastAsia" w:ascii="Times New Roman" w:hAnsi="Times New Roman" w:eastAsia="仿宋_GB2312" w:cs="仿宋_GB2312"/>
          <w:bCs/>
          <w:kern w:val="0"/>
          <w:sz w:val="32"/>
          <w:szCs w:val="32"/>
        </w:rPr>
        <w:t>七、《财政拨款“三公”经费支出决算表》</w:t>
      </w:r>
      <w:r>
        <w:rPr>
          <w:rFonts w:hint="eastAsia" w:ascii="Times New Roman" w:hAnsi="Times New Roman" w:eastAsia="仿宋_GB2312" w:cs="仿宋_GB2312"/>
          <w:bCs/>
          <w:kern w:val="0"/>
          <w:sz w:val="32"/>
          <w:szCs w:val="32"/>
        </w:rPr>
        <w:fldChar w:fldCharType="end"/>
      </w:r>
    </w:p>
    <w:p w14:paraId="78E150C3">
      <w:pPr>
        <w:pStyle w:val="8"/>
        <w:keepNext w:val="0"/>
        <w:keepLines w:val="0"/>
        <w:pageBreakBefore w:val="0"/>
        <w:tabs>
          <w:tab w:val="right" w:pos="8306"/>
        </w:tabs>
        <w:wordWrap/>
        <w:overflowPunct/>
        <w:topLinePunct w:val="0"/>
        <w:bidi w:val="0"/>
        <w:spacing w:line="560" w:lineRule="exact"/>
        <w:ind w:left="0" w:leftChars="0"/>
        <w:jc w:val="both"/>
        <w:textAlignment w:val="auto"/>
        <w:rPr>
          <w:rFonts w:ascii="Times New Roman" w:hAnsi="Times New Roman" w:eastAsia="仿宋_GB2312" w:cs="仿宋_GB2312"/>
          <w:bCs/>
          <w:kern w:val="0"/>
          <w:sz w:val="32"/>
          <w:szCs w:val="32"/>
        </w:rPr>
      </w:pPr>
      <w:r>
        <w:rPr>
          <w:rFonts w:ascii="Times New Roman" w:hAnsi="Times New Roman"/>
        </w:rPr>
        <w:fldChar w:fldCharType="begin"/>
      </w:r>
      <w:r>
        <w:rPr>
          <w:rFonts w:ascii="Times New Roman" w:hAnsi="Times New Roman"/>
        </w:rPr>
        <w:instrText xml:space="preserve"> HYPERLINK \l "_Toc7643" </w:instrText>
      </w:r>
      <w:r>
        <w:rPr>
          <w:rFonts w:ascii="Times New Roman" w:hAnsi="Times New Roman"/>
        </w:rPr>
        <w:fldChar w:fldCharType="separate"/>
      </w:r>
      <w:r>
        <w:rPr>
          <w:rFonts w:hint="eastAsia" w:ascii="Times New Roman" w:hAnsi="Times New Roman" w:eastAsia="仿宋_GB2312" w:cs="仿宋_GB2312"/>
          <w:bCs/>
          <w:kern w:val="0"/>
          <w:sz w:val="32"/>
          <w:szCs w:val="32"/>
        </w:rPr>
        <w:t>八、《政府性基金预算财政拨款收入支出决算表》</w:t>
      </w:r>
      <w:r>
        <w:rPr>
          <w:rFonts w:hint="eastAsia" w:ascii="Times New Roman" w:hAnsi="Times New Roman" w:eastAsia="仿宋_GB2312" w:cs="仿宋_GB2312"/>
          <w:bCs/>
          <w:kern w:val="0"/>
          <w:sz w:val="32"/>
          <w:szCs w:val="32"/>
        </w:rPr>
        <w:fldChar w:fldCharType="end"/>
      </w:r>
    </w:p>
    <w:p w14:paraId="2680F56A">
      <w:pPr>
        <w:pStyle w:val="8"/>
        <w:keepNext w:val="0"/>
        <w:keepLines w:val="0"/>
        <w:pageBreakBefore w:val="0"/>
        <w:tabs>
          <w:tab w:val="right" w:pos="8306"/>
        </w:tabs>
        <w:wordWrap/>
        <w:overflowPunct/>
        <w:topLinePunct w:val="0"/>
        <w:bidi w:val="0"/>
        <w:spacing w:line="560" w:lineRule="exact"/>
        <w:ind w:left="0" w:leftChars="0"/>
        <w:jc w:val="both"/>
        <w:textAlignment w:val="auto"/>
        <w:rPr>
          <w:rFonts w:ascii="Times New Roman" w:hAnsi="Times New Roman" w:eastAsia="仿宋_GB2312" w:cs="仿宋_GB2312"/>
          <w:bCs/>
          <w:kern w:val="0"/>
          <w:sz w:val="32"/>
          <w:szCs w:val="32"/>
        </w:rPr>
      </w:pPr>
      <w:r>
        <w:rPr>
          <w:rFonts w:hint="eastAsia" w:ascii="Times New Roman" w:hAnsi="Times New Roman" w:eastAsia="仿宋_GB2312" w:cs="仿宋_GB2312"/>
          <w:bCs/>
          <w:kern w:val="0"/>
          <w:sz w:val="32"/>
          <w:szCs w:val="32"/>
        </w:rPr>
        <w:t>九、《国有资本经营预算财政拨款收入支出决算表》</w:t>
      </w:r>
    </w:p>
    <w:p w14:paraId="6C12A097">
      <w:pPr>
        <w:keepNext w:val="0"/>
        <w:keepLines w:val="0"/>
        <w:pageBreakBefore w:val="0"/>
        <w:wordWrap/>
        <w:overflowPunct/>
        <w:topLinePunct w:val="0"/>
        <w:bidi w:val="0"/>
        <w:spacing w:line="560" w:lineRule="exact"/>
        <w:jc w:val="both"/>
        <w:textAlignment w:val="auto"/>
        <w:rPr>
          <w:rFonts w:ascii="Times New Roman" w:hAnsi="Times New Roman"/>
        </w:rPr>
      </w:pPr>
      <w:r>
        <w:rPr>
          <w:rFonts w:hint="eastAsia" w:ascii="Times New Roman" w:hAnsi="Times New Roman" w:eastAsia="仿宋_GB2312" w:cs="仿宋_GB2312"/>
          <w:sz w:val="32"/>
          <w:szCs w:val="32"/>
        </w:rPr>
        <w:fldChar w:fldCharType="end"/>
      </w:r>
    </w:p>
    <w:p w14:paraId="36DDF706">
      <w:pPr>
        <w:keepNext w:val="0"/>
        <w:keepLines w:val="0"/>
        <w:pageBreakBefore w:val="0"/>
        <w:wordWrap/>
        <w:overflowPunct/>
        <w:topLinePunct w:val="0"/>
        <w:bidi w:val="0"/>
        <w:spacing w:line="560" w:lineRule="exact"/>
        <w:jc w:val="both"/>
        <w:textAlignment w:val="auto"/>
        <w:rPr>
          <w:rFonts w:ascii="Times New Roman" w:hAnsi="Times New Roman" w:eastAsia="仿宋_GB2312"/>
          <w:sz w:val="32"/>
          <w:szCs w:val="32"/>
        </w:rPr>
      </w:pPr>
      <w:r>
        <w:rPr>
          <w:rFonts w:hint="eastAsia" w:ascii="Times New Roman" w:hAnsi="Times New Roman" w:eastAsia="仿宋_GB2312"/>
          <w:sz w:val="32"/>
          <w:szCs w:val="32"/>
        </w:rPr>
        <w:br w:type="page"/>
      </w:r>
    </w:p>
    <w:p w14:paraId="7DBD3BD7">
      <w:pPr>
        <w:keepNext w:val="0"/>
        <w:keepLines w:val="0"/>
        <w:pageBreakBefore w:val="0"/>
        <w:wordWrap/>
        <w:overflowPunct/>
        <w:topLinePunct w:val="0"/>
        <w:bidi w:val="0"/>
        <w:spacing w:line="560" w:lineRule="exact"/>
        <w:jc w:val="center"/>
        <w:textAlignment w:val="auto"/>
        <w:outlineLvl w:val="0"/>
        <w:rPr>
          <w:rFonts w:ascii="Times New Roman" w:hAnsi="Times New Roman" w:eastAsia="黑体"/>
          <w:sz w:val="32"/>
          <w:szCs w:val="32"/>
        </w:rPr>
      </w:pPr>
      <w:bookmarkStart w:id="0" w:name="_Toc32314"/>
      <w:bookmarkStart w:id="1" w:name="_Toc24028"/>
      <w:r>
        <w:rPr>
          <w:rFonts w:hint="eastAsia" w:ascii="Times New Roman" w:hAnsi="Times New Roman" w:eastAsia="黑体"/>
          <w:sz w:val="32"/>
          <w:szCs w:val="32"/>
        </w:rPr>
        <w:t>第一部分 单位概况</w:t>
      </w:r>
      <w:bookmarkEnd w:id="0"/>
      <w:bookmarkEnd w:id="1"/>
    </w:p>
    <w:p w14:paraId="33802C31">
      <w:pPr>
        <w:keepNext w:val="0"/>
        <w:keepLines w:val="0"/>
        <w:pageBreakBefore w:val="0"/>
        <w:wordWrap/>
        <w:overflowPunct/>
        <w:topLinePunct w:val="0"/>
        <w:bidi w:val="0"/>
        <w:spacing w:line="560" w:lineRule="exact"/>
        <w:ind w:firstLine="640" w:firstLineChars="200"/>
        <w:jc w:val="both"/>
        <w:textAlignment w:val="auto"/>
        <w:outlineLvl w:val="1"/>
        <w:rPr>
          <w:rFonts w:ascii="Times New Roman" w:hAnsi="Times New Roman" w:eastAsia="黑体" w:cs="宋体"/>
          <w:bCs/>
          <w:kern w:val="0"/>
          <w:sz w:val="32"/>
          <w:szCs w:val="32"/>
        </w:rPr>
      </w:pPr>
      <w:bookmarkStart w:id="2" w:name="_Toc30738"/>
      <w:bookmarkStart w:id="3" w:name="_Toc30567"/>
      <w:r>
        <w:rPr>
          <w:rFonts w:hint="eastAsia" w:ascii="Times New Roman" w:hAnsi="Times New Roman" w:eastAsia="黑体" w:cs="宋体"/>
          <w:bCs/>
          <w:kern w:val="0"/>
          <w:sz w:val="32"/>
          <w:szCs w:val="32"/>
        </w:rPr>
        <w:t>一、主要职能</w:t>
      </w:r>
      <w:bookmarkEnd w:id="2"/>
      <w:bookmarkEnd w:id="3"/>
    </w:p>
    <w:p w14:paraId="35611245">
      <w:pPr>
        <w:keepNext w:val="0"/>
        <w:keepLines w:val="0"/>
        <w:pageBreakBefore w:val="0"/>
        <w:wordWrap/>
        <w:overflowPunct/>
        <w:topLinePunct w:val="0"/>
        <w:bidi w:val="0"/>
        <w:spacing w:line="560" w:lineRule="exact"/>
        <w:ind w:firstLine="640" w:firstLineChars="200"/>
        <w:jc w:val="both"/>
        <w:textAlignment w:val="auto"/>
        <w:rPr>
          <w:rFonts w:ascii="Times New Roman" w:hAnsi="Times New Roman" w:eastAsia="仿宋_GB2312"/>
          <w:sz w:val="32"/>
          <w:szCs w:val="32"/>
        </w:rPr>
      </w:pPr>
      <w:r>
        <w:rPr>
          <w:rFonts w:hint="eastAsia" w:ascii="Times New Roman" w:hAnsi="Times New Roman" w:eastAsia="仿宋_GB2312"/>
          <w:sz w:val="32"/>
          <w:szCs w:val="32"/>
        </w:rPr>
        <w:t>承担自治区农村饮水安全工程建设与运行管理办法、发展规划以及规范和技术标准的编制、修订和落实；开展农村饮水安全工程项目的技术指导、复核；承担农村饮水安全工程体制和运行机制改革的调查研究工作；承担自治区农村饮水安全项目年度建设投资计划编制；承担农村饮水安全技术开发、推广、培训等工作，为农村饮水安全、扶贫开发工程建设提供技术支撑和服务。</w:t>
      </w:r>
    </w:p>
    <w:p w14:paraId="3E8C1845">
      <w:pPr>
        <w:keepNext w:val="0"/>
        <w:keepLines w:val="0"/>
        <w:pageBreakBefore w:val="0"/>
        <w:widowControl w:val="0"/>
        <w:wordWrap/>
        <w:overflowPunct/>
        <w:topLinePunct w:val="0"/>
        <w:bidi w:val="0"/>
        <w:snapToGrid/>
        <w:spacing w:line="560" w:lineRule="exact"/>
        <w:ind w:firstLine="640" w:firstLineChars="200"/>
        <w:jc w:val="both"/>
        <w:textAlignment w:val="auto"/>
        <w:outlineLvl w:val="1"/>
        <w:rPr>
          <w:rFonts w:ascii="Times New Roman" w:hAnsi="Times New Roman" w:eastAsia="黑体" w:cs="宋体"/>
          <w:bCs/>
          <w:kern w:val="0"/>
          <w:sz w:val="32"/>
          <w:szCs w:val="32"/>
        </w:rPr>
      </w:pPr>
      <w:bookmarkStart w:id="4" w:name="_Toc31238"/>
      <w:bookmarkStart w:id="5" w:name="_Toc2151"/>
      <w:r>
        <w:rPr>
          <w:rFonts w:hint="eastAsia" w:ascii="Times New Roman" w:hAnsi="Times New Roman" w:eastAsia="黑体" w:cs="宋体"/>
          <w:bCs/>
          <w:kern w:val="0"/>
          <w:sz w:val="32"/>
          <w:szCs w:val="32"/>
        </w:rPr>
        <w:t>二、机构设置及</w:t>
      </w:r>
      <w:bookmarkEnd w:id="4"/>
      <w:r>
        <w:rPr>
          <w:rFonts w:hint="eastAsia" w:ascii="Times New Roman" w:hAnsi="Times New Roman" w:eastAsia="黑体" w:cs="宋体"/>
          <w:bCs/>
          <w:kern w:val="0"/>
          <w:sz w:val="32"/>
          <w:szCs w:val="32"/>
        </w:rPr>
        <w:t>人员情况</w:t>
      </w:r>
      <w:bookmarkEnd w:id="5"/>
    </w:p>
    <w:p w14:paraId="22B392C1">
      <w:pPr>
        <w:pStyle w:val="3"/>
        <w:keepNext w:val="0"/>
        <w:keepLines w:val="0"/>
        <w:pageBreakBefore w:val="0"/>
        <w:widowControl w:val="0"/>
        <w:kinsoku w:val="0"/>
        <w:wordWrap/>
        <w:overflowPunct/>
        <w:topLinePunct w:val="0"/>
        <w:autoSpaceDE w:val="0"/>
        <w:autoSpaceDN w:val="0"/>
        <w:bidi w:val="0"/>
        <w:adjustRightInd w:val="0"/>
        <w:snapToGrid/>
        <w:spacing w:line="560" w:lineRule="exact"/>
        <w:ind w:left="0" w:firstLine="640" w:firstLineChars="200"/>
        <w:jc w:val="both"/>
        <w:textAlignment w:val="auto"/>
        <w:rPr>
          <w:rFonts w:hint="eastAsia" w:ascii="Times New Roman" w:hAnsi="Times New Roman" w:eastAsia="仿宋_GB2312"/>
          <w:sz w:val="32"/>
          <w:szCs w:val="32"/>
        </w:rPr>
      </w:pPr>
      <w:r>
        <w:rPr>
          <w:rFonts w:hint="eastAsia" w:ascii="Times New Roman" w:hAnsi="Times New Roman" w:eastAsia="仿宋_GB2312"/>
          <w:sz w:val="32"/>
          <w:szCs w:val="32"/>
        </w:rPr>
        <w:t>新疆维吾尔自治区农村饮水安全管理总站2023年度，实有人数19人，其中：在职人员8人，离休人员</w:t>
      </w:r>
      <w:r>
        <w:rPr>
          <w:rFonts w:hint="eastAsia" w:ascii="Times New Roman" w:hAnsi="Times New Roman" w:eastAsia="仿宋_GB2312"/>
          <w:sz w:val="32"/>
          <w:szCs w:val="32"/>
          <w:lang w:val="zh-CN"/>
        </w:rPr>
        <w:t>0</w:t>
      </w:r>
      <w:r>
        <w:rPr>
          <w:rFonts w:hint="eastAsia" w:ascii="Times New Roman" w:hAnsi="Times New Roman" w:eastAsia="仿宋_GB2312"/>
          <w:sz w:val="32"/>
          <w:szCs w:val="32"/>
        </w:rPr>
        <w:t>人，退休人员</w:t>
      </w:r>
      <w:r>
        <w:rPr>
          <w:rFonts w:hint="eastAsia" w:ascii="Times New Roman" w:hAnsi="Times New Roman" w:eastAsia="仿宋_GB2312"/>
          <w:sz w:val="32"/>
          <w:szCs w:val="32"/>
          <w:lang w:val="zh-CN"/>
        </w:rPr>
        <w:t>11</w:t>
      </w:r>
      <w:r>
        <w:rPr>
          <w:rFonts w:hint="eastAsia" w:ascii="Times New Roman" w:hAnsi="Times New Roman" w:eastAsia="仿宋_GB2312"/>
          <w:sz w:val="32"/>
          <w:szCs w:val="32"/>
        </w:rPr>
        <w:t>人。</w:t>
      </w:r>
      <w:bookmarkStart w:id="6" w:name="_Toc29374"/>
      <w:bookmarkStart w:id="7" w:name="_Toc3092"/>
    </w:p>
    <w:p w14:paraId="334F0604">
      <w:pPr>
        <w:pStyle w:val="3"/>
        <w:keepNext w:val="0"/>
        <w:keepLines w:val="0"/>
        <w:pageBreakBefore w:val="0"/>
        <w:widowControl w:val="0"/>
        <w:kinsoku w:val="0"/>
        <w:wordWrap/>
        <w:overflowPunct/>
        <w:topLinePunct w:val="0"/>
        <w:autoSpaceDE w:val="0"/>
        <w:autoSpaceDN w:val="0"/>
        <w:bidi w:val="0"/>
        <w:adjustRightInd w:val="0"/>
        <w:snapToGrid/>
        <w:spacing w:line="560" w:lineRule="exact"/>
        <w:ind w:left="0" w:firstLine="640" w:firstLineChars="200"/>
        <w:jc w:val="both"/>
        <w:textAlignment w:val="auto"/>
        <w:rPr>
          <w:rFonts w:hint="default" w:ascii="Times New Roman" w:hAnsi="Times New Roman" w:eastAsia="仿宋_GB2312" w:cs="Times New Roman"/>
          <w:kern w:val="2"/>
          <w:sz w:val="32"/>
          <w:szCs w:val="32"/>
          <w:highlight w:val="none"/>
          <w:lang w:val="en-US" w:eastAsia="zh-CN" w:bidi="ar-SA"/>
        </w:rPr>
      </w:pPr>
      <w:r>
        <w:rPr>
          <w:rFonts w:hint="eastAsia" w:ascii="Times New Roman" w:hAnsi="Times New Roman" w:eastAsia="仿宋_GB2312" w:cs="Times New Roman"/>
          <w:kern w:val="2"/>
          <w:sz w:val="32"/>
          <w:szCs w:val="32"/>
          <w:highlight w:val="none"/>
          <w:lang w:val="en-US" w:eastAsia="zh-CN" w:bidi="ar-SA"/>
        </w:rPr>
        <w:t>新疆维吾尔自治区农村饮水安全管理总站无下属单位，无下设处室。</w:t>
      </w:r>
    </w:p>
    <w:p w14:paraId="1DC8C50B">
      <w:pPr>
        <w:keepNext w:val="0"/>
        <w:keepLines w:val="0"/>
        <w:pageBreakBefore w:val="0"/>
        <w:widowControl w:val="0"/>
        <w:wordWrap/>
        <w:overflowPunct/>
        <w:topLinePunct w:val="0"/>
        <w:bidi w:val="0"/>
        <w:snapToGrid/>
        <w:spacing w:line="560" w:lineRule="exact"/>
        <w:ind w:firstLine="640" w:firstLineChars="200"/>
        <w:jc w:val="both"/>
        <w:textAlignment w:val="auto"/>
        <w:rPr>
          <w:rFonts w:ascii="Times New Roman" w:hAnsi="Times New Roman" w:eastAsia="黑体"/>
          <w:sz w:val="32"/>
          <w:szCs w:val="32"/>
        </w:rPr>
      </w:pPr>
    </w:p>
    <w:p w14:paraId="293777C1">
      <w:pPr>
        <w:keepNext w:val="0"/>
        <w:keepLines w:val="0"/>
        <w:pageBreakBefore w:val="0"/>
        <w:wordWrap/>
        <w:overflowPunct/>
        <w:topLinePunct w:val="0"/>
        <w:bidi w:val="0"/>
        <w:spacing w:line="560" w:lineRule="exact"/>
        <w:jc w:val="center"/>
        <w:textAlignment w:val="auto"/>
        <w:outlineLvl w:val="0"/>
        <w:rPr>
          <w:rFonts w:ascii="Times New Roman" w:hAnsi="Times New Roman" w:eastAsia="黑体"/>
          <w:sz w:val="32"/>
          <w:szCs w:val="32"/>
        </w:rPr>
      </w:pPr>
      <w:r>
        <w:rPr>
          <w:rFonts w:hint="eastAsia" w:ascii="Times New Roman" w:hAnsi="Times New Roman" w:eastAsia="黑体"/>
          <w:sz w:val="32"/>
          <w:szCs w:val="32"/>
        </w:rPr>
        <w:t>第二部分 部门决算情况说明</w:t>
      </w:r>
      <w:bookmarkEnd w:id="6"/>
      <w:bookmarkEnd w:id="7"/>
    </w:p>
    <w:p w14:paraId="224823F5">
      <w:pPr>
        <w:keepNext w:val="0"/>
        <w:keepLines w:val="0"/>
        <w:pageBreakBefore w:val="0"/>
        <w:wordWrap/>
        <w:overflowPunct/>
        <w:topLinePunct w:val="0"/>
        <w:bidi w:val="0"/>
        <w:spacing w:line="560" w:lineRule="exact"/>
        <w:ind w:firstLine="640" w:firstLineChars="200"/>
        <w:jc w:val="both"/>
        <w:textAlignment w:val="auto"/>
        <w:outlineLvl w:val="1"/>
        <w:rPr>
          <w:rFonts w:ascii="Times New Roman" w:hAnsi="Times New Roman" w:eastAsia="黑体" w:cs="宋体"/>
          <w:bCs/>
          <w:kern w:val="0"/>
          <w:sz w:val="32"/>
          <w:szCs w:val="32"/>
        </w:rPr>
      </w:pPr>
      <w:bookmarkStart w:id="8" w:name="_Toc25314"/>
      <w:bookmarkStart w:id="9" w:name="_Toc12566"/>
      <w:r>
        <w:rPr>
          <w:rFonts w:hint="eastAsia" w:ascii="Times New Roman" w:hAnsi="Times New Roman" w:eastAsia="黑体" w:cs="宋体"/>
          <w:bCs/>
          <w:kern w:val="0"/>
          <w:sz w:val="32"/>
          <w:szCs w:val="32"/>
        </w:rPr>
        <w:t>一、收入支出决算总体情况说明</w:t>
      </w:r>
      <w:bookmarkEnd w:id="8"/>
      <w:bookmarkEnd w:id="9"/>
    </w:p>
    <w:p w14:paraId="0A6C5DFC">
      <w:pPr>
        <w:keepNext w:val="0"/>
        <w:keepLines w:val="0"/>
        <w:pageBreakBefore w:val="0"/>
        <w:wordWrap/>
        <w:overflowPunct/>
        <w:topLinePunct w:val="0"/>
        <w:bidi w:val="0"/>
        <w:spacing w:line="560" w:lineRule="exact"/>
        <w:ind w:firstLine="640" w:firstLineChars="200"/>
        <w:jc w:val="both"/>
        <w:textAlignment w:val="auto"/>
        <w:rPr>
          <w:rFonts w:ascii="Times New Roman" w:hAnsi="Times New Roman" w:eastAsia="仿宋_GB2312"/>
          <w:sz w:val="32"/>
          <w:szCs w:val="32"/>
          <w:highlight w:val="none"/>
        </w:rPr>
      </w:pPr>
      <w:r>
        <w:rPr>
          <w:rFonts w:hint="eastAsia" w:ascii="Times New Roman" w:hAnsi="Times New Roman" w:eastAsia="仿宋_GB2312"/>
          <w:sz w:val="32"/>
          <w:szCs w:val="32"/>
          <w:highlight w:val="none"/>
        </w:rPr>
        <w:t>2023年度收入总计606.71万元，其中：本年收入合计571.65万元，使用非财政拨款结余30.28万元，年初结转和结余4.78万元。</w:t>
      </w:r>
    </w:p>
    <w:p w14:paraId="4095845A">
      <w:pPr>
        <w:keepNext w:val="0"/>
        <w:keepLines w:val="0"/>
        <w:pageBreakBefore w:val="0"/>
        <w:wordWrap/>
        <w:overflowPunct/>
        <w:topLinePunct w:val="0"/>
        <w:bidi w:val="0"/>
        <w:spacing w:line="560" w:lineRule="exact"/>
        <w:ind w:firstLine="640" w:firstLineChars="200"/>
        <w:jc w:val="both"/>
        <w:textAlignment w:val="auto"/>
        <w:rPr>
          <w:rFonts w:ascii="Times New Roman" w:hAnsi="Times New Roman" w:eastAsia="仿宋_GB2312"/>
          <w:sz w:val="32"/>
          <w:szCs w:val="32"/>
          <w:highlight w:val="none"/>
        </w:rPr>
      </w:pPr>
      <w:r>
        <w:rPr>
          <w:rFonts w:hint="eastAsia" w:ascii="Times New Roman" w:hAnsi="Times New Roman" w:eastAsia="仿宋_GB2312"/>
          <w:sz w:val="32"/>
          <w:szCs w:val="32"/>
          <w:highlight w:val="none"/>
        </w:rPr>
        <w:t>2023年度支出总计606.71万元，其中：本年支出合计593.44万元，结余分配0.00万元，年末结转和结余13.27万元。</w:t>
      </w:r>
    </w:p>
    <w:p w14:paraId="7CB1C6E2">
      <w:pPr>
        <w:keepNext w:val="0"/>
        <w:keepLines w:val="0"/>
        <w:pageBreakBefore w:val="0"/>
        <w:wordWrap/>
        <w:overflowPunct/>
        <w:topLinePunct w:val="0"/>
        <w:bidi w:val="0"/>
        <w:spacing w:line="560" w:lineRule="exact"/>
        <w:ind w:firstLine="640" w:firstLineChars="200"/>
        <w:jc w:val="both"/>
        <w:textAlignment w:val="auto"/>
        <w:rPr>
          <w:rFonts w:hint="eastAsia" w:ascii="Times New Roman" w:hAnsi="Times New Roman" w:eastAsia="仿宋_GB2312"/>
          <w:sz w:val="32"/>
          <w:szCs w:val="32"/>
          <w:lang w:eastAsia="zh-CN"/>
        </w:rPr>
      </w:pPr>
      <w:r>
        <w:rPr>
          <w:rFonts w:hint="eastAsia" w:ascii="Times New Roman" w:hAnsi="Times New Roman" w:eastAsia="仿宋_GB2312"/>
          <w:sz w:val="32"/>
          <w:szCs w:val="32"/>
        </w:rPr>
        <w:t>收入支出总体与上年相比，</w:t>
      </w:r>
      <w:r>
        <w:rPr>
          <w:rFonts w:hint="eastAsia" w:ascii="Times New Roman" w:hAnsi="Times New Roman" w:eastAsia="仿宋_GB2312"/>
          <w:sz w:val="32"/>
          <w:szCs w:val="32"/>
          <w:lang w:val="zh-CN"/>
        </w:rPr>
        <w:t>减少126.49万元</w:t>
      </w:r>
      <w:r>
        <w:rPr>
          <w:rFonts w:hint="eastAsia" w:ascii="Times New Roman" w:hAnsi="Times New Roman" w:eastAsia="仿宋_GB2312"/>
          <w:sz w:val="32"/>
          <w:szCs w:val="32"/>
        </w:rPr>
        <w:t>，下降17.25%，主要原因是：2023年项目比2022年</w:t>
      </w:r>
      <w:r>
        <w:rPr>
          <w:rFonts w:hint="eastAsia" w:eastAsia="仿宋_GB2312"/>
          <w:sz w:val="32"/>
          <w:szCs w:val="32"/>
          <w:lang w:eastAsia="zh-CN"/>
        </w:rPr>
        <w:t>有所</w:t>
      </w:r>
      <w:r>
        <w:rPr>
          <w:rFonts w:hint="eastAsia" w:ascii="Times New Roman" w:hAnsi="Times New Roman" w:eastAsia="仿宋_GB2312"/>
          <w:sz w:val="32"/>
          <w:szCs w:val="32"/>
        </w:rPr>
        <w:t>减少</w:t>
      </w:r>
      <w:r>
        <w:rPr>
          <w:rFonts w:hint="eastAsia" w:eastAsia="仿宋_GB2312"/>
          <w:sz w:val="32"/>
          <w:szCs w:val="32"/>
          <w:lang w:eastAsia="zh-CN"/>
        </w:rPr>
        <w:t>。</w:t>
      </w:r>
    </w:p>
    <w:p w14:paraId="5F282D3E">
      <w:pPr>
        <w:keepNext w:val="0"/>
        <w:keepLines w:val="0"/>
        <w:pageBreakBefore w:val="0"/>
        <w:wordWrap/>
        <w:overflowPunct/>
        <w:topLinePunct w:val="0"/>
        <w:bidi w:val="0"/>
        <w:spacing w:line="560" w:lineRule="exact"/>
        <w:ind w:firstLine="640" w:firstLineChars="200"/>
        <w:jc w:val="both"/>
        <w:textAlignment w:val="auto"/>
        <w:outlineLvl w:val="1"/>
        <w:rPr>
          <w:rFonts w:ascii="Times New Roman" w:hAnsi="Times New Roman" w:eastAsia="黑体" w:cs="宋体"/>
          <w:bCs/>
          <w:kern w:val="0"/>
          <w:sz w:val="32"/>
          <w:szCs w:val="32"/>
        </w:rPr>
      </w:pPr>
      <w:bookmarkStart w:id="10" w:name="_Toc12142"/>
      <w:bookmarkStart w:id="11" w:name="_Toc1979"/>
      <w:r>
        <w:rPr>
          <w:rFonts w:hint="eastAsia" w:ascii="Times New Roman" w:hAnsi="Times New Roman" w:eastAsia="黑体" w:cs="宋体"/>
          <w:bCs/>
          <w:kern w:val="0"/>
          <w:sz w:val="32"/>
          <w:szCs w:val="32"/>
        </w:rPr>
        <w:t>二、收入决算情况说明</w:t>
      </w:r>
      <w:bookmarkEnd w:id="10"/>
      <w:bookmarkEnd w:id="11"/>
    </w:p>
    <w:p w14:paraId="7F267061">
      <w:pPr>
        <w:keepNext w:val="0"/>
        <w:keepLines w:val="0"/>
        <w:pageBreakBefore w:val="0"/>
        <w:wordWrap/>
        <w:overflowPunct/>
        <w:topLinePunct w:val="0"/>
        <w:bidi w:val="0"/>
        <w:spacing w:line="560" w:lineRule="exact"/>
        <w:ind w:firstLine="640" w:firstLineChars="200"/>
        <w:jc w:val="both"/>
        <w:textAlignment w:val="auto"/>
        <w:rPr>
          <w:rFonts w:ascii="Times New Roman" w:hAnsi="Times New Roman" w:eastAsia="仿宋_GB2312"/>
          <w:sz w:val="32"/>
          <w:szCs w:val="32"/>
        </w:rPr>
      </w:pPr>
      <w:r>
        <w:rPr>
          <w:rFonts w:hint="eastAsia" w:ascii="Times New Roman" w:hAnsi="Times New Roman" w:eastAsia="仿宋_GB2312"/>
          <w:sz w:val="32"/>
          <w:szCs w:val="32"/>
        </w:rPr>
        <w:t>本年收入571.65万元，其中：财政拨款收入</w:t>
      </w:r>
      <w:r>
        <w:rPr>
          <w:rFonts w:hint="eastAsia" w:ascii="Times New Roman" w:hAnsi="Times New Roman" w:eastAsia="仿宋_GB2312"/>
          <w:sz w:val="32"/>
          <w:szCs w:val="32"/>
          <w:lang w:val="zh-CN"/>
        </w:rPr>
        <w:t>571.31</w:t>
      </w:r>
      <w:r>
        <w:rPr>
          <w:rFonts w:hint="eastAsia" w:ascii="Times New Roman" w:hAnsi="Times New Roman" w:eastAsia="仿宋_GB2312"/>
          <w:sz w:val="32"/>
          <w:szCs w:val="32"/>
        </w:rPr>
        <w:t>万元，占</w:t>
      </w:r>
      <w:r>
        <w:rPr>
          <w:rFonts w:hint="eastAsia" w:ascii="Times New Roman" w:hAnsi="Times New Roman" w:eastAsia="仿宋_GB2312"/>
          <w:sz w:val="32"/>
          <w:szCs w:val="32"/>
          <w:lang w:val="zh-CN"/>
        </w:rPr>
        <w:t>99.94</w:t>
      </w:r>
      <w:r>
        <w:rPr>
          <w:rFonts w:hint="eastAsia" w:ascii="Times New Roman" w:hAnsi="Times New Roman" w:eastAsia="仿宋_GB2312"/>
          <w:sz w:val="32"/>
          <w:szCs w:val="32"/>
        </w:rPr>
        <w:t>%；上级补助收入</w:t>
      </w:r>
      <w:r>
        <w:rPr>
          <w:rFonts w:hint="eastAsia" w:ascii="Times New Roman" w:hAnsi="Times New Roman" w:eastAsia="仿宋_GB2312"/>
          <w:sz w:val="32"/>
          <w:szCs w:val="32"/>
          <w:lang w:val="zh-CN"/>
        </w:rPr>
        <w:t>0.00</w:t>
      </w:r>
      <w:r>
        <w:rPr>
          <w:rFonts w:hint="eastAsia" w:ascii="Times New Roman" w:hAnsi="Times New Roman" w:eastAsia="仿宋_GB2312"/>
          <w:sz w:val="32"/>
          <w:szCs w:val="32"/>
        </w:rPr>
        <w:t>万元，占</w:t>
      </w:r>
      <w:r>
        <w:rPr>
          <w:rFonts w:hint="eastAsia" w:ascii="Times New Roman" w:hAnsi="Times New Roman" w:eastAsia="仿宋_GB2312"/>
          <w:sz w:val="32"/>
          <w:szCs w:val="32"/>
          <w:lang w:val="zh-CN"/>
        </w:rPr>
        <w:t>0.00</w:t>
      </w:r>
      <w:r>
        <w:rPr>
          <w:rFonts w:hint="eastAsia" w:ascii="Times New Roman" w:hAnsi="Times New Roman" w:eastAsia="仿宋_GB2312"/>
          <w:sz w:val="32"/>
          <w:szCs w:val="32"/>
        </w:rPr>
        <w:t>%；事业收入</w:t>
      </w:r>
      <w:r>
        <w:rPr>
          <w:rFonts w:hint="eastAsia" w:ascii="Times New Roman" w:hAnsi="Times New Roman" w:eastAsia="仿宋_GB2312"/>
          <w:sz w:val="32"/>
          <w:szCs w:val="32"/>
          <w:lang w:val="zh-CN"/>
        </w:rPr>
        <w:t>0.00</w:t>
      </w:r>
      <w:r>
        <w:rPr>
          <w:rFonts w:hint="eastAsia" w:ascii="Times New Roman" w:hAnsi="Times New Roman" w:eastAsia="仿宋_GB2312"/>
          <w:sz w:val="32"/>
          <w:szCs w:val="32"/>
        </w:rPr>
        <w:t>万元，占</w:t>
      </w:r>
      <w:r>
        <w:rPr>
          <w:rFonts w:hint="eastAsia" w:ascii="Times New Roman" w:hAnsi="Times New Roman" w:eastAsia="仿宋_GB2312"/>
          <w:sz w:val="32"/>
          <w:szCs w:val="32"/>
          <w:lang w:val="zh-CN"/>
        </w:rPr>
        <w:t>0.00</w:t>
      </w:r>
      <w:r>
        <w:rPr>
          <w:rFonts w:hint="eastAsia" w:ascii="Times New Roman" w:hAnsi="Times New Roman" w:eastAsia="仿宋_GB2312"/>
          <w:sz w:val="32"/>
          <w:szCs w:val="32"/>
        </w:rPr>
        <w:t>%；经营收入</w:t>
      </w:r>
      <w:r>
        <w:rPr>
          <w:rFonts w:hint="eastAsia" w:ascii="Times New Roman" w:hAnsi="Times New Roman" w:eastAsia="仿宋_GB2312"/>
          <w:sz w:val="32"/>
          <w:szCs w:val="32"/>
          <w:lang w:val="zh-CN"/>
        </w:rPr>
        <w:t>0.00</w:t>
      </w:r>
      <w:r>
        <w:rPr>
          <w:rFonts w:hint="eastAsia" w:ascii="Times New Roman" w:hAnsi="Times New Roman" w:eastAsia="仿宋_GB2312"/>
          <w:sz w:val="32"/>
          <w:szCs w:val="32"/>
        </w:rPr>
        <w:t>万元，占</w:t>
      </w:r>
      <w:r>
        <w:rPr>
          <w:rFonts w:hint="eastAsia" w:ascii="Times New Roman" w:hAnsi="Times New Roman" w:eastAsia="仿宋_GB2312"/>
          <w:sz w:val="32"/>
          <w:szCs w:val="32"/>
          <w:lang w:val="zh-CN"/>
        </w:rPr>
        <w:t>0.00</w:t>
      </w:r>
      <w:r>
        <w:rPr>
          <w:rFonts w:hint="eastAsia" w:ascii="Times New Roman" w:hAnsi="Times New Roman" w:eastAsia="仿宋_GB2312"/>
          <w:sz w:val="32"/>
          <w:szCs w:val="32"/>
        </w:rPr>
        <w:t>%；附属单位上缴收入</w:t>
      </w:r>
      <w:r>
        <w:rPr>
          <w:rFonts w:hint="eastAsia" w:ascii="Times New Roman" w:hAnsi="Times New Roman" w:eastAsia="仿宋_GB2312"/>
          <w:sz w:val="32"/>
          <w:szCs w:val="32"/>
          <w:lang w:val="zh-CN"/>
        </w:rPr>
        <w:t>0.00</w:t>
      </w:r>
      <w:r>
        <w:rPr>
          <w:rFonts w:hint="eastAsia" w:ascii="Times New Roman" w:hAnsi="Times New Roman" w:eastAsia="仿宋_GB2312"/>
          <w:sz w:val="32"/>
          <w:szCs w:val="32"/>
        </w:rPr>
        <w:t>万元，占</w:t>
      </w:r>
      <w:r>
        <w:rPr>
          <w:rFonts w:hint="eastAsia" w:ascii="Times New Roman" w:hAnsi="Times New Roman" w:eastAsia="仿宋_GB2312"/>
          <w:sz w:val="32"/>
          <w:szCs w:val="32"/>
          <w:lang w:val="zh-CN"/>
        </w:rPr>
        <w:t>0.00</w:t>
      </w:r>
      <w:r>
        <w:rPr>
          <w:rFonts w:hint="eastAsia" w:ascii="Times New Roman" w:hAnsi="Times New Roman" w:eastAsia="仿宋_GB2312"/>
          <w:sz w:val="32"/>
          <w:szCs w:val="32"/>
        </w:rPr>
        <w:t>%；其他收入</w:t>
      </w:r>
      <w:r>
        <w:rPr>
          <w:rFonts w:hint="eastAsia" w:ascii="Times New Roman" w:hAnsi="Times New Roman" w:eastAsia="仿宋_GB2312"/>
          <w:sz w:val="32"/>
          <w:szCs w:val="32"/>
          <w:lang w:val="zh-CN"/>
        </w:rPr>
        <w:t>0.34</w:t>
      </w:r>
      <w:r>
        <w:rPr>
          <w:rFonts w:hint="eastAsia" w:ascii="Times New Roman" w:hAnsi="Times New Roman" w:eastAsia="仿宋_GB2312"/>
          <w:sz w:val="32"/>
          <w:szCs w:val="32"/>
        </w:rPr>
        <w:t>万元，占</w:t>
      </w:r>
      <w:r>
        <w:rPr>
          <w:rFonts w:hint="eastAsia" w:ascii="Times New Roman" w:hAnsi="Times New Roman" w:eastAsia="仿宋_GB2312"/>
          <w:sz w:val="32"/>
          <w:szCs w:val="32"/>
          <w:lang w:val="zh-CN"/>
        </w:rPr>
        <w:t>0.06</w:t>
      </w:r>
      <w:r>
        <w:rPr>
          <w:rFonts w:hint="eastAsia" w:ascii="Times New Roman" w:hAnsi="Times New Roman" w:eastAsia="仿宋_GB2312"/>
          <w:sz w:val="32"/>
          <w:szCs w:val="32"/>
        </w:rPr>
        <w:t>%。</w:t>
      </w:r>
    </w:p>
    <w:p w14:paraId="2114A1A3">
      <w:pPr>
        <w:keepNext w:val="0"/>
        <w:keepLines w:val="0"/>
        <w:pageBreakBefore w:val="0"/>
        <w:wordWrap/>
        <w:overflowPunct/>
        <w:topLinePunct w:val="0"/>
        <w:bidi w:val="0"/>
        <w:spacing w:line="560" w:lineRule="exact"/>
        <w:ind w:firstLine="640" w:firstLineChars="200"/>
        <w:jc w:val="both"/>
        <w:textAlignment w:val="auto"/>
        <w:outlineLvl w:val="1"/>
        <w:rPr>
          <w:rFonts w:ascii="Times New Roman" w:hAnsi="Times New Roman" w:eastAsia="黑体" w:cs="宋体"/>
          <w:bCs/>
          <w:kern w:val="0"/>
          <w:sz w:val="32"/>
          <w:szCs w:val="32"/>
        </w:rPr>
      </w:pPr>
      <w:bookmarkStart w:id="12" w:name="_Toc13201"/>
      <w:bookmarkStart w:id="13" w:name="_Toc27961"/>
      <w:r>
        <w:rPr>
          <w:rFonts w:hint="eastAsia" w:ascii="Times New Roman" w:hAnsi="Times New Roman" w:eastAsia="黑体" w:cs="宋体"/>
          <w:bCs/>
          <w:kern w:val="0"/>
          <w:sz w:val="32"/>
          <w:szCs w:val="32"/>
        </w:rPr>
        <w:t>三、支出决算情况说明</w:t>
      </w:r>
      <w:bookmarkEnd w:id="12"/>
      <w:bookmarkEnd w:id="13"/>
    </w:p>
    <w:p w14:paraId="6CF05C13">
      <w:pPr>
        <w:keepNext w:val="0"/>
        <w:keepLines w:val="0"/>
        <w:pageBreakBefore w:val="0"/>
        <w:wordWrap/>
        <w:overflowPunct/>
        <w:topLinePunct w:val="0"/>
        <w:bidi w:val="0"/>
        <w:spacing w:line="560" w:lineRule="exact"/>
        <w:ind w:firstLine="640" w:firstLineChars="200"/>
        <w:jc w:val="both"/>
        <w:textAlignment w:val="auto"/>
        <w:rPr>
          <w:rFonts w:ascii="Times New Roman" w:hAnsi="Times New Roman" w:eastAsia="仿宋_GB2312" w:cs="仿宋_GB2312"/>
          <w:sz w:val="30"/>
          <w:szCs w:val="30"/>
          <w:lang w:val="zh-CN"/>
        </w:rPr>
      </w:pPr>
      <w:r>
        <w:rPr>
          <w:rFonts w:hint="eastAsia" w:ascii="Times New Roman" w:hAnsi="Times New Roman" w:eastAsia="仿宋_GB2312" w:cs="仿宋_GB2312"/>
          <w:sz w:val="32"/>
          <w:szCs w:val="32"/>
          <w:lang w:val="zh-CN"/>
        </w:rPr>
        <w:t>本年支出593.44万元，其中：基本支出216.16万元，占36.43%；项目支出377.28万元，占63.57%；上缴上级支出0.00万元，占0.00%；经营支出0.00万元，占0.00%；对附属单位补助支出0.00万元，占0.00%。</w:t>
      </w:r>
    </w:p>
    <w:p w14:paraId="34122BFF">
      <w:pPr>
        <w:keepNext w:val="0"/>
        <w:keepLines w:val="0"/>
        <w:pageBreakBefore w:val="0"/>
        <w:wordWrap/>
        <w:overflowPunct/>
        <w:topLinePunct w:val="0"/>
        <w:bidi w:val="0"/>
        <w:spacing w:line="560" w:lineRule="exact"/>
        <w:ind w:firstLine="640" w:firstLineChars="200"/>
        <w:jc w:val="both"/>
        <w:textAlignment w:val="auto"/>
        <w:outlineLvl w:val="1"/>
        <w:rPr>
          <w:rFonts w:ascii="Times New Roman" w:hAnsi="Times New Roman" w:eastAsia="黑体" w:cs="宋体"/>
          <w:bCs/>
          <w:kern w:val="0"/>
          <w:sz w:val="32"/>
          <w:szCs w:val="32"/>
        </w:rPr>
      </w:pPr>
      <w:bookmarkStart w:id="14" w:name="_Toc4393"/>
      <w:bookmarkStart w:id="15" w:name="_Toc26564"/>
      <w:r>
        <w:rPr>
          <w:rFonts w:hint="eastAsia" w:ascii="Times New Roman" w:hAnsi="Times New Roman" w:eastAsia="黑体" w:cs="宋体"/>
          <w:bCs/>
          <w:kern w:val="0"/>
          <w:sz w:val="32"/>
          <w:szCs w:val="32"/>
        </w:rPr>
        <w:t>四、财政拨款收入支出决算总体情况说明</w:t>
      </w:r>
      <w:bookmarkEnd w:id="14"/>
      <w:bookmarkEnd w:id="15"/>
    </w:p>
    <w:p w14:paraId="653D7535">
      <w:pPr>
        <w:keepNext w:val="0"/>
        <w:keepLines w:val="0"/>
        <w:pageBreakBefore w:val="0"/>
        <w:wordWrap/>
        <w:overflowPunct/>
        <w:topLinePunct w:val="0"/>
        <w:bidi w:val="0"/>
        <w:spacing w:line="560" w:lineRule="exact"/>
        <w:ind w:firstLine="640" w:firstLineChars="200"/>
        <w:jc w:val="both"/>
        <w:textAlignment w:val="auto"/>
        <w:rPr>
          <w:rFonts w:ascii="Times New Roman" w:hAnsi="Times New Roman" w:eastAsia="仿宋_GB2312"/>
          <w:sz w:val="32"/>
          <w:szCs w:val="32"/>
        </w:rPr>
      </w:pPr>
      <w:r>
        <w:rPr>
          <w:rFonts w:hint="eastAsia" w:ascii="Times New Roman" w:hAnsi="Times New Roman" w:eastAsia="仿宋_GB2312"/>
          <w:sz w:val="32"/>
          <w:szCs w:val="32"/>
        </w:rPr>
        <w:t>2023年度财政拨款收入总计</w:t>
      </w:r>
      <w:r>
        <w:rPr>
          <w:rFonts w:hint="eastAsia" w:ascii="Times New Roman" w:hAnsi="Times New Roman" w:eastAsia="仿宋_GB2312"/>
          <w:sz w:val="32"/>
          <w:szCs w:val="32"/>
          <w:lang w:val="zh-CN"/>
        </w:rPr>
        <w:t>575.02</w:t>
      </w:r>
      <w:r>
        <w:rPr>
          <w:rFonts w:hint="eastAsia" w:ascii="Times New Roman" w:hAnsi="Times New Roman" w:eastAsia="仿宋_GB2312"/>
          <w:sz w:val="32"/>
          <w:szCs w:val="32"/>
        </w:rPr>
        <w:t>万元，其中：年初财政拨款结转和结余</w:t>
      </w:r>
      <w:r>
        <w:rPr>
          <w:rFonts w:hint="eastAsia" w:ascii="Times New Roman" w:hAnsi="Times New Roman" w:eastAsia="仿宋_GB2312"/>
          <w:sz w:val="32"/>
          <w:szCs w:val="32"/>
          <w:lang w:val="zh-CN"/>
        </w:rPr>
        <w:t>3.70</w:t>
      </w:r>
      <w:r>
        <w:rPr>
          <w:rFonts w:hint="eastAsia" w:ascii="Times New Roman" w:hAnsi="Times New Roman" w:eastAsia="仿宋_GB2312"/>
          <w:sz w:val="32"/>
          <w:szCs w:val="32"/>
        </w:rPr>
        <w:t>万元，本年财政拨款收入</w:t>
      </w:r>
      <w:r>
        <w:rPr>
          <w:rFonts w:hint="eastAsia" w:ascii="Times New Roman" w:hAnsi="Times New Roman" w:eastAsia="仿宋_GB2312"/>
          <w:sz w:val="32"/>
          <w:szCs w:val="32"/>
          <w:lang w:val="zh-CN"/>
        </w:rPr>
        <w:t>571.31</w:t>
      </w:r>
      <w:r>
        <w:rPr>
          <w:rFonts w:hint="eastAsia" w:ascii="Times New Roman" w:hAnsi="Times New Roman" w:eastAsia="仿宋_GB2312"/>
          <w:sz w:val="32"/>
          <w:szCs w:val="32"/>
        </w:rPr>
        <w:t>万元。财政拨款支出总计</w:t>
      </w:r>
      <w:r>
        <w:rPr>
          <w:rFonts w:hint="eastAsia" w:ascii="Times New Roman" w:hAnsi="Times New Roman" w:eastAsia="仿宋_GB2312"/>
          <w:sz w:val="32"/>
          <w:szCs w:val="32"/>
          <w:lang w:val="zh-CN"/>
        </w:rPr>
        <w:t>575.02</w:t>
      </w:r>
      <w:r>
        <w:rPr>
          <w:rFonts w:hint="eastAsia" w:ascii="Times New Roman" w:hAnsi="Times New Roman" w:eastAsia="仿宋_GB2312"/>
          <w:sz w:val="32"/>
          <w:szCs w:val="32"/>
        </w:rPr>
        <w:t>万元，其中：年末财政拨款结转和结余</w:t>
      </w:r>
      <w:r>
        <w:rPr>
          <w:rFonts w:hint="eastAsia" w:ascii="Times New Roman" w:hAnsi="Times New Roman" w:eastAsia="仿宋_GB2312"/>
          <w:sz w:val="32"/>
          <w:szCs w:val="32"/>
          <w:lang w:val="zh-CN"/>
        </w:rPr>
        <w:t>11.85</w:t>
      </w:r>
      <w:r>
        <w:rPr>
          <w:rFonts w:hint="eastAsia" w:ascii="Times New Roman" w:hAnsi="Times New Roman" w:eastAsia="仿宋_GB2312"/>
          <w:sz w:val="32"/>
          <w:szCs w:val="32"/>
        </w:rPr>
        <w:t>万元，本年财政拨款支出</w:t>
      </w:r>
      <w:r>
        <w:rPr>
          <w:rFonts w:hint="eastAsia" w:ascii="Times New Roman" w:hAnsi="Times New Roman" w:eastAsia="仿宋_GB2312"/>
          <w:sz w:val="32"/>
          <w:szCs w:val="32"/>
          <w:lang w:val="zh-CN"/>
        </w:rPr>
        <w:t>563.16</w:t>
      </w:r>
      <w:r>
        <w:rPr>
          <w:rFonts w:hint="eastAsia" w:ascii="Times New Roman" w:hAnsi="Times New Roman" w:eastAsia="仿宋_GB2312"/>
          <w:sz w:val="32"/>
          <w:szCs w:val="32"/>
        </w:rPr>
        <w:t>万元。</w:t>
      </w:r>
    </w:p>
    <w:p w14:paraId="294A9D24">
      <w:pPr>
        <w:keepNext w:val="0"/>
        <w:keepLines w:val="0"/>
        <w:pageBreakBefore w:val="0"/>
        <w:wordWrap/>
        <w:overflowPunct/>
        <w:topLinePunct w:val="0"/>
        <w:bidi w:val="0"/>
        <w:spacing w:line="560" w:lineRule="exact"/>
        <w:ind w:firstLine="640" w:firstLineChars="200"/>
        <w:jc w:val="both"/>
        <w:textAlignment w:val="auto"/>
        <w:rPr>
          <w:rFonts w:ascii="Times New Roman" w:hAnsi="Times New Roman" w:eastAsia="仿宋_GB2312"/>
          <w:sz w:val="32"/>
          <w:szCs w:val="32"/>
        </w:rPr>
      </w:pPr>
      <w:r>
        <w:rPr>
          <w:rFonts w:hint="eastAsia" w:ascii="Times New Roman" w:hAnsi="Times New Roman" w:eastAsia="仿宋_GB2312"/>
          <w:sz w:val="32"/>
          <w:szCs w:val="32"/>
        </w:rPr>
        <w:t>财政拨款收入支出总体与上年相比,</w:t>
      </w:r>
      <w:r>
        <w:rPr>
          <w:rFonts w:hint="eastAsia" w:ascii="Times New Roman" w:hAnsi="Times New Roman" w:eastAsia="仿宋_GB2312"/>
          <w:sz w:val="32"/>
          <w:szCs w:val="32"/>
          <w:lang w:val="zh-CN"/>
        </w:rPr>
        <w:t>减少135.18万元</w:t>
      </w:r>
      <w:r>
        <w:rPr>
          <w:rFonts w:hint="eastAsia" w:ascii="Times New Roman" w:hAnsi="Times New Roman" w:eastAsia="仿宋_GB2312"/>
          <w:sz w:val="32"/>
          <w:szCs w:val="32"/>
        </w:rPr>
        <w:t>，</w:t>
      </w:r>
      <w:r>
        <w:rPr>
          <w:rFonts w:hint="eastAsia" w:ascii="Times New Roman" w:hAnsi="Times New Roman" w:eastAsia="仿宋_GB2312"/>
          <w:sz w:val="32"/>
          <w:szCs w:val="32"/>
          <w:lang w:val="zh-CN"/>
        </w:rPr>
        <w:t>下降19.03%，</w:t>
      </w:r>
      <w:r>
        <w:rPr>
          <w:rFonts w:hint="eastAsia" w:ascii="Times New Roman" w:hAnsi="Times New Roman" w:eastAsia="仿宋_GB2312"/>
          <w:sz w:val="32"/>
          <w:szCs w:val="32"/>
        </w:rPr>
        <w:t>主要原因是：2023年项目比2022年</w:t>
      </w:r>
      <w:r>
        <w:rPr>
          <w:rFonts w:hint="eastAsia" w:eastAsia="仿宋_GB2312"/>
          <w:sz w:val="32"/>
          <w:szCs w:val="32"/>
          <w:lang w:eastAsia="zh-CN"/>
        </w:rPr>
        <w:t>有所</w:t>
      </w:r>
      <w:r>
        <w:rPr>
          <w:rFonts w:hint="eastAsia" w:ascii="Times New Roman" w:hAnsi="Times New Roman" w:eastAsia="仿宋_GB2312"/>
          <w:sz w:val="32"/>
          <w:szCs w:val="32"/>
        </w:rPr>
        <w:t>减少。与年初预算相比，年初预算数</w:t>
      </w:r>
      <w:r>
        <w:rPr>
          <w:rFonts w:hint="eastAsia" w:ascii="Times New Roman" w:hAnsi="Times New Roman" w:eastAsia="仿宋_GB2312"/>
          <w:sz w:val="32"/>
          <w:szCs w:val="32"/>
          <w:lang w:val="zh-CN"/>
        </w:rPr>
        <w:t>499.07</w:t>
      </w:r>
      <w:r>
        <w:rPr>
          <w:rFonts w:hint="eastAsia" w:ascii="Times New Roman" w:hAnsi="Times New Roman" w:eastAsia="仿宋_GB2312"/>
          <w:sz w:val="32"/>
          <w:szCs w:val="32"/>
        </w:rPr>
        <w:t>万元，决算数</w:t>
      </w:r>
      <w:r>
        <w:rPr>
          <w:rFonts w:hint="eastAsia" w:ascii="Times New Roman" w:hAnsi="Times New Roman" w:eastAsia="仿宋_GB2312"/>
          <w:sz w:val="32"/>
          <w:szCs w:val="32"/>
          <w:lang w:val="zh-CN"/>
        </w:rPr>
        <w:t>575.02</w:t>
      </w:r>
      <w:r>
        <w:rPr>
          <w:rFonts w:hint="eastAsia" w:ascii="Times New Roman" w:hAnsi="Times New Roman" w:eastAsia="仿宋_GB2312"/>
          <w:sz w:val="32"/>
          <w:szCs w:val="32"/>
        </w:rPr>
        <w:t>万元，预决算差异率15.22%，主要原因是：2023年追加的</w:t>
      </w:r>
      <w:r>
        <w:rPr>
          <w:rFonts w:ascii="Times New Roman" w:hAnsi="Times New Roman" w:eastAsia="仿宋_GB2312"/>
          <w:sz w:val="32"/>
          <w:szCs w:val="32"/>
        </w:rPr>
        <w:t>2130311</w:t>
      </w:r>
      <w:r>
        <w:rPr>
          <w:rFonts w:hint="eastAsia" w:ascii="Times New Roman" w:hAnsi="Times New Roman" w:eastAsia="仿宋_GB2312"/>
          <w:sz w:val="32"/>
          <w:szCs w:val="32"/>
        </w:rPr>
        <w:t>款水资源节约管理与保护项目55万元及2023年人员工资有所提高，相应的社保、医保及公积金均有所增长。</w:t>
      </w:r>
    </w:p>
    <w:p w14:paraId="667166C9">
      <w:pPr>
        <w:keepNext w:val="0"/>
        <w:keepLines w:val="0"/>
        <w:pageBreakBefore w:val="0"/>
        <w:wordWrap/>
        <w:overflowPunct/>
        <w:topLinePunct w:val="0"/>
        <w:bidi w:val="0"/>
        <w:spacing w:line="560" w:lineRule="exact"/>
        <w:ind w:firstLine="640" w:firstLineChars="200"/>
        <w:jc w:val="both"/>
        <w:textAlignment w:val="auto"/>
        <w:outlineLvl w:val="1"/>
        <w:rPr>
          <w:rFonts w:ascii="Times New Roman" w:hAnsi="Times New Roman" w:eastAsia="黑体" w:cs="宋体"/>
          <w:bCs/>
          <w:kern w:val="0"/>
          <w:sz w:val="32"/>
          <w:szCs w:val="32"/>
        </w:rPr>
      </w:pPr>
      <w:bookmarkStart w:id="16" w:name="_Toc13833"/>
      <w:bookmarkStart w:id="17" w:name="_Toc20360"/>
      <w:r>
        <w:rPr>
          <w:rFonts w:hint="eastAsia" w:ascii="Times New Roman" w:hAnsi="Times New Roman" w:eastAsia="黑体" w:cs="宋体"/>
          <w:bCs/>
          <w:kern w:val="0"/>
          <w:sz w:val="32"/>
          <w:szCs w:val="32"/>
        </w:rPr>
        <w:t>五、一般公共预算财政拨款支出决算情况说明</w:t>
      </w:r>
      <w:bookmarkEnd w:id="16"/>
      <w:bookmarkEnd w:id="17"/>
    </w:p>
    <w:p w14:paraId="610866AA">
      <w:pPr>
        <w:keepNext w:val="0"/>
        <w:keepLines w:val="0"/>
        <w:pageBreakBefore w:val="0"/>
        <w:wordWrap/>
        <w:overflowPunct/>
        <w:topLinePunct w:val="0"/>
        <w:bidi w:val="0"/>
        <w:spacing w:line="560" w:lineRule="exact"/>
        <w:ind w:firstLine="640" w:firstLineChars="200"/>
        <w:jc w:val="both"/>
        <w:textAlignment w:val="auto"/>
        <w:outlineLvl w:val="2"/>
        <w:rPr>
          <w:rFonts w:ascii="Times New Roman" w:hAnsi="Times New Roman" w:eastAsia="黑体"/>
          <w:sz w:val="32"/>
          <w:szCs w:val="32"/>
        </w:rPr>
      </w:pPr>
      <w:r>
        <w:rPr>
          <w:rFonts w:hint="eastAsia" w:ascii="Times New Roman" w:hAnsi="Times New Roman" w:eastAsia="黑体"/>
          <w:sz w:val="32"/>
          <w:szCs w:val="32"/>
        </w:rPr>
        <w:t>（一）一般公共预算财政拨款支出决算总体情况</w:t>
      </w:r>
    </w:p>
    <w:p w14:paraId="1068D8B4">
      <w:pPr>
        <w:keepNext w:val="0"/>
        <w:keepLines w:val="0"/>
        <w:pageBreakBefore w:val="0"/>
        <w:wordWrap/>
        <w:overflowPunct/>
        <w:topLinePunct w:val="0"/>
        <w:bidi w:val="0"/>
        <w:spacing w:line="560" w:lineRule="exact"/>
        <w:ind w:firstLine="640" w:firstLineChars="200"/>
        <w:jc w:val="both"/>
        <w:textAlignment w:val="auto"/>
        <w:rPr>
          <w:rFonts w:ascii="Times New Roman" w:hAnsi="Times New Roman" w:eastAsia="仿宋_GB2312"/>
          <w:sz w:val="32"/>
          <w:szCs w:val="32"/>
        </w:rPr>
      </w:pPr>
      <w:r>
        <w:rPr>
          <w:rFonts w:hint="eastAsia" w:ascii="Times New Roman" w:hAnsi="Times New Roman" w:eastAsia="仿宋_GB2312"/>
          <w:sz w:val="32"/>
          <w:szCs w:val="32"/>
        </w:rPr>
        <w:t>2023年度一般公共预算财政拨款支出563.16万元，占本年支出合计的</w:t>
      </w:r>
      <w:r>
        <w:rPr>
          <w:rFonts w:hint="eastAsia" w:ascii="Times New Roman" w:hAnsi="Times New Roman" w:eastAsia="仿宋_GB2312"/>
          <w:sz w:val="32"/>
          <w:szCs w:val="32"/>
          <w:lang w:val="zh-CN"/>
        </w:rPr>
        <w:t>94.90%</w:t>
      </w:r>
      <w:r>
        <w:rPr>
          <w:rFonts w:hint="eastAsia" w:ascii="Times New Roman" w:hAnsi="Times New Roman" w:eastAsia="仿宋_GB2312"/>
          <w:sz w:val="32"/>
          <w:szCs w:val="32"/>
        </w:rPr>
        <w:t>。与上年相比，</w:t>
      </w:r>
      <w:r>
        <w:rPr>
          <w:rFonts w:hint="eastAsia" w:ascii="Times New Roman" w:hAnsi="Times New Roman" w:eastAsia="仿宋_GB2312"/>
          <w:sz w:val="32"/>
          <w:szCs w:val="32"/>
          <w:lang w:val="zh-CN"/>
        </w:rPr>
        <w:t>减少143.33万元</w:t>
      </w:r>
      <w:r>
        <w:rPr>
          <w:rFonts w:hint="eastAsia" w:ascii="Times New Roman" w:hAnsi="Times New Roman" w:eastAsia="仿宋_GB2312"/>
          <w:sz w:val="32"/>
          <w:szCs w:val="32"/>
        </w:rPr>
        <w:t>，</w:t>
      </w:r>
      <w:r>
        <w:rPr>
          <w:rFonts w:hint="eastAsia" w:ascii="Times New Roman" w:hAnsi="Times New Roman" w:eastAsia="仿宋_GB2312"/>
          <w:sz w:val="32"/>
          <w:szCs w:val="32"/>
          <w:lang w:val="zh-CN"/>
        </w:rPr>
        <w:t>下降20.29%，</w:t>
      </w:r>
      <w:r>
        <w:rPr>
          <w:rFonts w:hint="eastAsia" w:ascii="Times New Roman" w:hAnsi="Times New Roman" w:eastAsia="仿宋_GB2312"/>
          <w:sz w:val="32"/>
          <w:szCs w:val="32"/>
        </w:rPr>
        <w:t>主要原因是：本年项目支出比上年有所减少。与年初预算相比，年初预算数</w:t>
      </w:r>
      <w:r>
        <w:rPr>
          <w:rFonts w:hint="eastAsia" w:ascii="Times New Roman" w:hAnsi="Times New Roman" w:eastAsia="仿宋_GB2312"/>
          <w:sz w:val="32"/>
          <w:szCs w:val="32"/>
          <w:lang w:val="zh-CN"/>
        </w:rPr>
        <w:t>499.07</w:t>
      </w:r>
      <w:r>
        <w:rPr>
          <w:rFonts w:hint="eastAsia" w:ascii="Times New Roman" w:hAnsi="Times New Roman" w:eastAsia="仿宋_GB2312"/>
          <w:sz w:val="32"/>
          <w:szCs w:val="32"/>
        </w:rPr>
        <w:t>万元，决算数</w:t>
      </w:r>
      <w:r>
        <w:rPr>
          <w:rFonts w:hint="eastAsia" w:ascii="Times New Roman" w:hAnsi="Times New Roman" w:eastAsia="仿宋_GB2312"/>
          <w:sz w:val="32"/>
          <w:szCs w:val="32"/>
          <w:lang w:val="zh-CN"/>
        </w:rPr>
        <w:t>563.16</w:t>
      </w:r>
      <w:r>
        <w:rPr>
          <w:rFonts w:hint="eastAsia" w:ascii="Times New Roman" w:hAnsi="Times New Roman" w:eastAsia="仿宋_GB2312"/>
          <w:sz w:val="32"/>
          <w:szCs w:val="32"/>
        </w:rPr>
        <w:t>万元，预决算差异率</w:t>
      </w:r>
      <w:r>
        <w:rPr>
          <w:rFonts w:hint="eastAsia" w:ascii="Times New Roman" w:hAnsi="Times New Roman" w:eastAsia="仿宋_GB2312"/>
          <w:sz w:val="32"/>
          <w:szCs w:val="32"/>
          <w:lang w:val="zh-CN"/>
        </w:rPr>
        <w:t>12.84%</w:t>
      </w:r>
      <w:r>
        <w:rPr>
          <w:rFonts w:hint="eastAsia" w:ascii="Times New Roman" w:hAnsi="Times New Roman" w:eastAsia="仿宋_GB2312"/>
          <w:sz w:val="32"/>
          <w:szCs w:val="32"/>
        </w:rPr>
        <w:t>，主要原因是：2023年追加的</w:t>
      </w:r>
      <w:r>
        <w:rPr>
          <w:rFonts w:ascii="Times New Roman" w:hAnsi="Times New Roman" w:eastAsia="仿宋_GB2312"/>
          <w:sz w:val="32"/>
          <w:szCs w:val="32"/>
        </w:rPr>
        <w:t>2130311</w:t>
      </w:r>
      <w:r>
        <w:rPr>
          <w:rFonts w:hint="eastAsia" w:ascii="Times New Roman" w:hAnsi="Times New Roman" w:eastAsia="仿宋_GB2312"/>
          <w:sz w:val="32"/>
          <w:szCs w:val="32"/>
        </w:rPr>
        <w:t>款水资源节约管理与保护项目55万元及2023年人员工资有所提高，相应的社保、医保及公积金均有所增长。</w:t>
      </w:r>
    </w:p>
    <w:p w14:paraId="2E766F06">
      <w:pPr>
        <w:keepNext w:val="0"/>
        <w:keepLines w:val="0"/>
        <w:pageBreakBefore w:val="0"/>
        <w:numPr>
          <w:ilvl w:val="0"/>
          <w:numId w:val="1"/>
        </w:numPr>
        <w:wordWrap/>
        <w:overflowPunct/>
        <w:topLinePunct w:val="0"/>
        <w:bidi w:val="0"/>
        <w:spacing w:line="560" w:lineRule="exact"/>
        <w:ind w:firstLine="640" w:firstLineChars="200"/>
        <w:jc w:val="both"/>
        <w:textAlignment w:val="auto"/>
        <w:outlineLvl w:val="2"/>
        <w:rPr>
          <w:rFonts w:ascii="Times New Roman" w:hAnsi="Times New Roman" w:eastAsia="黑体"/>
          <w:sz w:val="32"/>
          <w:szCs w:val="32"/>
        </w:rPr>
      </w:pPr>
      <w:r>
        <w:rPr>
          <w:rFonts w:hint="eastAsia" w:ascii="Times New Roman" w:hAnsi="Times New Roman" w:eastAsia="黑体"/>
          <w:sz w:val="32"/>
          <w:szCs w:val="32"/>
        </w:rPr>
        <w:t>一般公共预算财政拨款支出决算结构情况</w:t>
      </w:r>
    </w:p>
    <w:p w14:paraId="7A1BCE52">
      <w:pPr>
        <w:pStyle w:val="9"/>
        <w:keepNext w:val="0"/>
        <w:keepLines w:val="0"/>
        <w:pageBreakBefore w:val="0"/>
        <w:widowControl/>
        <w:wordWrap/>
        <w:overflowPunct/>
        <w:topLinePunct w:val="0"/>
        <w:bidi w:val="0"/>
        <w:spacing w:before="0" w:beforeAutospacing="0" w:after="0" w:afterAutospacing="0" w:line="560" w:lineRule="exact"/>
        <w:ind w:firstLine="640" w:firstLineChars="200"/>
        <w:jc w:val="both"/>
        <w:textAlignment w:val="auto"/>
        <w:rPr>
          <w:rFonts w:ascii="Times New Roman" w:hAnsi="Times New Roman" w:eastAsia="仿宋_GB2312"/>
          <w:kern w:val="2"/>
          <w:sz w:val="32"/>
          <w:szCs w:val="32"/>
          <w:lang w:val="zh-CN"/>
        </w:rPr>
      </w:pPr>
      <w:r>
        <w:rPr>
          <w:rFonts w:ascii="Times New Roman" w:hAnsi="Times New Roman" w:eastAsia="仿宋_GB2312"/>
          <w:kern w:val="2"/>
          <w:sz w:val="32"/>
          <w:szCs w:val="32"/>
          <w:lang w:val="zh-CN"/>
        </w:rPr>
        <w:t>1.社会保障和就业支出（类）</w:t>
      </w:r>
      <w:r>
        <w:rPr>
          <w:rFonts w:hint="eastAsia" w:ascii="Times New Roman" w:hAnsi="Times New Roman" w:eastAsia="仿宋_GB2312"/>
          <w:kern w:val="2"/>
          <w:sz w:val="32"/>
          <w:szCs w:val="32"/>
          <w:lang w:val="zh-CN"/>
        </w:rPr>
        <w:t>42.93</w:t>
      </w:r>
      <w:r>
        <w:rPr>
          <w:rFonts w:ascii="Times New Roman" w:hAnsi="Times New Roman" w:eastAsia="仿宋_GB2312"/>
          <w:kern w:val="2"/>
          <w:sz w:val="32"/>
          <w:szCs w:val="32"/>
          <w:lang w:val="zh-CN"/>
        </w:rPr>
        <w:t>万元，占</w:t>
      </w:r>
      <w:r>
        <w:rPr>
          <w:rFonts w:hint="eastAsia" w:ascii="Times New Roman" w:hAnsi="Times New Roman" w:eastAsia="仿宋_GB2312"/>
          <w:kern w:val="2"/>
          <w:sz w:val="32"/>
          <w:szCs w:val="32"/>
          <w:lang w:val="zh-CN"/>
        </w:rPr>
        <w:t>7.62</w:t>
      </w:r>
      <w:r>
        <w:rPr>
          <w:rFonts w:ascii="Times New Roman" w:hAnsi="Times New Roman" w:eastAsia="仿宋_GB2312"/>
          <w:kern w:val="2"/>
          <w:sz w:val="32"/>
          <w:szCs w:val="32"/>
          <w:lang w:val="zh-CN"/>
        </w:rPr>
        <w:t>%；</w:t>
      </w:r>
    </w:p>
    <w:p w14:paraId="5B6A4C91">
      <w:pPr>
        <w:pStyle w:val="9"/>
        <w:keepNext w:val="0"/>
        <w:keepLines w:val="0"/>
        <w:pageBreakBefore w:val="0"/>
        <w:widowControl/>
        <w:wordWrap/>
        <w:overflowPunct/>
        <w:topLinePunct w:val="0"/>
        <w:bidi w:val="0"/>
        <w:spacing w:before="0" w:beforeAutospacing="0" w:after="0" w:afterAutospacing="0" w:line="560" w:lineRule="exact"/>
        <w:ind w:firstLine="640" w:firstLineChars="200"/>
        <w:jc w:val="both"/>
        <w:textAlignment w:val="auto"/>
        <w:rPr>
          <w:rFonts w:ascii="Times New Roman" w:hAnsi="Times New Roman" w:eastAsia="仿宋_GB2312"/>
          <w:kern w:val="2"/>
          <w:sz w:val="32"/>
          <w:szCs w:val="32"/>
          <w:lang w:val="zh-CN"/>
        </w:rPr>
      </w:pPr>
      <w:r>
        <w:rPr>
          <w:rFonts w:hint="eastAsia" w:ascii="Times New Roman" w:hAnsi="Times New Roman" w:eastAsia="仿宋_GB2312"/>
          <w:kern w:val="2"/>
          <w:sz w:val="32"/>
          <w:szCs w:val="32"/>
          <w:lang w:val="zh-CN"/>
        </w:rPr>
        <w:t>2</w:t>
      </w:r>
      <w:r>
        <w:rPr>
          <w:rFonts w:ascii="Times New Roman" w:hAnsi="Times New Roman" w:eastAsia="仿宋_GB2312"/>
          <w:kern w:val="2"/>
          <w:sz w:val="32"/>
          <w:szCs w:val="32"/>
          <w:lang w:val="zh-CN"/>
        </w:rPr>
        <w:t>.卫生健康支出（类）</w:t>
      </w:r>
      <w:r>
        <w:rPr>
          <w:rFonts w:hint="eastAsia" w:ascii="Times New Roman" w:hAnsi="Times New Roman" w:eastAsia="仿宋_GB2312"/>
          <w:kern w:val="2"/>
          <w:sz w:val="32"/>
          <w:szCs w:val="32"/>
          <w:lang w:val="zh-CN"/>
        </w:rPr>
        <w:t>13.60</w:t>
      </w:r>
      <w:r>
        <w:rPr>
          <w:rFonts w:ascii="Times New Roman" w:hAnsi="Times New Roman" w:eastAsia="仿宋_GB2312"/>
          <w:kern w:val="2"/>
          <w:sz w:val="32"/>
          <w:szCs w:val="32"/>
          <w:lang w:val="zh-CN"/>
        </w:rPr>
        <w:t>万元，占</w:t>
      </w:r>
      <w:r>
        <w:rPr>
          <w:rFonts w:hint="eastAsia" w:ascii="Times New Roman" w:hAnsi="Times New Roman" w:eastAsia="仿宋_GB2312"/>
          <w:kern w:val="2"/>
          <w:sz w:val="32"/>
          <w:szCs w:val="32"/>
          <w:lang w:val="zh-CN"/>
        </w:rPr>
        <w:t>2.41</w:t>
      </w:r>
      <w:r>
        <w:rPr>
          <w:rFonts w:ascii="Times New Roman" w:hAnsi="Times New Roman" w:eastAsia="仿宋_GB2312"/>
          <w:kern w:val="2"/>
          <w:sz w:val="32"/>
          <w:szCs w:val="32"/>
          <w:lang w:val="zh-CN"/>
        </w:rPr>
        <w:t>%；</w:t>
      </w:r>
    </w:p>
    <w:p w14:paraId="6126E5F0">
      <w:pPr>
        <w:pStyle w:val="9"/>
        <w:keepNext w:val="0"/>
        <w:keepLines w:val="0"/>
        <w:pageBreakBefore w:val="0"/>
        <w:widowControl/>
        <w:wordWrap/>
        <w:overflowPunct/>
        <w:topLinePunct w:val="0"/>
        <w:bidi w:val="0"/>
        <w:spacing w:before="0" w:beforeAutospacing="0" w:after="0" w:afterAutospacing="0" w:line="560" w:lineRule="exact"/>
        <w:ind w:firstLine="640" w:firstLineChars="200"/>
        <w:jc w:val="both"/>
        <w:textAlignment w:val="auto"/>
        <w:rPr>
          <w:rFonts w:ascii="Times New Roman" w:hAnsi="Times New Roman" w:eastAsia="仿宋_GB2312"/>
          <w:kern w:val="2"/>
          <w:sz w:val="32"/>
          <w:szCs w:val="32"/>
          <w:lang w:val="zh-CN"/>
        </w:rPr>
      </w:pPr>
      <w:r>
        <w:rPr>
          <w:rFonts w:hint="eastAsia" w:ascii="Times New Roman" w:hAnsi="Times New Roman" w:eastAsia="仿宋_GB2312"/>
          <w:kern w:val="2"/>
          <w:sz w:val="32"/>
          <w:szCs w:val="32"/>
          <w:lang w:val="zh-CN"/>
        </w:rPr>
        <w:t>3</w:t>
      </w:r>
      <w:r>
        <w:rPr>
          <w:rFonts w:ascii="Times New Roman" w:hAnsi="Times New Roman" w:eastAsia="仿宋_GB2312"/>
          <w:kern w:val="2"/>
          <w:sz w:val="32"/>
          <w:szCs w:val="32"/>
          <w:lang w:val="zh-CN"/>
        </w:rPr>
        <w:t>.农林水支出（类）</w:t>
      </w:r>
      <w:r>
        <w:rPr>
          <w:rFonts w:hint="eastAsia" w:ascii="Times New Roman" w:hAnsi="Times New Roman" w:eastAsia="仿宋_GB2312"/>
          <w:kern w:val="2"/>
          <w:sz w:val="32"/>
          <w:szCs w:val="32"/>
          <w:lang w:val="zh-CN"/>
        </w:rPr>
        <w:t>496.26</w:t>
      </w:r>
      <w:r>
        <w:rPr>
          <w:rFonts w:ascii="Times New Roman" w:hAnsi="Times New Roman" w:eastAsia="仿宋_GB2312"/>
          <w:kern w:val="2"/>
          <w:sz w:val="32"/>
          <w:szCs w:val="32"/>
          <w:lang w:val="zh-CN"/>
        </w:rPr>
        <w:t>万元，占</w:t>
      </w:r>
      <w:r>
        <w:rPr>
          <w:rFonts w:hint="eastAsia" w:ascii="Times New Roman" w:hAnsi="Times New Roman" w:eastAsia="仿宋_GB2312"/>
          <w:kern w:val="2"/>
          <w:sz w:val="32"/>
          <w:szCs w:val="32"/>
          <w:lang w:val="zh-CN"/>
        </w:rPr>
        <w:t>88.12</w:t>
      </w:r>
      <w:r>
        <w:rPr>
          <w:rFonts w:ascii="Times New Roman" w:hAnsi="Times New Roman" w:eastAsia="仿宋_GB2312"/>
          <w:kern w:val="2"/>
          <w:sz w:val="32"/>
          <w:szCs w:val="32"/>
          <w:lang w:val="zh-CN"/>
        </w:rPr>
        <w:t>%；</w:t>
      </w:r>
    </w:p>
    <w:p w14:paraId="67854086">
      <w:pPr>
        <w:pStyle w:val="9"/>
        <w:keepNext w:val="0"/>
        <w:keepLines w:val="0"/>
        <w:pageBreakBefore w:val="0"/>
        <w:widowControl/>
        <w:wordWrap/>
        <w:overflowPunct/>
        <w:topLinePunct w:val="0"/>
        <w:bidi w:val="0"/>
        <w:spacing w:before="0" w:beforeAutospacing="0" w:after="0" w:afterAutospacing="0" w:line="560" w:lineRule="exact"/>
        <w:ind w:firstLine="640" w:firstLineChars="200"/>
        <w:jc w:val="both"/>
        <w:textAlignment w:val="auto"/>
        <w:rPr>
          <w:rFonts w:ascii="Times New Roman" w:hAnsi="Times New Roman" w:eastAsia="仿宋_GB2312"/>
          <w:kern w:val="2"/>
          <w:sz w:val="32"/>
          <w:szCs w:val="32"/>
          <w:lang w:val="zh-CN"/>
        </w:rPr>
      </w:pPr>
      <w:r>
        <w:rPr>
          <w:rFonts w:hint="eastAsia" w:ascii="Times New Roman" w:hAnsi="Times New Roman" w:eastAsia="仿宋_GB2312"/>
          <w:kern w:val="2"/>
          <w:sz w:val="32"/>
          <w:szCs w:val="32"/>
          <w:lang w:val="zh-CN"/>
        </w:rPr>
        <w:t>4</w:t>
      </w:r>
      <w:r>
        <w:rPr>
          <w:rFonts w:ascii="Times New Roman" w:hAnsi="Times New Roman" w:eastAsia="仿宋_GB2312"/>
          <w:kern w:val="2"/>
          <w:sz w:val="32"/>
          <w:szCs w:val="32"/>
          <w:lang w:val="zh-CN"/>
        </w:rPr>
        <w:t>.住房保障支出（类）</w:t>
      </w:r>
      <w:r>
        <w:rPr>
          <w:rFonts w:hint="eastAsia" w:ascii="Times New Roman" w:hAnsi="Times New Roman" w:eastAsia="仿宋_GB2312"/>
          <w:kern w:val="2"/>
          <w:sz w:val="32"/>
          <w:szCs w:val="32"/>
          <w:lang w:val="zh-CN"/>
        </w:rPr>
        <w:t>10.38</w:t>
      </w:r>
      <w:r>
        <w:rPr>
          <w:rFonts w:ascii="Times New Roman" w:hAnsi="Times New Roman" w:eastAsia="仿宋_GB2312"/>
          <w:kern w:val="2"/>
          <w:sz w:val="32"/>
          <w:szCs w:val="32"/>
          <w:lang w:val="zh-CN"/>
        </w:rPr>
        <w:t>万元，占</w:t>
      </w:r>
      <w:r>
        <w:rPr>
          <w:rFonts w:hint="eastAsia" w:ascii="Times New Roman" w:hAnsi="Times New Roman" w:eastAsia="仿宋_GB2312"/>
          <w:kern w:val="2"/>
          <w:sz w:val="32"/>
          <w:szCs w:val="32"/>
          <w:lang w:val="zh-CN"/>
        </w:rPr>
        <w:t>1.84</w:t>
      </w:r>
      <w:r>
        <w:rPr>
          <w:rFonts w:ascii="Times New Roman" w:hAnsi="Times New Roman" w:eastAsia="仿宋_GB2312"/>
          <w:kern w:val="2"/>
          <w:sz w:val="32"/>
          <w:szCs w:val="32"/>
          <w:lang w:val="zh-CN"/>
        </w:rPr>
        <w:t>%；</w:t>
      </w:r>
    </w:p>
    <w:p w14:paraId="04417963">
      <w:pPr>
        <w:keepNext w:val="0"/>
        <w:keepLines w:val="0"/>
        <w:pageBreakBefore w:val="0"/>
        <w:wordWrap/>
        <w:overflowPunct/>
        <w:topLinePunct w:val="0"/>
        <w:bidi w:val="0"/>
        <w:spacing w:line="560" w:lineRule="exact"/>
        <w:ind w:firstLine="640" w:firstLineChars="200"/>
        <w:jc w:val="both"/>
        <w:textAlignment w:val="auto"/>
        <w:outlineLvl w:val="2"/>
        <w:rPr>
          <w:rFonts w:ascii="Times New Roman" w:hAnsi="Times New Roman" w:eastAsia="黑体"/>
          <w:sz w:val="32"/>
          <w:szCs w:val="32"/>
        </w:rPr>
      </w:pPr>
      <w:r>
        <w:rPr>
          <w:rFonts w:hint="eastAsia" w:ascii="Times New Roman" w:hAnsi="Times New Roman" w:eastAsia="黑体"/>
          <w:sz w:val="32"/>
          <w:szCs w:val="32"/>
        </w:rPr>
        <w:t>（三）一般公共预算财政拨款支出决算具体情况</w:t>
      </w:r>
    </w:p>
    <w:p w14:paraId="68B0A4F9">
      <w:pPr>
        <w:keepNext w:val="0"/>
        <w:keepLines w:val="0"/>
        <w:pageBreakBefore w:val="0"/>
        <w:wordWrap/>
        <w:overflowPunct/>
        <w:topLinePunct w:val="0"/>
        <w:bidi w:val="0"/>
        <w:spacing w:line="560" w:lineRule="exact"/>
        <w:ind w:firstLine="640" w:firstLineChars="200"/>
        <w:jc w:val="both"/>
        <w:textAlignment w:val="auto"/>
        <w:rPr>
          <w:rFonts w:ascii="Times New Roman" w:hAnsi="Times New Roman" w:eastAsia="仿宋_GB2312"/>
          <w:sz w:val="32"/>
          <w:szCs w:val="32"/>
        </w:rPr>
      </w:pPr>
      <w:r>
        <w:rPr>
          <w:rFonts w:hint="eastAsia" w:ascii="Times New Roman" w:hAnsi="Times New Roman" w:eastAsia="仿宋_GB2312"/>
          <w:sz w:val="32"/>
          <w:szCs w:val="32"/>
        </w:rPr>
        <w:t>1.农林水支出（类）水利（款）行政运行（项）:支出决算数为148.06万元，比上年决算增加4.83万元，增长3.37%，主要原因是：2023年人员工资有所提高，相应的行政运行费用有所增长。</w:t>
      </w:r>
    </w:p>
    <w:p w14:paraId="508BD124">
      <w:pPr>
        <w:keepNext w:val="0"/>
        <w:keepLines w:val="0"/>
        <w:pageBreakBefore w:val="0"/>
        <w:wordWrap/>
        <w:overflowPunct/>
        <w:topLinePunct w:val="0"/>
        <w:bidi w:val="0"/>
        <w:spacing w:line="560" w:lineRule="exact"/>
        <w:ind w:firstLine="640" w:firstLineChars="200"/>
        <w:jc w:val="both"/>
        <w:textAlignment w:val="auto"/>
        <w:rPr>
          <w:rFonts w:ascii="Times New Roman" w:hAnsi="Times New Roman" w:eastAsia="仿宋_GB2312"/>
          <w:sz w:val="32"/>
          <w:szCs w:val="32"/>
          <w:highlight w:val="yellow"/>
        </w:rPr>
      </w:pPr>
      <w:r>
        <w:rPr>
          <w:rFonts w:hint="eastAsia" w:ascii="Times New Roman" w:hAnsi="Times New Roman" w:eastAsia="仿宋_GB2312"/>
          <w:sz w:val="32"/>
          <w:szCs w:val="32"/>
        </w:rPr>
        <w:t>2.卫生健康支出（类）行政事业单位医疗（款）事业单位医疗（项）:支出决算数为7.38万元，比上年决算减少0.99万元，</w:t>
      </w:r>
      <w:r>
        <w:rPr>
          <w:rFonts w:hint="eastAsia" w:ascii="Times New Roman" w:hAnsi="Times New Roman" w:eastAsia="仿宋_GB2312"/>
          <w:sz w:val="32"/>
          <w:szCs w:val="32"/>
          <w:highlight w:val="none"/>
        </w:rPr>
        <w:t>下降11.8</w:t>
      </w:r>
      <w:r>
        <w:rPr>
          <w:rFonts w:hint="eastAsia" w:eastAsia="仿宋_GB2312"/>
          <w:sz w:val="32"/>
          <w:szCs w:val="32"/>
          <w:highlight w:val="none"/>
          <w:lang w:val="en-US" w:eastAsia="zh-CN"/>
        </w:rPr>
        <w:t>3</w:t>
      </w:r>
      <w:r>
        <w:rPr>
          <w:rFonts w:hint="eastAsia" w:ascii="Times New Roman" w:hAnsi="Times New Roman" w:eastAsia="仿宋_GB2312"/>
          <w:sz w:val="32"/>
          <w:szCs w:val="32"/>
          <w:highlight w:val="none"/>
        </w:rPr>
        <w:t>%，主要原因是：</w:t>
      </w:r>
      <w:r>
        <w:rPr>
          <w:rFonts w:hint="eastAsia" w:ascii="Times New Roman" w:hAnsi="Times New Roman" w:eastAsia="仿宋_GB2312"/>
          <w:sz w:val="32"/>
          <w:szCs w:val="32"/>
          <w:highlight w:val="none"/>
        </w:rPr>
        <w:t>2023年有一名处级干部调出本单位，新入职一名工作人员，由于工资标准导致</w:t>
      </w:r>
      <w:r>
        <w:rPr>
          <w:rFonts w:hint="eastAsia" w:ascii="Times New Roman" w:hAnsi="Times New Roman" w:eastAsia="仿宋_GB2312"/>
          <w:sz w:val="32"/>
          <w:szCs w:val="32"/>
        </w:rPr>
        <w:t>行政事业单位医疗</w:t>
      </w:r>
      <w:r>
        <w:rPr>
          <w:rFonts w:hint="eastAsia" w:ascii="Times New Roman" w:hAnsi="Times New Roman" w:eastAsia="仿宋_GB2312"/>
          <w:sz w:val="32"/>
          <w:szCs w:val="32"/>
          <w:highlight w:val="none"/>
        </w:rPr>
        <w:t>有所减少。</w:t>
      </w:r>
    </w:p>
    <w:p w14:paraId="79A26D9F">
      <w:pPr>
        <w:keepNext w:val="0"/>
        <w:keepLines w:val="0"/>
        <w:pageBreakBefore w:val="0"/>
        <w:wordWrap/>
        <w:overflowPunct/>
        <w:topLinePunct w:val="0"/>
        <w:bidi w:val="0"/>
        <w:spacing w:line="560" w:lineRule="exact"/>
        <w:ind w:firstLine="640" w:firstLineChars="200"/>
        <w:jc w:val="both"/>
        <w:textAlignment w:val="auto"/>
        <w:rPr>
          <w:rFonts w:ascii="Times New Roman" w:hAnsi="Times New Roman" w:eastAsia="仿宋_GB2312"/>
          <w:sz w:val="32"/>
          <w:szCs w:val="32"/>
          <w:lang w:val="zh-CN"/>
        </w:rPr>
      </w:pPr>
      <w:r>
        <w:rPr>
          <w:rFonts w:hint="eastAsia" w:ascii="Times New Roman" w:hAnsi="Times New Roman" w:eastAsia="仿宋_GB2312"/>
          <w:sz w:val="32"/>
          <w:szCs w:val="32"/>
        </w:rPr>
        <w:t>3.农林水支出（类）水利（款）农村供水（项）:支出决算数为292.00万元，比上年决算增加292.00万元，增长100%，主要原因是：</w:t>
      </w:r>
      <w:r>
        <w:rPr>
          <w:rFonts w:hint="eastAsia" w:ascii="Times New Roman" w:hAnsi="Times New Roman" w:eastAsia="仿宋_GB2312"/>
          <w:sz w:val="32"/>
          <w:szCs w:val="32"/>
          <w:lang w:val="zh-CN"/>
        </w:rPr>
        <w:t>2022年没有该项目。</w:t>
      </w:r>
    </w:p>
    <w:p w14:paraId="67DC8F24">
      <w:pPr>
        <w:keepNext w:val="0"/>
        <w:keepLines w:val="0"/>
        <w:pageBreakBefore w:val="0"/>
        <w:wordWrap/>
        <w:overflowPunct/>
        <w:topLinePunct w:val="0"/>
        <w:bidi w:val="0"/>
        <w:spacing w:line="560" w:lineRule="exact"/>
        <w:ind w:firstLine="640" w:firstLineChars="200"/>
        <w:jc w:val="both"/>
        <w:textAlignment w:val="auto"/>
        <w:rPr>
          <w:rFonts w:ascii="Times New Roman" w:hAnsi="Times New Roman" w:eastAsia="仿宋_GB2312"/>
          <w:sz w:val="32"/>
          <w:szCs w:val="32"/>
          <w:highlight w:val="none"/>
        </w:rPr>
      </w:pPr>
      <w:r>
        <w:rPr>
          <w:rFonts w:hint="eastAsia" w:ascii="Times New Roman" w:hAnsi="Times New Roman" w:eastAsia="仿宋_GB2312"/>
          <w:sz w:val="32"/>
          <w:szCs w:val="32"/>
          <w:highlight w:val="none"/>
        </w:rPr>
        <w:t>4.卫生健康支出（类）行政事业单位医疗（款）公务员医疗补助（项）:支出决算数为6.22万元，比上年决算减少0.28万元，下降4.3</w:t>
      </w:r>
      <w:r>
        <w:rPr>
          <w:rFonts w:hint="eastAsia" w:eastAsia="仿宋_GB2312"/>
          <w:sz w:val="32"/>
          <w:szCs w:val="32"/>
          <w:highlight w:val="none"/>
          <w:lang w:val="en-US" w:eastAsia="zh-CN"/>
        </w:rPr>
        <w:t>1</w:t>
      </w:r>
      <w:r>
        <w:rPr>
          <w:rFonts w:hint="eastAsia" w:ascii="Times New Roman" w:hAnsi="Times New Roman" w:eastAsia="仿宋_GB2312"/>
          <w:sz w:val="32"/>
          <w:szCs w:val="32"/>
          <w:highlight w:val="none"/>
        </w:rPr>
        <w:t>%，主要原因是：2023年有一名处级干部调出本单位，新入职一名工作人员，由于工资标准导致公务员医疗补助有所减少。</w:t>
      </w:r>
    </w:p>
    <w:p w14:paraId="3E8C7FDA">
      <w:pPr>
        <w:keepNext w:val="0"/>
        <w:keepLines w:val="0"/>
        <w:pageBreakBefore w:val="0"/>
        <w:wordWrap/>
        <w:overflowPunct/>
        <w:topLinePunct w:val="0"/>
        <w:bidi w:val="0"/>
        <w:spacing w:line="560" w:lineRule="exact"/>
        <w:ind w:firstLine="640" w:firstLineChars="200"/>
        <w:jc w:val="both"/>
        <w:textAlignment w:val="auto"/>
        <w:rPr>
          <w:rFonts w:ascii="Times New Roman" w:hAnsi="Times New Roman" w:eastAsia="仿宋_GB2312"/>
          <w:sz w:val="32"/>
          <w:szCs w:val="32"/>
        </w:rPr>
      </w:pPr>
      <w:r>
        <w:rPr>
          <w:rFonts w:hint="eastAsia" w:ascii="Times New Roman" w:hAnsi="Times New Roman" w:eastAsia="仿宋_GB2312"/>
          <w:sz w:val="32"/>
          <w:szCs w:val="32"/>
        </w:rPr>
        <w:t>5.住房保障支出（类）住房改革支出（款）住房公积金（项）:支出决算数为10.38万元，比上年决算减少1.24万元，下降10.66%，主要原因是：2023年有一名处级干部调出本单位，新入职一名工作人员，由于工资标准导致住房公积金有所减少。</w:t>
      </w:r>
    </w:p>
    <w:p w14:paraId="06015067">
      <w:pPr>
        <w:keepNext w:val="0"/>
        <w:keepLines w:val="0"/>
        <w:pageBreakBefore w:val="0"/>
        <w:wordWrap/>
        <w:overflowPunct/>
        <w:topLinePunct w:val="0"/>
        <w:bidi w:val="0"/>
        <w:spacing w:line="560" w:lineRule="exact"/>
        <w:ind w:firstLine="640" w:firstLineChars="200"/>
        <w:jc w:val="both"/>
        <w:textAlignment w:val="auto"/>
        <w:rPr>
          <w:rFonts w:ascii="Times New Roman" w:hAnsi="Times New Roman" w:eastAsia="仿宋_GB2312"/>
          <w:sz w:val="32"/>
          <w:szCs w:val="32"/>
        </w:rPr>
      </w:pPr>
      <w:r>
        <w:rPr>
          <w:rFonts w:hint="eastAsia" w:ascii="Times New Roman" w:hAnsi="Times New Roman" w:eastAsia="仿宋_GB2312"/>
          <w:sz w:val="32"/>
          <w:szCs w:val="32"/>
        </w:rPr>
        <w:t>6.社会保障和就业支出（类）行政事业单位养老支出（款）行政单位离退休（项）:支出决算数为22.07万元，比上年决算减少7.45万元，下降25.24%，主要原因是：2023年有一名处级干部去世，所以导致行政单位离退休所减少。</w:t>
      </w:r>
    </w:p>
    <w:p w14:paraId="68EA55B0">
      <w:pPr>
        <w:keepNext w:val="0"/>
        <w:keepLines w:val="0"/>
        <w:pageBreakBefore w:val="0"/>
        <w:wordWrap/>
        <w:overflowPunct/>
        <w:topLinePunct w:val="0"/>
        <w:bidi w:val="0"/>
        <w:spacing w:line="560" w:lineRule="exact"/>
        <w:ind w:firstLine="640" w:firstLineChars="200"/>
        <w:jc w:val="both"/>
        <w:textAlignment w:val="auto"/>
        <w:rPr>
          <w:rFonts w:ascii="Times New Roman" w:hAnsi="Times New Roman" w:eastAsia="仿宋_GB2312"/>
          <w:sz w:val="32"/>
          <w:szCs w:val="32"/>
          <w:lang w:val="zh-CN"/>
        </w:rPr>
      </w:pPr>
      <w:r>
        <w:rPr>
          <w:rFonts w:hint="eastAsia" w:ascii="Times New Roman" w:hAnsi="Times New Roman" w:eastAsia="仿宋_GB2312"/>
          <w:sz w:val="32"/>
          <w:szCs w:val="32"/>
        </w:rPr>
        <w:t>7.农林水支出（类）农业农村（款）行政运行（项）:支出决算数为1.20万元，比上年决算增加1.20万元，增长100%，主要原因是：</w:t>
      </w:r>
      <w:r>
        <w:rPr>
          <w:rFonts w:hint="eastAsia" w:ascii="Times New Roman" w:hAnsi="Times New Roman" w:eastAsia="仿宋_GB2312"/>
          <w:sz w:val="32"/>
          <w:szCs w:val="32"/>
          <w:lang w:val="zh-CN"/>
        </w:rPr>
        <w:t>2023年有访惠聚经费补贴。</w:t>
      </w:r>
    </w:p>
    <w:p w14:paraId="5B234DF9">
      <w:pPr>
        <w:keepNext w:val="0"/>
        <w:keepLines w:val="0"/>
        <w:pageBreakBefore w:val="0"/>
        <w:wordWrap/>
        <w:overflowPunct/>
        <w:topLinePunct w:val="0"/>
        <w:bidi w:val="0"/>
        <w:spacing w:line="560" w:lineRule="exact"/>
        <w:ind w:firstLine="640" w:firstLineChars="200"/>
        <w:jc w:val="both"/>
        <w:textAlignment w:val="auto"/>
        <w:rPr>
          <w:rFonts w:ascii="Times New Roman" w:hAnsi="Times New Roman" w:eastAsia="仿宋_GB2312"/>
          <w:sz w:val="32"/>
          <w:szCs w:val="32"/>
          <w:lang w:val="zh-CN"/>
        </w:rPr>
      </w:pPr>
      <w:r>
        <w:rPr>
          <w:rFonts w:hint="eastAsia" w:ascii="Times New Roman" w:hAnsi="Times New Roman" w:eastAsia="仿宋_GB2312"/>
          <w:sz w:val="32"/>
          <w:szCs w:val="32"/>
        </w:rPr>
        <w:t>8.农林水支出（类）水利（款）水资源节约管理与保护（项）:支出决算数为55.00万元，比上年决算减少145.00万元，下降72.50%，主要原因是：</w:t>
      </w:r>
      <w:r>
        <w:rPr>
          <w:rFonts w:hint="eastAsia" w:ascii="Times New Roman" w:hAnsi="Times New Roman" w:eastAsia="仿宋_GB2312"/>
          <w:sz w:val="32"/>
          <w:szCs w:val="32"/>
          <w:lang w:val="zh-CN"/>
        </w:rPr>
        <w:t>项目资金有所减少。</w:t>
      </w:r>
    </w:p>
    <w:p w14:paraId="253B2721">
      <w:pPr>
        <w:keepNext w:val="0"/>
        <w:keepLines w:val="0"/>
        <w:pageBreakBefore w:val="0"/>
        <w:wordWrap/>
        <w:overflowPunct/>
        <w:topLinePunct w:val="0"/>
        <w:bidi w:val="0"/>
        <w:spacing w:line="560" w:lineRule="exact"/>
        <w:ind w:firstLine="640" w:firstLineChars="200"/>
        <w:jc w:val="both"/>
        <w:textAlignment w:val="auto"/>
        <w:rPr>
          <w:rFonts w:ascii="Times New Roman" w:hAnsi="Times New Roman" w:eastAsia="仿宋_GB2312"/>
          <w:sz w:val="32"/>
          <w:szCs w:val="32"/>
          <w:highlight w:val="none"/>
        </w:rPr>
      </w:pPr>
      <w:r>
        <w:rPr>
          <w:rFonts w:hint="eastAsia" w:ascii="Times New Roman" w:hAnsi="Times New Roman" w:eastAsia="仿宋_GB2312"/>
          <w:sz w:val="32"/>
          <w:szCs w:val="32"/>
          <w:highlight w:val="none"/>
        </w:rPr>
        <w:t>9.社会保障和就业支出（类）行政事业单位养老支出（款）机关事业单位职业年金缴费支出（项）:支出决算数为7.49万元，比上年决算增加1.72万元，</w:t>
      </w:r>
      <w:r>
        <w:rPr>
          <w:rFonts w:hint="eastAsia" w:ascii="Times New Roman" w:hAnsi="Times New Roman" w:eastAsia="仿宋_GB2312"/>
          <w:sz w:val="32"/>
          <w:szCs w:val="32"/>
          <w:highlight w:val="none"/>
        </w:rPr>
        <w:t>增长29.</w:t>
      </w:r>
      <w:r>
        <w:rPr>
          <w:rFonts w:hint="eastAsia" w:eastAsia="仿宋_GB2312"/>
          <w:sz w:val="32"/>
          <w:szCs w:val="32"/>
          <w:highlight w:val="none"/>
          <w:lang w:val="en-US" w:eastAsia="zh-CN"/>
        </w:rPr>
        <w:t>81</w:t>
      </w:r>
      <w:r>
        <w:rPr>
          <w:rFonts w:hint="eastAsia" w:ascii="Times New Roman" w:hAnsi="Times New Roman" w:eastAsia="仿宋_GB2312"/>
          <w:sz w:val="32"/>
          <w:szCs w:val="32"/>
          <w:highlight w:val="none"/>
        </w:rPr>
        <w:t>%，主要原因是：2023年有一名处级干部退休并于当年去世，所以导致机关事业单位职业年金缴费有所增长。</w:t>
      </w:r>
    </w:p>
    <w:p w14:paraId="7D22050A">
      <w:pPr>
        <w:keepNext w:val="0"/>
        <w:keepLines w:val="0"/>
        <w:pageBreakBefore w:val="0"/>
        <w:wordWrap/>
        <w:overflowPunct/>
        <w:topLinePunct w:val="0"/>
        <w:bidi w:val="0"/>
        <w:spacing w:line="560" w:lineRule="exact"/>
        <w:ind w:firstLine="640" w:firstLineChars="200"/>
        <w:jc w:val="both"/>
        <w:textAlignment w:val="auto"/>
        <w:rPr>
          <w:rFonts w:ascii="Times New Roman" w:hAnsi="Times New Roman" w:eastAsia="仿宋_GB2312"/>
          <w:sz w:val="32"/>
          <w:szCs w:val="32"/>
          <w:highlight w:val="none"/>
        </w:rPr>
      </w:pPr>
      <w:r>
        <w:rPr>
          <w:rFonts w:hint="eastAsia" w:ascii="Times New Roman" w:hAnsi="Times New Roman" w:eastAsia="仿宋_GB2312"/>
          <w:sz w:val="32"/>
          <w:szCs w:val="32"/>
          <w:highlight w:val="none"/>
        </w:rPr>
        <w:t>10.社会保障和就业支出（类）行政事业单位养老支出（款）机关事业单位基本养老保险缴费支出（项）:支出决算数为13.37万元，比上年决算减少2.12万元，下降1</w:t>
      </w:r>
      <w:r>
        <w:rPr>
          <w:rFonts w:hint="eastAsia" w:eastAsia="仿宋_GB2312"/>
          <w:sz w:val="32"/>
          <w:szCs w:val="32"/>
          <w:highlight w:val="none"/>
          <w:lang w:val="en-US" w:eastAsia="zh-CN"/>
        </w:rPr>
        <w:t>3.69</w:t>
      </w:r>
      <w:r>
        <w:rPr>
          <w:rFonts w:hint="eastAsia" w:ascii="Times New Roman" w:hAnsi="Times New Roman" w:eastAsia="仿宋_GB2312"/>
          <w:sz w:val="32"/>
          <w:szCs w:val="32"/>
          <w:highlight w:val="none"/>
        </w:rPr>
        <w:t>%，主要原因是：2023年有一名处级干部退休并于当年去世，所以导致机关事业单位基本养老保险缴费有所减少。</w:t>
      </w:r>
    </w:p>
    <w:p w14:paraId="66189FFF">
      <w:pPr>
        <w:keepNext w:val="0"/>
        <w:keepLines w:val="0"/>
        <w:pageBreakBefore w:val="0"/>
        <w:wordWrap/>
        <w:overflowPunct/>
        <w:topLinePunct w:val="0"/>
        <w:bidi w:val="0"/>
        <w:spacing w:line="560" w:lineRule="exact"/>
        <w:ind w:firstLine="640" w:firstLineChars="200"/>
        <w:jc w:val="both"/>
        <w:textAlignment w:val="auto"/>
        <w:rPr>
          <w:rFonts w:ascii="Times New Roman" w:hAnsi="Times New Roman" w:eastAsia="仿宋_GB2312"/>
          <w:sz w:val="32"/>
          <w:szCs w:val="32"/>
          <w:lang w:val="zh-CN"/>
        </w:rPr>
      </w:pPr>
      <w:r>
        <w:rPr>
          <w:rFonts w:hint="eastAsia" w:ascii="Times New Roman" w:hAnsi="Times New Roman" w:eastAsia="仿宋_GB2312"/>
          <w:sz w:val="32"/>
          <w:szCs w:val="32"/>
        </w:rPr>
        <w:t>11.农林水支出（类）农业农村（款）一般行政管理事务（项）:支出决算数为0.00万元，比上年决算减少286.00万元，下降100%，主要原因是：</w:t>
      </w:r>
      <w:r>
        <w:rPr>
          <w:rFonts w:hint="eastAsia" w:ascii="Times New Roman" w:hAnsi="Times New Roman" w:eastAsia="仿宋_GB2312"/>
          <w:sz w:val="32"/>
          <w:szCs w:val="32"/>
          <w:lang w:val="zh-CN"/>
        </w:rPr>
        <w:t>2023年没有该项目。</w:t>
      </w:r>
    </w:p>
    <w:p w14:paraId="0542CA02">
      <w:pPr>
        <w:keepNext w:val="0"/>
        <w:keepLines w:val="0"/>
        <w:pageBreakBefore w:val="0"/>
        <w:wordWrap/>
        <w:overflowPunct/>
        <w:topLinePunct w:val="0"/>
        <w:bidi w:val="0"/>
        <w:spacing w:line="560" w:lineRule="exact"/>
        <w:ind w:firstLine="640" w:firstLineChars="200"/>
        <w:jc w:val="both"/>
        <w:textAlignment w:val="auto"/>
        <w:outlineLvl w:val="1"/>
        <w:rPr>
          <w:rFonts w:ascii="Times New Roman" w:hAnsi="Times New Roman" w:eastAsia="黑体" w:cs="宋体"/>
          <w:bCs/>
          <w:kern w:val="0"/>
          <w:sz w:val="32"/>
          <w:szCs w:val="32"/>
        </w:rPr>
      </w:pPr>
      <w:r>
        <w:rPr>
          <w:rFonts w:hint="eastAsia" w:ascii="Times New Roman" w:hAnsi="Times New Roman" w:eastAsia="黑体" w:cs="宋体"/>
          <w:bCs/>
          <w:kern w:val="0"/>
          <w:sz w:val="32"/>
          <w:szCs w:val="32"/>
        </w:rPr>
        <w:t>六、一般公共预算财政拨款基本支出决算情况说明</w:t>
      </w:r>
    </w:p>
    <w:p w14:paraId="7CBA1355">
      <w:pPr>
        <w:keepNext w:val="0"/>
        <w:keepLines w:val="0"/>
        <w:pageBreakBefore w:val="0"/>
        <w:wordWrap/>
        <w:overflowPunct/>
        <w:topLinePunct w:val="0"/>
        <w:bidi w:val="0"/>
        <w:spacing w:line="560" w:lineRule="exact"/>
        <w:ind w:firstLine="640" w:firstLineChars="200"/>
        <w:jc w:val="both"/>
        <w:textAlignment w:val="auto"/>
        <w:rPr>
          <w:rFonts w:ascii="Times New Roman" w:hAnsi="Times New Roman" w:eastAsia="仿宋_GB2312"/>
          <w:sz w:val="32"/>
          <w:szCs w:val="32"/>
        </w:rPr>
      </w:pPr>
      <w:r>
        <w:rPr>
          <w:rFonts w:hint="eastAsia" w:ascii="Times New Roman" w:hAnsi="Times New Roman" w:eastAsia="仿宋_GB2312"/>
          <w:sz w:val="32"/>
          <w:szCs w:val="32"/>
        </w:rPr>
        <w:t>2023年度一般公共预算财政拨款基本支出216.16万元，其中：人员经费200.79万元，包括：基本工资、津贴补贴、奖金、绩效工资、机关事业单位基本养老保险缴费、职业年金缴费、职工基本医疗保险缴费、公务员医疗补助缴费、其他社会保障缴费、住房公积金、退休费、抚恤金、奖励金、其他对个人和家庭的补助。</w:t>
      </w:r>
    </w:p>
    <w:p w14:paraId="4F9E1269">
      <w:pPr>
        <w:keepNext w:val="0"/>
        <w:keepLines w:val="0"/>
        <w:pageBreakBefore w:val="0"/>
        <w:wordWrap/>
        <w:overflowPunct/>
        <w:topLinePunct w:val="0"/>
        <w:bidi w:val="0"/>
        <w:spacing w:line="560" w:lineRule="exact"/>
        <w:ind w:firstLine="640" w:firstLineChars="200"/>
        <w:jc w:val="both"/>
        <w:textAlignment w:val="auto"/>
        <w:rPr>
          <w:rFonts w:ascii="Times New Roman" w:hAnsi="Times New Roman" w:eastAsia="仿宋_GB2312"/>
          <w:sz w:val="32"/>
          <w:szCs w:val="32"/>
          <w:highlight w:val="red"/>
        </w:rPr>
      </w:pPr>
      <w:r>
        <w:rPr>
          <w:rFonts w:hint="eastAsia" w:ascii="Times New Roman" w:hAnsi="Times New Roman" w:eastAsia="仿宋_GB2312"/>
          <w:sz w:val="32"/>
          <w:szCs w:val="32"/>
        </w:rPr>
        <w:t>公用经费15.37万元，包括：办公费、水费、电费、邮电费、物业管理费、差旅费、培训费、工会经费、福利费。</w:t>
      </w:r>
    </w:p>
    <w:p w14:paraId="47544936">
      <w:pPr>
        <w:keepNext w:val="0"/>
        <w:keepLines w:val="0"/>
        <w:pageBreakBefore w:val="0"/>
        <w:wordWrap/>
        <w:overflowPunct/>
        <w:topLinePunct w:val="0"/>
        <w:bidi w:val="0"/>
        <w:spacing w:line="560" w:lineRule="exact"/>
        <w:ind w:firstLine="640" w:firstLineChars="200"/>
        <w:jc w:val="both"/>
        <w:textAlignment w:val="auto"/>
        <w:outlineLvl w:val="1"/>
        <w:rPr>
          <w:rFonts w:ascii="Times New Roman" w:hAnsi="Times New Roman" w:eastAsia="黑体" w:cs="宋体"/>
          <w:bCs/>
          <w:kern w:val="0"/>
          <w:sz w:val="32"/>
          <w:szCs w:val="32"/>
        </w:rPr>
      </w:pPr>
      <w:r>
        <w:rPr>
          <w:rFonts w:hint="eastAsia" w:ascii="Times New Roman" w:hAnsi="Times New Roman" w:eastAsia="黑体" w:cs="宋体"/>
          <w:bCs/>
          <w:kern w:val="0"/>
          <w:sz w:val="32"/>
          <w:szCs w:val="32"/>
        </w:rPr>
        <w:t>七、财政拨款“三公”经费支出决算情况说明</w:t>
      </w:r>
    </w:p>
    <w:p w14:paraId="412B75C2">
      <w:pPr>
        <w:keepNext w:val="0"/>
        <w:keepLines w:val="0"/>
        <w:pageBreakBefore w:val="0"/>
        <w:wordWrap/>
        <w:overflowPunct/>
        <w:topLinePunct w:val="0"/>
        <w:bidi w:val="0"/>
        <w:spacing w:line="560" w:lineRule="exact"/>
        <w:ind w:firstLine="640" w:firstLineChars="200"/>
        <w:jc w:val="both"/>
        <w:textAlignment w:val="auto"/>
        <w:rPr>
          <w:rFonts w:ascii="Times New Roman" w:hAnsi="Times New Roman" w:eastAsia="仿宋_GB2312"/>
          <w:sz w:val="32"/>
          <w:szCs w:val="32"/>
          <w:lang w:val="zh-CN"/>
        </w:rPr>
      </w:pPr>
      <w:r>
        <w:rPr>
          <w:rFonts w:hint="eastAsia" w:ascii="Times New Roman" w:hAnsi="Times New Roman" w:eastAsia="仿宋_GB2312"/>
          <w:sz w:val="32"/>
          <w:szCs w:val="32"/>
          <w:lang w:val="zh-CN"/>
        </w:rPr>
        <w:t>2023年度</w:t>
      </w:r>
      <w:r>
        <w:rPr>
          <w:rFonts w:hint="eastAsia" w:ascii="Times New Roman" w:hAnsi="Times New Roman" w:eastAsia="仿宋_GB2312"/>
          <w:sz w:val="32"/>
          <w:szCs w:val="32"/>
        </w:rPr>
        <w:t>财政拨款</w:t>
      </w:r>
      <w:r>
        <w:rPr>
          <w:rFonts w:hint="eastAsia" w:ascii="Times New Roman" w:hAnsi="Times New Roman" w:eastAsia="仿宋_GB2312"/>
          <w:sz w:val="32"/>
          <w:szCs w:val="32"/>
          <w:lang w:val="zh-CN"/>
        </w:rPr>
        <w:t>“三公”经费支出6.00万元，</w:t>
      </w:r>
      <w:r>
        <w:rPr>
          <w:rFonts w:hint="eastAsia" w:ascii="Times New Roman" w:hAnsi="Times New Roman" w:eastAsia="仿宋_GB2312"/>
          <w:sz w:val="32"/>
          <w:szCs w:val="32"/>
        </w:rPr>
        <w:t>比上年</w:t>
      </w:r>
      <w:r>
        <w:rPr>
          <w:rFonts w:hint="eastAsia" w:ascii="Times New Roman" w:hAnsi="Times New Roman" w:eastAsia="仿宋_GB2312"/>
          <w:sz w:val="32"/>
          <w:szCs w:val="32"/>
          <w:lang w:val="zh-CN"/>
        </w:rPr>
        <w:t>增加0.00万元，增长0.00%，主要原因是：</w:t>
      </w:r>
      <w:r>
        <w:rPr>
          <w:rFonts w:hint="eastAsia" w:ascii="仿宋_GB2312" w:hAnsi="仿宋_GB2312" w:eastAsia="仿宋_GB2312" w:cs="仿宋_GB2312"/>
          <w:color w:val="000000"/>
          <w:kern w:val="0"/>
          <w:sz w:val="32"/>
          <w:szCs w:val="32"/>
          <w:lang w:val="en-US" w:eastAsia="zh-CN" w:bidi="ar"/>
        </w:rPr>
        <w:t>与上年一致，无变化</w:t>
      </w:r>
      <w:r>
        <w:rPr>
          <w:rFonts w:hint="eastAsia" w:ascii="Times New Roman" w:hAnsi="Times New Roman" w:eastAsia="仿宋_GB2312"/>
          <w:sz w:val="32"/>
          <w:szCs w:val="32"/>
        </w:rPr>
        <w:t>。</w:t>
      </w:r>
      <w:r>
        <w:rPr>
          <w:rFonts w:hint="eastAsia" w:ascii="Times New Roman" w:hAnsi="Times New Roman" w:eastAsia="仿宋_GB2312"/>
          <w:sz w:val="32"/>
          <w:szCs w:val="32"/>
          <w:lang w:val="zh-CN"/>
        </w:rPr>
        <w:t>其中：因公出国（境）费支出0.00万元，占0.00%，比上年增加0.00万元，增长0.00%，主要原因是：</w:t>
      </w:r>
      <w:r>
        <w:rPr>
          <w:rFonts w:ascii="Times New Roman" w:hAnsi="Times New Roman" w:eastAsia="仿宋_GB2312"/>
          <w:sz w:val="32"/>
          <w:szCs w:val="32"/>
        </w:rPr>
        <w:t>我单位无因公出国（境）费</w:t>
      </w:r>
      <w:r>
        <w:rPr>
          <w:rFonts w:hint="eastAsia" w:ascii="Times New Roman" w:hAnsi="Times New Roman" w:eastAsia="仿宋_GB2312"/>
          <w:sz w:val="32"/>
          <w:szCs w:val="32"/>
          <w:lang w:val="zh-CN"/>
        </w:rPr>
        <w:t>；公务用车购置及运行维护费支出6.00万元，占100.00%，比上年增加0.00万元，增长0.00%，主要原因是：</w:t>
      </w:r>
      <w:r>
        <w:rPr>
          <w:rFonts w:hint="eastAsia" w:ascii="仿宋_GB2312" w:hAnsi="仿宋_GB2312" w:eastAsia="仿宋_GB2312" w:cs="仿宋_GB2312"/>
          <w:color w:val="000000"/>
          <w:kern w:val="0"/>
          <w:sz w:val="32"/>
          <w:szCs w:val="32"/>
          <w:lang w:val="en-US" w:eastAsia="zh-CN" w:bidi="ar"/>
        </w:rPr>
        <w:t>与上年一致，无变化</w:t>
      </w:r>
      <w:r>
        <w:rPr>
          <w:rFonts w:hint="eastAsia" w:ascii="Times New Roman" w:hAnsi="Times New Roman" w:eastAsia="仿宋_GB2312"/>
          <w:sz w:val="32"/>
          <w:szCs w:val="32"/>
          <w:lang w:val="zh-CN"/>
        </w:rPr>
        <w:t>；公务接待费支出0.00万元，占0.00%，比上年增加0.00万元，增长0.00%，主要原因是：</w:t>
      </w:r>
      <w:r>
        <w:rPr>
          <w:rFonts w:ascii="Times New Roman" w:hAnsi="Times New Roman" w:eastAsia="仿宋_GB2312"/>
          <w:sz w:val="32"/>
          <w:szCs w:val="32"/>
        </w:rPr>
        <w:t>我单位无公务接待费</w:t>
      </w:r>
      <w:r>
        <w:rPr>
          <w:rFonts w:hint="eastAsia" w:ascii="Times New Roman" w:hAnsi="Times New Roman" w:eastAsia="仿宋_GB2312"/>
          <w:sz w:val="32"/>
          <w:szCs w:val="32"/>
        </w:rPr>
        <w:t>。</w:t>
      </w:r>
    </w:p>
    <w:p w14:paraId="73A9101F">
      <w:pPr>
        <w:keepNext w:val="0"/>
        <w:keepLines w:val="0"/>
        <w:pageBreakBefore w:val="0"/>
        <w:wordWrap/>
        <w:overflowPunct/>
        <w:topLinePunct w:val="0"/>
        <w:bidi w:val="0"/>
        <w:spacing w:line="560" w:lineRule="exact"/>
        <w:ind w:firstLine="640" w:firstLineChars="200"/>
        <w:jc w:val="both"/>
        <w:textAlignment w:val="auto"/>
        <w:rPr>
          <w:rFonts w:ascii="Times New Roman" w:hAnsi="Times New Roman" w:eastAsia="仿宋_GB2312"/>
          <w:sz w:val="32"/>
          <w:szCs w:val="32"/>
          <w:lang w:val="zh-CN"/>
        </w:rPr>
      </w:pPr>
      <w:r>
        <w:rPr>
          <w:rFonts w:hint="eastAsia" w:ascii="Times New Roman" w:hAnsi="Times New Roman" w:eastAsia="仿宋_GB2312"/>
          <w:sz w:val="32"/>
          <w:szCs w:val="32"/>
          <w:lang w:val="zh-CN"/>
        </w:rPr>
        <w:t>具体情况如下：</w:t>
      </w:r>
    </w:p>
    <w:p w14:paraId="1EFE6AA0">
      <w:pPr>
        <w:keepNext w:val="0"/>
        <w:keepLines w:val="0"/>
        <w:pageBreakBefore w:val="0"/>
        <w:wordWrap/>
        <w:overflowPunct/>
        <w:topLinePunct w:val="0"/>
        <w:bidi w:val="0"/>
        <w:spacing w:line="560" w:lineRule="exact"/>
        <w:ind w:firstLine="640" w:firstLineChars="200"/>
        <w:jc w:val="both"/>
        <w:textAlignment w:val="auto"/>
        <w:rPr>
          <w:rFonts w:ascii="Times New Roman" w:hAnsi="Times New Roman" w:eastAsia="仿宋_GB2312"/>
          <w:sz w:val="32"/>
          <w:szCs w:val="32"/>
          <w:lang w:val="zh-CN"/>
        </w:rPr>
      </w:pPr>
      <w:r>
        <w:rPr>
          <w:rFonts w:hint="eastAsia" w:ascii="Times New Roman" w:hAnsi="Times New Roman" w:eastAsia="仿宋_GB2312"/>
          <w:sz w:val="32"/>
          <w:szCs w:val="32"/>
          <w:lang w:val="zh-CN"/>
        </w:rPr>
        <w:t>因公出国（境）费支出0.00万元，开支内容包括</w:t>
      </w:r>
      <w:r>
        <w:rPr>
          <w:rFonts w:hint="eastAsia" w:ascii="Times New Roman" w:hAnsi="Times New Roman" w:eastAsia="仿宋_GB2312"/>
          <w:sz w:val="32"/>
          <w:szCs w:val="32"/>
        </w:rPr>
        <w:t>我单位无因公出国（境）费</w:t>
      </w:r>
      <w:r>
        <w:rPr>
          <w:rFonts w:hint="eastAsia" w:ascii="Times New Roman" w:hAnsi="Times New Roman" w:eastAsia="仿宋_GB2312"/>
          <w:sz w:val="32"/>
          <w:szCs w:val="32"/>
          <w:lang w:val="zh-CN"/>
        </w:rPr>
        <w:t>。单位全年安排的因公出国（境）团组0个，因公出国（境）0人次。</w:t>
      </w:r>
    </w:p>
    <w:p w14:paraId="4B24869E">
      <w:pPr>
        <w:keepNext w:val="0"/>
        <w:keepLines w:val="0"/>
        <w:pageBreakBefore w:val="0"/>
        <w:wordWrap/>
        <w:overflowPunct/>
        <w:topLinePunct w:val="0"/>
        <w:bidi w:val="0"/>
        <w:spacing w:line="560" w:lineRule="exact"/>
        <w:ind w:firstLine="640" w:firstLineChars="200"/>
        <w:jc w:val="both"/>
        <w:textAlignment w:val="auto"/>
        <w:rPr>
          <w:rFonts w:hint="default" w:ascii="Times New Roman" w:hAnsi="Times New Roman" w:eastAsia="仿宋_GB2312"/>
          <w:sz w:val="32"/>
          <w:szCs w:val="32"/>
          <w:highlight w:val="yellow"/>
          <w:lang w:val="en-US" w:eastAsia="zh-CN"/>
        </w:rPr>
      </w:pPr>
      <w:r>
        <w:rPr>
          <w:rFonts w:hint="eastAsia" w:ascii="Times New Roman" w:hAnsi="Times New Roman" w:eastAsia="仿宋_GB2312"/>
          <w:sz w:val="32"/>
          <w:szCs w:val="32"/>
          <w:lang w:val="zh-CN"/>
        </w:rPr>
        <w:t>公务用车购置及运行维护费6.00万元，其中：公务用车购置费0.00万元，公务用车运行维护费6.00万元。公务用车运行维护费开支内容包括</w:t>
      </w:r>
      <w:r>
        <w:rPr>
          <w:rFonts w:hint="eastAsia" w:ascii="Times New Roman" w:hAnsi="Times New Roman" w:eastAsia="仿宋_GB2312"/>
          <w:sz w:val="32"/>
          <w:szCs w:val="32"/>
        </w:rPr>
        <w:t>车辆燃油费、维修费</w:t>
      </w:r>
      <w:r>
        <w:rPr>
          <w:rFonts w:hint="eastAsia" w:ascii="Times New Roman" w:hAnsi="Times New Roman" w:eastAsia="仿宋_GB2312"/>
          <w:sz w:val="32"/>
          <w:szCs w:val="32"/>
          <w:lang w:val="zh-CN"/>
        </w:rPr>
        <w:t>。公务用车购置数0辆，公务用车保有量5辆。</w:t>
      </w:r>
      <w:r>
        <w:rPr>
          <w:rFonts w:hint="eastAsia" w:ascii="Times New Roman" w:hAnsi="Times New Roman" w:eastAsia="仿宋_GB2312"/>
          <w:sz w:val="32"/>
          <w:szCs w:val="32"/>
          <w:highlight w:val="none"/>
          <w:lang w:val="zh-CN"/>
        </w:rPr>
        <w:t>国有资产占用情况</w:t>
      </w:r>
      <w:r>
        <w:rPr>
          <w:rFonts w:hint="eastAsia" w:ascii="Times New Roman" w:hAnsi="Times New Roman" w:eastAsia="仿宋_GB2312"/>
          <w:sz w:val="32"/>
          <w:szCs w:val="32"/>
          <w:highlight w:val="none"/>
        </w:rPr>
        <w:t>中固定资产车辆</w:t>
      </w:r>
      <w:r>
        <w:rPr>
          <w:rFonts w:hint="eastAsia" w:ascii="Times New Roman" w:hAnsi="Times New Roman" w:eastAsia="仿宋_GB2312"/>
          <w:sz w:val="32"/>
          <w:szCs w:val="32"/>
          <w:highlight w:val="none"/>
          <w:lang w:val="zh-CN"/>
        </w:rPr>
        <w:t>5辆</w:t>
      </w:r>
      <w:r>
        <w:rPr>
          <w:rFonts w:hint="eastAsia" w:eastAsia="仿宋_GB2312"/>
          <w:sz w:val="32"/>
          <w:szCs w:val="32"/>
          <w:highlight w:val="none"/>
          <w:lang w:val="zh-CN"/>
        </w:rPr>
        <w:t>，</w:t>
      </w:r>
      <w:r>
        <w:rPr>
          <w:rFonts w:hint="eastAsia" w:ascii="仿宋_GB2312" w:eastAsia="仿宋_GB2312"/>
          <w:sz w:val="32"/>
          <w:szCs w:val="32"/>
          <w:highlight w:val="none"/>
          <w:lang w:val="en-US" w:eastAsia="zh-CN"/>
        </w:rPr>
        <w:t>与</w:t>
      </w:r>
      <w:r>
        <w:rPr>
          <w:rFonts w:hint="eastAsia" w:ascii="仿宋_GB2312" w:eastAsia="仿宋_GB2312"/>
          <w:sz w:val="32"/>
          <w:szCs w:val="32"/>
          <w:highlight w:val="none"/>
        </w:rPr>
        <w:t>公务用车</w:t>
      </w:r>
      <w:r>
        <w:rPr>
          <w:rFonts w:hint="eastAsia" w:ascii="仿宋_GB2312" w:eastAsia="仿宋_GB2312"/>
          <w:sz w:val="32"/>
          <w:szCs w:val="32"/>
          <w:highlight w:val="none"/>
          <w:lang w:val="en-US" w:eastAsia="zh-CN"/>
        </w:rPr>
        <w:t>保有量差异</w:t>
      </w:r>
      <w:r>
        <w:rPr>
          <w:rFonts w:hint="eastAsia" w:ascii="仿宋_GB2312" w:eastAsia="仿宋_GB2312"/>
          <w:sz w:val="32"/>
          <w:szCs w:val="32"/>
          <w:highlight w:val="none"/>
          <w:lang w:eastAsia="zh-CN"/>
        </w:rPr>
        <w:t>原因是</w:t>
      </w:r>
      <w:r>
        <w:rPr>
          <w:rFonts w:hint="eastAsia" w:ascii="仿宋_GB2312" w:eastAsia="仿宋_GB2312"/>
          <w:sz w:val="32"/>
          <w:szCs w:val="32"/>
          <w:highlight w:val="none"/>
        </w:rPr>
        <w:t>：</w:t>
      </w:r>
      <w:r>
        <w:rPr>
          <w:rFonts w:hint="eastAsia" w:ascii="仿宋_GB2312" w:eastAsia="仿宋_GB2312"/>
          <w:sz w:val="32"/>
          <w:szCs w:val="32"/>
          <w:highlight w:val="none"/>
          <w:lang w:eastAsia="zh-CN"/>
        </w:rPr>
        <w:t>无差异</w:t>
      </w:r>
      <w:r>
        <w:rPr>
          <w:rFonts w:hint="eastAsia" w:ascii="仿宋_GB2312" w:eastAsia="仿宋_GB2312"/>
          <w:sz w:val="32"/>
          <w:szCs w:val="32"/>
          <w:highlight w:val="none"/>
          <w:lang w:val="en-US" w:eastAsia="zh-CN"/>
        </w:rPr>
        <w:t>。</w:t>
      </w:r>
    </w:p>
    <w:p w14:paraId="776A9DEA">
      <w:pPr>
        <w:keepNext w:val="0"/>
        <w:keepLines w:val="0"/>
        <w:pageBreakBefore w:val="0"/>
        <w:wordWrap/>
        <w:overflowPunct/>
        <w:topLinePunct w:val="0"/>
        <w:bidi w:val="0"/>
        <w:spacing w:line="560" w:lineRule="exact"/>
        <w:ind w:firstLine="640" w:firstLineChars="200"/>
        <w:jc w:val="both"/>
        <w:textAlignment w:val="auto"/>
        <w:rPr>
          <w:rFonts w:ascii="Times New Roman" w:hAnsi="Times New Roman" w:eastAsia="仿宋_GB2312"/>
          <w:sz w:val="32"/>
          <w:szCs w:val="32"/>
          <w:lang w:val="zh-CN"/>
        </w:rPr>
      </w:pPr>
      <w:r>
        <w:rPr>
          <w:rFonts w:hint="eastAsia" w:ascii="Times New Roman" w:hAnsi="Times New Roman" w:eastAsia="仿宋_GB2312"/>
          <w:sz w:val="32"/>
          <w:szCs w:val="32"/>
          <w:lang w:val="zh-CN"/>
        </w:rPr>
        <w:t>公务接待费0.00万元，开支内容包括</w:t>
      </w:r>
      <w:r>
        <w:rPr>
          <w:rFonts w:hint="eastAsia" w:ascii="Times New Roman" w:hAnsi="Times New Roman" w:eastAsia="仿宋_GB2312"/>
          <w:sz w:val="32"/>
          <w:szCs w:val="32"/>
        </w:rPr>
        <w:t>我单位无公务接待费</w:t>
      </w:r>
      <w:r>
        <w:rPr>
          <w:rFonts w:hint="eastAsia" w:ascii="Times New Roman" w:hAnsi="Times New Roman" w:eastAsia="仿宋_GB2312"/>
          <w:sz w:val="32"/>
          <w:szCs w:val="32"/>
          <w:lang w:val="zh-CN"/>
        </w:rPr>
        <w:t>。单位全年安排的国内公务接待0批次，0人次。</w:t>
      </w:r>
    </w:p>
    <w:p w14:paraId="28C92836">
      <w:pPr>
        <w:keepNext w:val="0"/>
        <w:keepLines w:val="0"/>
        <w:pageBreakBefore w:val="0"/>
        <w:wordWrap/>
        <w:overflowPunct/>
        <w:topLinePunct w:val="0"/>
        <w:bidi w:val="0"/>
        <w:spacing w:line="560" w:lineRule="exact"/>
        <w:ind w:firstLine="640" w:firstLineChars="200"/>
        <w:jc w:val="both"/>
        <w:textAlignment w:val="auto"/>
        <w:rPr>
          <w:rFonts w:ascii="Times New Roman" w:hAnsi="Times New Roman" w:eastAsia="仿宋_GB2312"/>
          <w:sz w:val="32"/>
          <w:szCs w:val="32"/>
          <w:lang w:val="zh-CN"/>
        </w:rPr>
      </w:pPr>
      <w:r>
        <w:rPr>
          <w:rFonts w:hint="eastAsia" w:ascii="Times New Roman" w:hAnsi="Times New Roman" w:eastAsia="仿宋_GB2312"/>
          <w:sz w:val="32"/>
          <w:szCs w:val="32"/>
          <w:lang w:val="zh-CN"/>
        </w:rPr>
        <w:t>与</w:t>
      </w:r>
      <w:r>
        <w:rPr>
          <w:rFonts w:hint="eastAsia" w:ascii="Times New Roman" w:hAnsi="Times New Roman" w:eastAsia="仿宋_GB2312"/>
          <w:sz w:val="32"/>
          <w:szCs w:val="32"/>
        </w:rPr>
        <w:t>全年</w:t>
      </w:r>
      <w:r>
        <w:rPr>
          <w:rFonts w:hint="eastAsia" w:ascii="Times New Roman" w:hAnsi="Times New Roman" w:eastAsia="仿宋_GB2312"/>
          <w:sz w:val="32"/>
          <w:szCs w:val="32"/>
          <w:lang w:val="zh-CN"/>
        </w:rPr>
        <w:t>预算相比</w:t>
      </w:r>
      <w:r>
        <w:rPr>
          <w:rFonts w:hint="eastAsia" w:ascii="Times New Roman" w:hAnsi="Times New Roman" w:eastAsia="仿宋_GB2312"/>
          <w:sz w:val="32"/>
          <w:szCs w:val="32"/>
        </w:rPr>
        <w:t>,</w:t>
      </w:r>
      <w:r>
        <w:rPr>
          <w:rFonts w:hint="eastAsia" w:ascii="Times New Roman" w:hAnsi="Times New Roman" w:eastAsia="仿宋_GB2312"/>
          <w:sz w:val="32"/>
          <w:szCs w:val="32"/>
          <w:lang w:val="zh-CN"/>
        </w:rPr>
        <w:t>财政拨款“三公”经费支出</w:t>
      </w:r>
      <w:r>
        <w:rPr>
          <w:rFonts w:hint="eastAsia" w:ascii="Times New Roman" w:hAnsi="Times New Roman" w:eastAsia="仿宋_GB2312"/>
          <w:sz w:val="32"/>
          <w:szCs w:val="32"/>
        </w:rPr>
        <w:t>全年</w:t>
      </w:r>
      <w:r>
        <w:rPr>
          <w:rFonts w:hint="eastAsia" w:ascii="Times New Roman" w:hAnsi="Times New Roman" w:eastAsia="仿宋_GB2312"/>
          <w:sz w:val="32"/>
          <w:szCs w:val="32"/>
          <w:lang w:val="zh-CN"/>
        </w:rPr>
        <w:t>预算数6.00万元，决算数6.00万元，预决算差异率0.00%，主要原因是：</w:t>
      </w:r>
      <w:r>
        <w:rPr>
          <w:rFonts w:hint="eastAsia" w:ascii="Times New Roman" w:hAnsi="Times New Roman" w:eastAsia="仿宋_GB2312"/>
          <w:sz w:val="32"/>
          <w:szCs w:val="32"/>
        </w:rPr>
        <w:t>预决算一致，无差异</w:t>
      </w:r>
      <w:r>
        <w:rPr>
          <w:rFonts w:hint="eastAsia" w:ascii="Times New Roman" w:hAnsi="Times New Roman" w:eastAsia="仿宋_GB2312"/>
          <w:sz w:val="32"/>
          <w:szCs w:val="32"/>
          <w:lang w:val="zh-CN"/>
        </w:rPr>
        <w:t>。其中：因公出国（境）费</w:t>
      </w:r>
      <w:r>
        <w:rPr>
          <w:rFonts w:hint="eastAsia" w:ascii="Times New Roman" w:hAnsi="Times New Roman" w:eastAsia="仿宋_GB2312"/>
          <w:sz w:val="32"/>
          <w:szCs w:val="32"/>
        </w:rPr>
        <w:t>全年预算数</w:t>
      </w:r>
      <w:r>
        <w:rPr>
          <w:rFonts w:hint="eastAsia" w:ascii="Times New Roman" w:hAnsi="Times New Roman" w:eastAsia="仿宋_GB2312"/>
          <w:sz w:val="32"/>
          <w:szCs w:val="32"/>
          <w:lang w:val="zh-CN"/>
        </w:rPr>
        <w:t>0.00万元，决算数0.00万元，预决算差异率0.00%，主要原因是：</w:t>
      </w:r>
      <w:r>
        <w:rPr>
          <w:rFonts w:hint="eastAsia" w:ascii="Times New Roman" w:hAnsi="Times New Roman" w:eastAsia="仿宋_GB2312"/>
          <w:sz w:val="32"/>
          <w:szCs w:val="32"/>
        </w:rPr>
        <w:t>我单位无因公出国（境）费</w:t>
      </w:r>
      <w:r>
        <w:rPr>
          <w:rFonts w:hint="eastAsia" w:ascii="Times New Roman" w:hAnsi="Times New Roman" w:eastAsia="仿宋_GB2312"/>
          <w:sz w:val="32"/>
          <w:szCs w:val="32"/>
          <w:lang w:val="zh-CN"/>
        </w:rPr>
        <w:t>；公务用车购置费</w:t>
      </w:r>
      <w:r>
        <w:rPr>
          <w:rFonts w:hint="eastAsia" w:ascii="Times New Roman" w:hAnsi="Times New Roman" w:eastAsia="仿宋_GB2312"/>
          <w:sz w:val="32"/>
          <w:szCs w:val="32"/>
        </w:rPr>
        <w:t>全年</w:t>
      </w:r>
      <w:r>
        <w:rPr>
          <w:rFonts w:hint="eastAsia" w:ascii="Times New Roman" w:hAnsi="Times New Roman" w:eastAsia="仿宋_GB2312"/>
          <w:sz w:val="32"/>
          <w:szCs w:val="32"/>
          <w:lang w:val="zh-CN"/>
        </w:rPr>
        <w:t>预算数0.00万元，决算数0.00万元，预决算差异率0.00%，主要原因是：</w:t>
      </w:r>
      <w:r>
        <w:rPr>
          <w:rFonts w:hint="eastAsia" w:ascii="Times New Roman" w:hAnsi="Times New Roman" w:eastAsia="仿宋_GB2312"/>
          <w:sz w:val="32"/>
          <w:szCs w:val="32"/>
        </w:rPr>
        <w:t>我单位无公务用车购置费</w:t>
      </w:r>
      <w:r>
        <w:rPr>
          <w:rFonts w:hint="eastAsia" w:ascii="Times New Roman" w:hAnsi="Times New Roman" w:eastAsia="仿宋_GB2312"/>
          <w:sz w:val="32"/>
          <w:szCs w:val="32"/>
          <w:lang w:val="zh-CN"/>
        </w:rPr>
        <w:t>；公务用车运行费</w:t>
      </w:r>
      <w:r>
        <w:rPr>
          <w:rFonts w:hint="eastAsia" w:ascii="Times New Roman" w:hAnsi="Times New Roman" w:eastAsia="仿宋_GB2312"/>
          <w:sz w:val="32"/>
          <w:szCs w:val="32"/>
        </w:rPr>
        <w:t>全年</w:t>
      </w:r>
      <w:r>
        <w:rPr>
          <w:rFonts w:hint="eastAsia" w:ascii="Times New Roman" w:hAnsi="Times New Roman" w:eastAsia="仿宋_GB2312"/>
          <w:sz w:val="32"/>
          <w:szCs w:val="32"/>
          <w:lang w:val="zh-CN"/>
        </w:rPr>
        <w:t>预算数6.00万元，决算数6.00万元，预决算差异率0.00%，主要原因是：</w:t>
      </w:r>
      <w:r>
        <w:rPr>
          <w:rFonts w:hint="eastAsia" w:ascii="Times New Roman" w:hAnsi="Times New Roman" w:eastAsia="仿宋_GB2312"/>
          <w:sz w:val="32"/>
          <w:szCs w:val="32"/>
        </w:rPr>
        <w:t>预决算一致，无差异</w:t>
      </w:r>
      <w:r>
        <w:rPr>
          <w:rFonts w:hint="eastAsia" w:ascii="Times New Roman" w:hAnsi="Times New Roman" w:eastAsia="仿宋_GB2312"/>
          <w:sz w:val="32"/>
          <w:szCs w:val="32"/>
          <w:lang w:val="zh-CN"/>
        </w:rPr>
        <w:t>；公务接待费</w:t>
      </w:r>
      <w:r>
        <w:rPr>
          <w:rFonts w:hint="eastAsia" w:ascii="Times New Roman" w:hAnsi="Times New Roman" w:eastAsia="仿宋_GB2312"/>
          <w:sz w:val="32"/>
          <w:szCs w:val="32"/>
        </w:rPr>
        <w:t>全年</w:t>
      </w:r>
      <w:r>
        <w:rPr>
          <w:rFonts w:hint="eastAsia" w:ascii="Times New Roman" w:hAnsi="Times New Roman" w:eastAsia="仿宋_GB2312"/>
          <w:sz w:val="32"/>
          <w:szCs w:val="32"/>
          <w:lang w:val="zh-CN"/>
        </w:rPr>
        <w:t>预算数0.00万元，决算数0.00万元，预决算差异率0.00%，主要原因是：</w:t>
      </w:r>
      <w:r>
        <w:rPr>
          <w:rFonts w:hint="eastAsia" w:ascii="Times New Roman" w:hAnsi="Times New Roman" w:eastAsia="仿宋_GB2312"/>
          <w:sz w:val="32"/>
          <w:szCs w:val="32"/>
        </w:rPr>
        <w:t>我单位无公务接待费</w:t>
      </w:r>
      <w:r>
        <w:rPr>
          <w:rFonts w:hint="eastAsia" w:ascii="Times New Roman" w:hAnsi="Times New Roman" w:eastAsia="仿宋_GB2312"/>
          <w:sz w:val="32"/>
          <w:szCs w:val="32"/>
          <w:lang w:val="zh-CN"/>
        </w:rPr>
        <w:t>。</w:t>
      </w:r>
    </w:p>
    <w:p w14:paraId="3AB345CE">
      <w:pPr>
        <w:keepNext w:val="0"/>
        <w:keepLines w:val="0"/>
        <w:pageBreakBefore w:val="0"/>
        <w:wordWrap/>
        <w:overflowPunct/>
        <w:topLinePunct w:val="0"/>
        <w:bidi w:val="0"/>
        <w:spacing w:line="560" w:lineRule="exact"/>
        <w:ind w:firstLine="640" w:firstLineChars="200"/>
        <w:jc w:val="both"/>
        <w:textAlignment w:val="auto"/>
        <w:outlineLvl w:val="1"/>
        <w:rPr>
          <w:rFonts w:ascii="Times New Roman" w:hAnsi="Times New Roman" w:eastAsia="黑体" w:cs="宋体"/>
          <w:bCs/>
          <w:kern w:val="0"/>
          <w:sz w:val="32"/>
          <w:szCs w:val="32"/>
        </w:rPr>
      </w:pPr>
      <w:bookmarkStart w:id="18" w:name="_Toc7927"/>
      <w:bookmarkStart w:id="19" w:name="_Toc5810"/>
      <w:r>
        <w:rPr>
          <w:rFonts w:hint="eastAsia" w:ascii="Times New Roman" w:hAnsi="Times New Roman" w:eastAsia="黑体" w:cs="宋体"/>
          <w:bCs/>
          <w:kern w:val="0"/>
          <w:sz w:val="32"/>
          <w:szCs w:val="32"/>
        </w:rPr>
        <w:t>八、政府性基金预算财政拨款收入支出决算情况说明</w:t>
      </w:r>
      <w:bookmarkEnd w:id="18"/>
      <w:bookmarkEnd w:id="19"/>
    </w:p>
    <w:p w14:paraId="440F5FA5">
      <w:pPr>
        <w:keepNext w:val="0"/>
        <w:keepLines w:val="0"/>
        <w:pageBreakBefore w:val="0"/>
        <w:wordWrap/>
        <w:overflowPunct/>
        <w:topLinePunct w:val="0"/>
        <w:bidi w:val="0"/>
        <w:spacing w:line="560" w:lineRule="exact"/>
        <w:ind w:firstLine="640" w:firstLineChars="200"/>
        <w:jc w:val="both"/>
        <w:textAlignment w:val="auto"/>
        <w:rPr>
          <w:rFonts w:ascii="Times New Roman" w:hAnsi="Times New Roman" w:eastAsia="仿宋_GB2312"/>
          <w:sz w:val="32"/>
          <w:szCs w:val="32"/>
        </w:rPr>
      </w:pPr>
      <w:r>
        <w:rPr>
          <w:rFonts w:hint="eastAsia" w:ascii="Times New Roman" w:hAnsi="Times New Roman" w:eastAsia="仿宋_GB2312"/>
          <w:sz w:val="32"/>
          <w:szCs w:val="32"/>
        </w:rPr>
        <w:t>我单位本年度无政府性基金预算财政拨款收入、支出及结转和结余，政府性基金预算财政拨款收入支出决算表为空表。</w:t>
      </w:r>
    </w:p>
    <w:p w14:paraId="64BDA126">
      <w:pPr>
        <w:keepNext w:val="0"/>
        <w:keepLines w:val="0"/>
        <w:pageBreakBefore w:val="0"/>
        <w:wordWrap/>
        <w:overflowPunct/>
        <w:topLinePunct w:val="0"/>
        <w:bidi w:val="0"/>
        <w:spacing w:line="560" w:lineRule="exact"/>
        <w:ind w:firstLine="640" w:firstLineChars="200"/>
        <w:jc w:val="both"/>
        <w:textAlignment w:val="auto"/>
        <w:outlineLvl w:val="1"/>
        <w:rPr>
          <w:rFonts w:ascii="Times New Roman" w:hAnsi="Times New Roman" w:eastAsia="黑体" w:cs="宋体"/>
          <w:bCs/>
          <w:kern w:val="0"/>
          <w:sz w:val="32"/>
          <w:szCs w:val="32"/>
        </w:rPr>
      </w:pPr>
      <w:r>
        <w:rPr>
          <w:rFonts w:hint="eastAsia" w:ascii="Times New Roman" w:hAnsi="Times New Roman" w:eastAsia="黑体" w:cs="宋体"/>
          <w:bCs/>
          <w:kern w:val="0"/>
          <w:sz w:val="32"/>
          <w:szCs w:val="32"/>
        </w:rPr>
        <w:t>九、国有资本经营预算财政拨款收入支出决算情况说明</w:t>
      </w:r>
    </w:p>
    <w:p w14:paraId="2AD28AAF">
      <w:pPr>
        <w:keepNext w:val="0"/>
        <w:keepLines w:val="0"/>
        <w:pageBreakBefore w:val="0"/>
        <w:wordWrap/>
        <w:overflowPunct/>
        <w:topLinePunct w:val="0"/>
        <w:bidi w:val="0"/>
        <w:spacing w:line="560" w:lineRule="exact"/>
        <w:ind w:firstLine="640" w:firstLineChars="200"/>
        <w:jc w:val="both"/>
        <w:textAlignment w:val="auto"/>
        <w:rPr>
          <w:rFonts w:ascii="Times New Roman" w:hAnsi="Times New Roman" w:eastAsia="仿宋_GB2312"/>
          <w:sz w:val="32"/>
          <w:szCs w:val="32"/>
        </w:rPr>
      </w:pPr>
      <w:r>
        <w:rPr>
          <w:rFonts w:hint="eastAsia" w:ascii="Times New Roman" w:hAnsi="Times New Roman" w:eastAsia="仿宋_GB2312"/>
          <w:sz w:val="32"/>
          <w:szCs w:val="32"/>
        </w:rPr>
        <w:t>我单位本年度无国有资本经营预算财政拨款收入、支出及结转和结余，国有资本经营预算财政拨款收入支出决算表为空表。</w:t>
      </w:r>
    </w:p>
    <w:p w14:paraId="538C57F8">
      <w:pPr>
        <w:keepNext w:val="0"/>
        <w:keepLines w:val="0"/>
        <w:pageBreakBefore w:val="0"/>
        <w:wordWrap/>
        <w:overflowPunct/>
        <w:topLinePunct w:val="0"/>
        <w:bidi w:val="0"/>
        <w:spacing w:line="560" w:lineRule="exact"/>
        <w:ind w:firstLine="640" w:firstLineChars="200"/>
        <w:jc w:val="both"/>
        <w:textAlignment w:val="auto"/>
        <w:outlineLvl w:val="1"/>
        <w:rPr>
          <w:rFonts w:ascii="Times New Roman" w:hAnsi="Times New Roman" w:eastAsia="黑体" w:cs="宋体"/>
          <w:bCs/>
          <w:kern w:val="0"/>
          <w:sz w:val="32"/>
          <w:szCs w:val="32"/>
        </w:rPr>
      </w:pPr>
      <w:bookmarkStart w:id="20" w:name="_Toc7314"/>
      <w:bookmarkStart w:id="21" w:name="_Toc1235"/>
      <w:r>
        <w:rPr>
          <w:rFonts w:hint="eastAsia" w:ascii="Times New Roman" w:hAnsi="Times New Roman" w:eastAsia="黑体" w:cs="宋体"/>
          <w:bCs/>
          <w:kern w:val="0"/>
          <w:sz w:val="32"/>
          <w:szCs w:val="32"/>
        </w:rPr>
        <w:t>十、其他重要事项的情况说明</w:t>
      </w:r>
      <w:bookmarkEnd w:id="20"/>
      <w:bookmarkEnd w:id="21"/>
    </w:p>
    <w:p w14:paraId="2682DA87">
      <w:pPr>
        <w:keepNext w:val="0"/>
        <w:keepLines w:val="0"/>
        <w:pageBreakBefore w:val="0"/>
        <w:wordWrap/>
        <w:overflowPunct/>
        <w:topLinePunct w:val="0"/>
        <w:bidi w:val="0"/>
        <w:spacing w:line="560" w:lineRule="exact"/>
        <w:ind w:firstLine="640" w:firstLineChars="200"/>
        <w:jc w:val="both"/>
        <w:textAlignment w:val="auto"/>
        <w:outlineLvl w:val="2"/>
        <w:rPr>
          <w:rFonts w:ascii="Times New Roman" w:hAnsi="Times New Roman" w:eastAsia="黑体"/>
          <w:sz w:val="32"/>
          <w:szCs w:val="32"/>
        </w:rPr>
      </w:pPr>
      <w:bookmarkStart w:id="22" w:name="_Toc13105"/>
      <w:bookmarkStart w:id="23" w:name="_Toc14519"/>
      <w:r>
        <w:rPr>
          <w:rFonts w:hint="eastAsia" w:ascii="Times New Roman" w:hAnsi="Times New Roman" w:eastAsia="黑体"/>
          <w:sz w:val="32"/>
          <w:szCs w:val="32"/>
        </w:rPr>
        <w:t>（一）机关运行经费支出情况</w:t>
      </w:r>
      <w:bookmarkEnd w:id="22"/>
      <w:bookmarkEnd w:id="23"/>
    </w:p>
    <w:p w14:paraId="41EC7017">
      <w:pPr>
        <w:keepNext w:val="0"/>
        <w:keepLines w:val="0"/>
        <w:pageBreakBefore w:val="0"/>
        <w:wordWrap/>
        <w:overflowPunct/>
        <w:topLinePunct w:val="0"/>
        <w:bidi w:val="0"/>
        <w:spacing w:line="560" w:lineRule="exact"/>
        <w:ind w:firstLine="640" w:firstLineChars="200"/>
        <w:jc w:val="both"/>
        <w:textAlignment w:val="auto"/>
        <w:outlineLvl w:val="2"/>
        <w:rPr>
          <w:rFonts w:ascii="Times New Roman" w:hAnsi="Times New Roman" w:eastAsia="黑体"/>
          <w:sz w:val="32"/>
          <w:szCs w:val="32"/>
          <w:highlight w:val="none"/>
        </w:rPr>
      </w:pPr>
      <w:bookmarkStart w:id="24" w:name="_Toc227"/>
      <w:bookmarkStart w:id="25" w:name="_Toc26704"/>
      <w:bookmarkStart w:id="48" w:name="_GoBack"/>
      <w:r>
        <w:rPr>
          <w:rFonts w:hint="eastAsia" w:ascii="Times New Roman" w:hAnsi="Times New Roman" w:eastAsia="仿宋_GB2312"/>
          <w:sz w:val="32"/>
          <w:szCs w:val="32"/>
          <w:highlight w:val="none"/>
          <w:lang w:val="zh-CN"/>
        </w:rPr>
        <w:t>2023年度</w:t>
      </w:r>
      <w:r>
        <w:rPr>
          <w:rFonts w:hint="eastAsia" w:ascii="Times New Roman" w:hAnsi="Times New Roman" w:eastAsia="仿宋_GB2312"/>
          <w:sz w:val="32"/>
          <w:szCs w:val="32"/>
          <w:highlight w:val="none"/>
        </w:rPr>
        <w:t>新疆维吾尔自治区农村饮水安全管理总站（行政单位和参照公务员法管理事业单位）机关运行经费支出15.37万元，比上年增加3.91万元，增长34.</w:t>
      </w:r>
      <w:r>
        <w:rPr>
          <w:rFonts w:hint="eastAsia" w:eastAsia="仿宋_GB2312"/>
          <w:sz w:val="32"/>
          <w:szCs w:val="32"/>
          <w:highlight w:val="none"/>
          <w:lang w:val="en-US" w:eastAsia="zh-CN"/>
        </w:rPr>
        <w:t>12</w:t>
      </w:r>
      <w:r>
        <w:rPr>
          <w:rFonts w:hint="eastAsia" w:ascii="Times New Roman" w:hAnsi="Times New Roman" w:eastAsia="仿宋_GB2312"/>
          <w:sz w:val="32"/>
          <w:szCs w:val="32"/>
          <w:highlight w:val="none"/>
        </w:rPr>
        <w:t>%,主要原因是：本年新入职一名职工及2023年工资有所增长，相应的公用经费支出有所增加。</w:t>
      </w:r>
    </w:p>
    <w:bookmarkEnd w:id="48"/>
    <w:p w14:paraId="33B57D2A">
      <w:pPr>
        <w:keepNext w:val="0"/>
        <w:keepLines w:val="0"/>
        <w:pageBreakBefore w:val="0"/>
        <w:wordWrap/>
        <w:overflowPunct/>
        <w:topLinePunct w:val="0"/>
        <w:bidi w:val="0"/>
        <w:spacing w:line="560" w:lineRule="exact"/>
        <w:ind w:firstLine="640" w:firstLineChars="200"/>
        <w:jc w:val="both"/>
        <w:textAlignment w:val="auto"/>
        <w:rPr>
          <w:rFonts w:ascii="Times New Roman" w:hAnsi="Times New Roman" w:eastAsia="黑体"/>
          <w:sz w:val="32"/>
          <w:szCs w:val="30"/>
          <w:lang w:val="zh-CN"/>
        </w:rPr>
      </w:pPr>
      <w:r>
        <w:rPr>
          <w:rFonts w:hint="eastAsia" w:ascii="Times New Roman" w:hAnsi="Times New Roman" w:eastAsia="黑体"/>
          <w:sz w:val="32"/>
          <w:szCs w:val="30"/>
          <w:lang w:val="zh-CN"/>
        </w:rPr>
        <w:t>（二）政府采购情况</w:t>
      </w:r>
      <w:bookmarkEnd w:id="24"/>
      <w:bookmarkEnd w:id="25"/>
    </w:p>
    <w:p w14:paraId="099C94F3">
      <w:pPr>
        <w:keepNext w:val="0"/>
        <w:keepLines w:val="0"/>
        <w:pageBreakBefore w:val="0"/>
        <w:wordWrap/>
        <w:overflowPunct/>
        <w:topLinePunct w:val="0"/>
        <w:bidi w:val="0"/>
        <w:spacing w:line="560" w:lineRule="exact"/>
        <w:ind w:firstLine="640" w:firstLineChars="200"/>
        <w:jc w:val="both"/>
        <w:textAlignment w:val="auto"/>
        <w:rPr>
          <w:rFonts w:ascii="Times New Roman" w:hAnsi="Times New Roman" w:eastAsia="仿宋_GB2312"/>
          <w:sz w:val="32"/>
          <w:szCs w:val="32"/>
          <w:lang w:val="zh-CN"/>
        </w:rPr>
      </w:pPr>
      <w:r>
        <w:rPr>
          <w:rFonts w:hint="eastAsia" w:ascii="Times New Roman" w:hAnsi="Times New Roman" w:eastAsia="仿宋_GB2312"/>
          <w:sz w:val="32"/>
          <w:szCs w:val="32"/>
          <w:lang w:val="zh-CN"/>
        </w:rPr>
        <w:t>2023年度政府采购支出总额225.68万元，其中：政府采购货物支出3.61万元、政府采购工程支出0.00万元、政府采购服务支出222.07万元。</w:t>
      </w:r>
    </w:p>
    <w:p w14:paraId="2CD4D2C5">
      <w:pPr>
        <w:keepNext w:val="0"/>
        <w:keepLines w:val="0"/>
        <w:pageBreakBefore w:val="0"/>
        <w:wordWrap/>
        <w:overflowPunct/>
        <w:topLinePunct w:val="0"/>
        <w:bidi w:val="0"/>
        <w:spacing w:line="560" w:lineRule="exact"/>
        <w:ind w:firstLine="640" w:firstLineChars="200"/>
        <w:jc w:val="both"/>
        <w:textAlignment w:val="auto"/>
        <w:rPr>
          <w:rFonts w:ascii="Times New Roman" w:hAnsi="Times New Roman" w:eastAsia="仿宋_GB2312"/>
          <w:sz w:val="32"/>
          <w:szCs w:val="32"/>
        </w:rPr>
      </w:pPr>
      <w:r>
        <w:rPr>
          <w:rFonts w:hint="eastAsia" w:ascii="Times New Roman" w:hAnsi="Times New Roman" w:eastAsia="仿宋_GB2312"/>
          <w:sz w:val="32"/>
          <w:szCs w:val="32"/>
          <w:lang w:val="zh-CN"/>
        </w:rPr>
        <w:t>授予中小企业合同金额225.68万元，占政府采购支出总额的100.00</w:t>
      </w:r>
      <w:r>
        <w:rPr>
          <w:rFonts w:ascii="Times New Roman" w:hAnsi="Times New Roman" w:eastAsia="仿宋_GB2312"/>
          <w:sz w:val="32"/>
          <w:szCs w:val="32"/>
          <w:lang w:val="zh-CN"/>
        </w:rPr>
        <w:t>%</w:t>
      </w:r>
      <w:r>
        <w:rPr>
          <w:rFonts w:hint="eastAsia" w:ascii="Times New Roman" w:hAnsi="Times New Roman" w:eastAsia="仿宋_GB2312"/>
          <w:sz w:val="32"/>
          <w:szCs w:val="32"/>
          <w:lang w:val="zh-CN"/>
        </w:rPr>
        <w:t>，其中：授予小微企业合同金额225.68万元，占政府采购支出总额的100.00</w:t>
      </w:r>
      <w:r>
        <w:rPr>
          <w:rFonts w:ascii="Times New Roman" w:hAnsi="Times New Roman" w:eastAsia="仿宋_GB2312"/>
          <w:sz w:val="32"/>
          <w:szCs w:val="32"/>
          <w:lang w:val="zh-CN"/>
        </w:rPr>
        <w:t>%</w:t>
      </w:r>
      <w:r>
        <w:rPr>
          <w:rFonts w:hint="eastAsia" w:ascii="Times New Roman" w:hAnsi="Times New Roman" w:eastAsia="仿宋_GB2312"/>
          <w:sz w:val="32"/>
          <w:szCs w:val="32"/>
        </w:rPr>
        <w:t>。</w:t>
      </w:r>
    </w:p>
    <w:p w14:paraId="3AD97E1F">
      <w:pPr>
        <w:keepNext w:val="0"/>
        <w:keepLines w:val="0"/>
        <w:pageBreakBefore w:val="0"/>
        <w:wordWrap/>
        <w:overflowPunct/>
        <w:topLinePunct w:val="0"/>
        <w:bidi w:val="0"/>
        <w:spacing w:line="560" w:lineRule="exact"/>
        <w:ind w:firstLine="640" w:firstLineChars="200"/>
        <w:jc w:val="both"/>
        <w:textAlignment w:val="auto"/>
        <w:rPr>
          <w:rFonts w:ascii="Times New Roman" w:hAnsi="Times New Roman" w:eastAsia="黑体"/>
          <w:sz w:val="32"/>
          <w:szCs w:val="30"/>
          <w:lang w:val="zh-CN"/>
        </w:rPr>
      </w:pPr>
      <w:bookmarkStart w:id="26" w:name="_Toc8391"/>
      <w:bookmarkStart w:id="27" w:name="_Toc4591"/>
      <w:r>
        <w:rPr>
          <w:rFonts w:hint="eastAsia" w:ascii="Times New Roman" w:hAnsi="Times New Roman" w:eastAsia="黑体"/>
          <w:sz w:val="32"/>
          <w:szCs w:val="30"/>
          <w:lang w:val="zh-CN"/>
        </w:rPr>
        <w:t>（三）国有资产占用情况说明</w:t>
      </w:r>
      <w:bookmarkEnd w:id="26"/>
      <w:bookmarkEnd w:id="27"/>
    </w:p>
    <w:p w14:paraId="53344195">
      <w:pPr>
        <w:keepNext w:val="0"/>
        <w:keepLines w:val="0"/>
        <w:pageBreakBefore w:val="0"/>
        <w:wordWrap/>
        <w:overflowPunct/>
        <w:topLinePunct w:val="0"/>
        <w:bidi w:val="0"/>
        <w:spacing w:line="560" w:lineRule="exact"/>
        <w:ind w:firstLine="640" w:firstLineChars="200"/>
        <w:jc w:val="both"/>
        <w:textAlignment w:val="auto"/>
        <w:outlineLvl w:val="1"/>
        <w:rPr>
          <w:rFonts w:hint="eastAsia" w:ascii="Times New Roman" w:hAnsi="Times New Roman" w:eastAsia="仿宋_GB2312"/>
          <w:sz w:val="32"/>
          <w:szCs w:val="32"/>
          <w:lang w:val="zh-CN"/>
        </w:rPr>
      </w:pPr>
      <w:r>
        <w:rPr>
          <w:rFonts w:hint="eastAsia" w:ascii="Times New Roman" w:hAnsi="Times New Roman" w:eastAsia="仿宋_GB2312"/>
          <w:sz w:val="32"/>
          <w:szCs w:val="32"/>
        </w:rPr>
        <w:t>截至2023</w:t>
      </w:r>
      <w:r>
        <w:rPr>
          <w:rFonts w:hint="eastAsia" w:ascii="Times New Roman" w:hAnsi="Times New Roman" w:eastAsia="仿宋_GB2312"/>
          <w:sz w:val="32"/>
          <w:szCs w:val="32"/>
          <w:lang w:val="zh-CN"/>
        </w:rPr>
        <w:t>年</w:t>
      </w:r>
      <w:r>
        <w:rPr>
          <w:rFonts w:hint="eastAsia" w:ascii="Times New Roman" w:hAnsi="Times New Roman" w:eastAsia="仿宋_GB2312"/>
          <w:sz w:val="32"/>
          <w:szCs w:val="32"/>
        </w:rPr>
        <w:t>12月31日</w:t>
      </w:r>
      <w:r>
        <w:rPr>
          <w:rFonts w:hint="eastAsia" w:ascii="Times New Roman" w:hAnsi="Times New Roman" w:eastAsia="仿宋_GB2312"/>
          <w:sz w:val="32"/>
          <w:szCs w:val="32"/>
          <w:lang w:val="zh-CN"/>
        </w:rPr>
        <w:t>，</w:t>
      </w:r>
      <w:r>
        <w:rPr>
          <w:rFonts w:hint="eastAsia" w:ascii="Times New Roman" w:hAnsi="Times New Roman" w:eastAsia="仿宋_GB2312"/>
          <w:sz w:val="32"/>
          <w:szCs w:val="32"/>
        </w:rPr>
        <w:t>固定资产原值</w:t>
      </w:r>
      <w:r>
        <w:rPr>
          <w:rFonts w:hint="eastAsia" w:ascii="Times New Roman" w:hAnsi="Times New Roman" w:eastAsia="仿宋_GB2312"/>
          <w:sz w:val="32"/>
          <w:szCs w:val="32"/>
          <w:lang w:val="zh-CN"/>
        </w:rPr>
        <w:t>202.02</w:t>
      </w:r>
      <w:r>
        <w:rPr>
          <w:rFonts w:hint="eastAsia" w:ascii="Times New Roman" w:hAnsi="Times New Roman" w:eastAsia="仿宋_GB2312"/>
          <w:sz w:val="32"/>
          <w:szCs w:val="32"/>
        </w:rPr>
        <w:t>万元，房</w:t>
      </w:r>
      <w:r>
        <w:rPr>
          <w:rFonts w:hint="eastAsia" w:ascii="Times New Roman" w:hAnsi="Times New Roman" w:eastAsia="仿宋_GB2312"/>
          <w:sz w:val="32"/>
          <w:szCs w:val="32"/>
          <w:lang w:val="zh-CN"/>
        </w:rPr>
        <w:t>屋53.33平方米，价值8.82万元。车辆5辆，价值151.33万元，其中：副部（省）级及以上领导用车0辆、主要</w:t>
      </w:r>
      <w:r>
        <w:rPr>
          <w:rFonts w:hint="eastAsia" w:ascii="Times New Roman" w:hAnsi="Times New Roman" w:eastAsia="仿宋_GB2312"/>
          <w:sz w:val="32"/>
          <w:szCs w:val="32"/>
        </w:rPr>
        <w:t>负责人</w:t>
      </w:r>
      <w:r>
        <w:rPr>
          <w:rFonts w:hint="eastAsia" w:ascii="Times New Roman" w:hAnsi="Times New Roman" w:eastAsia="仿宋_GB2312"/>
          <w:sz w:val="32"/>
          <w:szCs w:val="32"/>
          <w:lang w:val="zh-CN"/>
        </w:rPr>
        <w:t>用车0辆、机要通信用车0辆、应急保障用车0辆、执法执勤用车0辆、特种专业技术用车0辆、离退休干部</w:t>
      </w:r>
      <w:r>
        <w:rPr>
          <w:rFonts w:hint="eastAsia" w:ascii="Times New Roman" w:hAnsi="Times New Roman" w:eastAsia="仿宋_GB2312"/>
          <w:sz w:val="32"/>
          <w:szCs w:val="32"/>
        </w:rPr>
        <w:t>服务</w:t>
      </w:r>
      <w:r>
        <w:rPr>
          <w:rFonts w:hint="eastAsia" w:ascii="Times New Roman" w:hAnsi="Times New Roman" w:eastAsia="仿宋_GB2312"/>
          <w:sz w:val="32"/>
          <w:szCs w:val="32"/>
          <w:lang w:val="zh-CN"/>
        </w:rPr>
        <w:t>用车0辆、其他用车5辆，其他用车主要是：</w:t>
      </w:r>
      <w:r>
        <w:rPr>
          <w:rFonts w:hint="eastAsia" w:ascii="Times New Roman" w:hAnsi="Times New Roman" w:eastAsia="仿宋_GB2312"/>
          <w:sz w:val="32"/>
          <w:szCs w:val="32"/>
        </w:rPr>
        <w:t>业务专用车</w:t>
      </w:r>
      <w:r>
        <w:rPr>
          <w:rFonts w:hint="eastAsia" w:ascii="Times New Roman" w:hAnsi="Times New Roman" w:eastAsia="仿宋_GB2312"/>
          <w:sz w:val="32"/>
          <w:szCs w:val="32"/>
          <w:lang w:val="zh-CN"/>
        </w:rPr>
        <w:t>；单价100万元（含）以上设备（不含车辆）0</w:t>
      </w:r>
      <w:r>
        <w:rPr>
          <w:rFonts w:hint="eastAsia" w:ascii="Times New Roman" w:hAnsi="Times New Roman" w:eastAsia="仿宋_GB2312"/>
          <w:sz w:val="32"/>
          <w:szCs w:val="32"/>
        </w:rPr>
        <w:t>台（</w:t>
      </w:r>
      <w:r>
        <w:rPr>
          <w:rFonts w:hint="eastAsia" w:ascii="Times New Roman" w:hAnsi="Times New Roman" w:eastAsia="仿宋_GB2312"/>
          <w:sz w:val="32"/>
          <w:szCs w:val="32"/>
          <w:lang w:val="zh-CN"/>
        </w:rPr>
        <w:t>套）。</w:t>
      </w:r>
      <w:bookmarkStart w:id="28" w:name="_Toc11283"/>
      <w:bookmarkStart w:id="29" w:name="_Toc435"/>
    </w:p>
    <w:p w14:paraId="5CACE46D">
      <w:pPr>
        <w:keepNext w:val="0"/>
        <w:keepLines w:val="0"/>
        <w:pageBreakBefore w:val="0"/>
        <w:wordWrap/>
        <w:overflowPunct/>
        <w:topLinePunct w:val="0"/>
        <w:bidi w:val="0"/>
        <w:spacing w:line="560" w:lineRule="exact"/>
        <w:ind w:firstLine="640" w:firstLineChars="200"/>
        <w:jc w:val="both"/>
        <w:textAlignment w:val="auto"/>
        <w:outlineLvl w:val="1"/>
        <w:rPr>
          <w:rFonts w:ascii="Times New Roman" w:hAnsi="Times New Roman" w:eastAsia="黑体" w:cs="宋体"/>
          <w:bCs/>
          <w:kern w:val="0"/>
          <w:sz w:val="32"/>
          <w:szCs w:val="32"/>
        </w:rPr>
      </w:pPr>
      <w:r>
        <w:rPr>
          <w:rFonts w:hint="eastAsia" w:ascii="Times New Roman" w:hAnsi="Times New Roman" w:eastAsia="黑体" w:cs="宋体"/>
          <w:bCs/>
          <w:kern w:val="0"/>
          <w:sz w:val="32"/>
          <w:szCs w:val="32"/>
        </w:rPr>
        <w:t>十一、预算绩效的情况说明</w:t>
      </w:r>
      <w:bookmarkEnd w:id="28"/>
      <w:bookmarkEnd w:id="29"/>
    </w:p>
    <w:p w14:paraId="58A40D5D">
      <w:pPr>
        <w:keepNext w:val="0"/>
        <w:keepLines w:val="0"/>
        <w:pageBreakBefore w:val="0"/>
        <w:wordWrap/>
        <w:overflowPunct/>
        <w:topLinePunct w:val="0"/>
        <w:bidi w:val="0"/>
        <w:spacing w:line="560" w:lineRule="exact"/>
        <w:ind w:firstLine="640" w:firstLineChars="200"/>
        <w:jc w:val="both"/>
        <w:textAlignment w:val="auto"/>
        <w:rPr>
          <w:rFonts w:ascii="Times New Roman" w:hAnsi="Times New Roman" w:eastAsia="仿宋_GB2312"/>
          <w:sz w:val="32"/>
          <w:szCs w:val="32"/>
        </w:rPr>
      </w:pPr>
      <w:r>
        <w:rPr>
          <w:rFonts w:hint="eastAsia" w:ascii="Times New Roman" w:hAnsi="Times New Roman" w:eastAsia="仿宋_GB2312"/>
          <w:sz w:val="32"/>
          <w:szCs w:val="32"/>
        </w:rPr>
        <w:t>根据预算绩效管理要求，我单位2023年度预算绩效评价项目</w:t>
      </w:r>
      <w:r>
        <w:rPr>
          <w:rFonts w:hint="eastAsia" w:ascii="Times New Roman" w:hAnsi="Times New Roman" w:eastAsia="仿宋_GB2312"/>
          <w:sz w:val="32"/>
          <w:szCs w:val="32"/>
          <w:lang w:val="en-US" w:eastAsia="zh-CN"/>
        </w:rPr>
        <w:t>2</w:t>
      </w:r>
      <w:r>
        <w:rPr>
          <w:rFonts w:hint="eastAsia" w:ascii="Times New Roman" w:hAnsi="Times New Roman" w:eastAsia="仿宋_GB2312"/>
          <w:sz w:val="32"/>
          <w:szCs w:val="32"/>
        </w:rPr>
        <w:t>个，全年预算数</w:t>
      </w:r>
      <w:r>
        <w:rPr>
          <w:rFonts w:hint="eastAsia" w:ascii="Times New Roman" w:hAnsi="Times New Roman" w:eastAsia="仿宋_GB2312"/>
          <w:sz w:val="32"/>
          <w:szCs w:val="32"/>
          <w:lang w:val="en-US" w:eastAsia="zh-CN"/>
        </w:rPr>
        <w:t>327</w:t>
      </w:r>
      <w:r>
        <w:rPr>
          <w:rFonts w:hint="eastAsia" w:ascii="Times New Roman" w:hAnsi="Times New Roman" w:eastAsia="仿宋_GB2312"/>
          <w:sz w:val="32"/>
          <w:szCs w:val="32"/>
        </w:rPr>
        <w:t>万元，全年执行数</w:t>
      </w:r>
      <w:r>
        <w:rPr>
          <w:rFonts w:hint="eastAsia" w:ascii="Times New Roman" w:hAnsi="Times New Roman" w:eastAsia="仿宋_GB2312"/>
          <w:sz w:val="32"/>
          <w:szCs w:val="32"/>
          <w:lang w:val="en-US" w:eastAsia="zh-CN"/>
        </w:rPr>
        <w:t>322.</w:t>
      </w:r>
      <w:r>
        <w:rPr>
          <w:rFonts w:hint="eastAsia" w:eastAsia="仿宋_GB2312"/>
          <w:sz w:val="32"/>
          <w:szCs w:val="32"/>
          <w:lang w:val="en-US" w:eastAsia="zh-CN"/>
        </w:rPr>
        <w:t>28</w:t>
      </w:r>
      <w:r>
        <w:rPr>
          <w:rFonts w:hint="eastAsia" w:ascii="Times New Roman" w:hAnsi="Times New Roman" w:eastAsia="仿宋_GB2312"/>
          <w:sz w:val="32"/>
          <w:szCs w:val="32"/>
        </w:rPr>
        <w:t>万元。预算绩效管理取得的成效：一是</w:t>
      </w:r>
      <w:r>
        <w:rPr>
          <w:rFonts w:ascii="Times New Roman" w:hAnsi="Times New Roman" w:eastAsia="仿宋_GB2312"/>
          <w:sz w:val="32"/>
          <w:szCs w:val="32"/>
        </w:rPr>
        <w:t>完成</w:t>
      </w:r>
      <w:r>
        <w:rPr>
          <w:rFonts w:hint="eastAsia" w:ascii="Times New Roman" w:hAnsi="Times New Roman" w:eastAsia="仿宋_GB2312"/>
          <w:sz w:val="32"/>
          <w:szCs w:val="32"/>
          <w:lang w:val="en-US" w:eastAsia="zh-CN"/>
        </w:rPr>
        <w:t>4</w:t>
      </w:r>
      <w:r>
        <w:rPr>
          <w:rFonts w:ascii="Times New Roman" w:hAnsi="Times New Roman" w:eastAsia="仿宋_GB2312"/>
          <w:sz w:val="32"/>
          <w:szCs w:val="32"/>
        </w:rPr>
        <w:t>8个</w:t>
      </w:r>
      <w:r>
        <w:rPr>
          <w:rFonts w:hint="eastAsia" w:ascii="Times New Roman" w:hAnsi="Times New Roman" w:eastAsia="仿宋_GB2312"/>
          <w:sz w:val="32"/>
          <w:szCs w:val="32"/>
          <w:lang w:val="en-US" w:eastAsia="zh-CN"/>
        </w:rPr>
        <w:t>规模化（</w:t>
      </w:r>
      <w:r>
        <w:rPr>
          <w:rFonts w:ascii="Times New Roman" w:hAnsi="Times New Roman" w:eastAsia="仿宋_GB2312"/>
          <w:sz w:val="32"/>
          <w:szCs w:val="32"/>
        </w:rPr>
        <w:t>千吨万人</w:t>
      </w:r>
      <w:r>
        <w:rPr>
          <w:rFonts w:hint="eastAsia" w:ascii="Times New Roman" w:hAnsi="Times New Roman" w:eastAsia="仿宋_GB2312"/>
          <w:sz w:val="32"/>
          <w:szCs w:val="32"/>
          <w:lang w:val="en-US" w:eastAsia="zh-CN"/>
        </w:rPr>
        <w:t>）</w:t>
      </w:r>
      <w:r>
        <w:rPr>
          <w:rFonts w:ascii="Times New Roman" w:hAnsi="Times New Roman" w:eastAsia="仿宋_GB2312"/>
          <w:sz w:val="32"/>
          <w:szCs w:val="32"/>
        </w:rPr>
        <w:t>农村供水工程</w:t>
      </w:r>
      <w:r>
        <w:rPr>
          <w:rFonts w:hint="eastAsia" w:ascii="Times New Roman" w:hAnsi="Times New Roman" w:eastAsia="仿宋_GB2312"/>
          <w:sz w:val="32"/>
          <w:szCs w:val="32"/>
        </w:rPr>
        <w:t>信息化、自动化调研工作二是完成</w:t>
      </w:r>
      <w:r>
        <w:rPr>
          <w:rFonts w:hint="eastAsia" w:ascii="Times New Roman" w:hAnsi="Times New Roman" w:eastAsia="仿宋_GB2312"/>
          <w:sz w:val="32"/>
          <w:szCs w:val="32"/>
          <w:lang w:val="en-US" w:eastAsia="zh-CN"/>
        </w:rPr>
        <w:t>4</w:t>
      </w:r>
      <w:r>
        <w:rPr>
          <w:rFonts w:ascii="Times New Roman" w:hAnsi="Times New Roman" w:eastAsia="仿宋_GB2312"/>
          <w:sz w:val="32"/>
          <w:szCs w:val="32"/>
        </w:rPr>
        <w:t>8个</w:t>
      </w:r>
      <w:r>
        <w:rPr>
          <w:rFonts w:hint="eastAsia" w:ascii="Times New Roman" w:hAnsi="Times New Roman" w:eastAsia="仿宋_GB2312"/>
          <w:sz w:val="32"/>
          <w:szCs w:val="32"/>
          <w:lang w:val="en-US" w:eastAsia="zh-CN"/>
        </w:rPr>
        <w:t>规模化（</w:t>
      </w:r>
      <w:r>
        <w:rPr>
          <w:rFonts w:ascii="Times New Roman" w:hAnsi="Times New Roman" w:eastAsia="仿宋_GB2312"/>
          <w:sz w:val="32"/>
          <w:szCs w:val="32"/>
        </w:rPr>
        <w:t>千吨万人</w:t>
      </w:r>
      <w:r>
        <w:rPr>
          <w:rFonts w:hint="eastAsia" w:ascii="Times New Roman" w:hAnsi="Times New Roman" w:eastAsia="仿宋_GB2312"/>
          <w:sz w:val="32"/>
          <w:szCs w:val="32"/>
          <w:lang w:val="en-US" w:eastAsia="zh-CN"/>
        </w:rPr>
        <w:t>）</w:t>
      </w:r>
      <w:r>
        <w:rPr>
          <w:rFonts w:ascii="Times New Roman" w:hAnsi="Times New Roman" w:eastAsia="仿宋_GB2312"/>
          <w:sz w:val="32"/>
          <w:szCs w:val="32"/>
        </w:rPr>
        <w:t>农村供水工程</w:t>
      </w:r>
      <w:r>
        <w:rPr>
          <w:rFonts w:hint="eastAsia" w:ascii="Times New Roman" w:hAnsi="Times New Roman" w:eastAsia="仿宋_GB2312"/>
          <w:sz w:val="32"/>
          <w:szCs w:val="32"/>
        </w:rPr>
        <w:t>水厂的组态图绘制工作；三是依据供水工程的信息化、自动化调研表，</w:t>
      </w:r>
      <w:r>
        <w:rPr>
          <w:rFonts w:ascii="Times New Roman" w:hAnsi="Times New Roman" w:eastAsia="仿宋_GB2312"/>
          <w:sz w:val="32"/>
          <w:szCs w:val="32"/>
        </w:rPr>
        <w:t>通过水利专网完成</w:t>
      </w:r>
      <w:r>
        <w:rPr>
          <w:rFonts w:hint="eastAsia" w:ascii="Times New Roman" w:hAnsi="Times New Roman" w:eastAsia="仿宋_GB2312"/>
          <w:sz w:val="32"/>
          <w:szCs w:val="32"/>
          <w:lang w:val="en-US" w:eastAsia="zh-CN"/>
        </w:rPr>
        <w:t>4</w:t>
      </w:r>
      <w:r>
        <w:rPr>
          <w:rFonts w:ascii="Times New Roman" w:hAnsi="Times New Roman" w:eastAsia="仿宋_GB2312"/>
          <w:sz w:val="32"/>
          <w:szCs w:val="32"/>
        </w:rPr>
        <w:t>8个</w:t>
      </w:r>
      <w:r>
        <w:rPr>
          <w:rFonts w:hint="eastAsia" w:ascii="Times New Roman" w:hAnsi="Times New Roman" w:eastAsia="仿宋_GB2312"/>
          <w:sz w:val="32"/>
          <w:szCs w:val="32"/>
          <w:lang w:val="en-US" w:eastAsia="zh-CN"/>
        </w:rPr>
        <w:t>规模化（</w:t>
      </w:r>
      <w:r>
        <w:rPr>
          <w:rFonts w:ascii="Times New Roman" w:hAnsi="Times New Roman" w:eastAsia="仿宋_GB2312"/>
          <w:sz w:val="32"/>
          <w:szCs w:val="32"/>
        </w:rPr>
        <w:t>千吨万人</w:t>
      </w:r>
      <w:r>
        <w:rPr>
          <w:rFonts w:hint="eastAsia" w:ascii="Times New Roman" w:hAnsi="Times New Roman" w:eastAsia="仿宋_GB2312"/>
          <w:sz w:val="32"/>
          <w:szCs w:val="32"/>
          <w:lang w:val="en-US" w:eastAsia="zh-CN"/>
        </w:rPr>
        <w:t>）</w:t>
      </w:r>
      <w:r>
        <w:rPr>
          <w:rFonts w:ascii="Times New Roman" w:hAnsi="Times New Roman" w:eastAsia="仿宋_GB2312"/>
          <w:sz w:val="32"/>
          <w:szCs w:val="32"/>
        </w:rPr>
        <w:t>农村供水工程的数据采集和视频监控接入</w:t>
      </w:r>
      <w:r>
        <w:rPr>
          <w:rFonts w:hint="eastAsia" w:ascii="Times New Roman" w:hAnsi="Times New Roman" w:eastAsia="仿宋_GB2312"/>
          <w:sz w:val="32"/>
          <w:szCs w:val="32"/>
        </w:rPr>
        <w:t>工作</w:t>
      </w:r>
      <w:r>
        <w:rPr>
          <w:rFonts w:hint="eastAsia" w:ascii="Times New Roman" w:hAnsi="Times New Roman" w:eastAsia="仿宋_GB2312"/>
          <w:sz w:val="32"/>
          <w:szCs w:val="32"/>
          <w:lang w:eastAsia="zh-CN"/>
        </w:rPr>
        <w:t>，</w:t>
      </w:r>
      <w:r>
        <w:rPr>
          <w:rFonts w:hint="eastAsia" w:ascii="Times New Roman" w:hAnsi="Times New Roman" w:eastAsia="仿宋_GB2312"/>
          <w:sz w:val="32"/>
          <w:szCs w:val="32"/>
          <w:lang w:val="en-US" w:eastAsia="zh-CN"/>
        </w:rPr>
        <w:t>四是信息化监理监督信息化公司完成信息化项目，五是对6个典型县规范化农村供水工程开展考评工作，通过考评工作，进一步规范规范化水厂建设，提升典型县规范化农村供水个工程供水保障水平，六是按照水利厅党组的安排部署，持续开展农村供水保障工作，健全完善农村供水工程体系和管理体系，自来水普及率、集中供水率达到95%以上，供水保障率达到90%以上，水价形成和水费收缴机制更加健全，工程管理水平持续提升，农村供水对乡村振兴的支撑保障作用更加坚实，为农村供水保障夯实地基。</w:t>
      </w:r>
      <w:r>
        <w:rPr>
          <w:rFonts w:hint="eastAsia" w:ascii="Times New Roman" w:hAnsi="Times New Roman" w:eastAsia="仿宋_GB2312"/>
          <w:sz w:val="32"/>
          <w:szCs w:val="32"/>
        </w:rPr>
        <w:t>发现的问题及原因：无。下一步改进措施：一是持续监督</w:t>
      </w:r>
      <w:r>
        <w:rPr>
          <w:rFonts w:ascii="Times New Roman" w:hAnsi="Times New Roman" w:eastAsia="仿宋_GB2312"/>
          <w:sz w:val="32"/>
          <w:szCs w:val="32"/>
        </w:rPr>
        <w:t>千吨万人农村供水工程</w:t>
      </w:r>
      <w:r>
        <w:rPr>
          <w:rFonts w:hint="eastAsia" w:ascii="Times New Roman" w:hAnsi="Times New Roman" w:eastAsia="仿宋_GB2312"/>
          <w:sz w:val="32"/>
          <w:szCs w:val="32"/>
        </w:rPr>
        <w:t>的数据到报率，按照《新疆农村供水工程监测数据集成技术指南》的要求，督促相关供水工程所属水利局补充完善监测设备</w:t>
      </w:r>
      <w:r>
        <w:rPr>
          <w:rFonts w:hint="eastAsia" w:ascii="Times New Roman" w:hAnsi="Times New Roman" w:eastAsia="仿宋_GB2312"/>
          <w:sz w:val="32"/>
          <w:szCs w:val="32"/>
          <w:lang w:eastAsia="zh-CN"/>
        </w:rPr>
        <w:t>，</w:t>
      </w:r>
      <w:r>
        <w:rPr>
          <w:rFonts w:hint="eastAsia" w:ascii="Times New Roman" w:hAnsi="Times New Roman" w:eastAsia="仿宋_GB2312"/>
          <w:sz w:val="32"/>
          <w:szCs w:val="32"/>
          <w:lang w:val="en-US" w:eastAsia="zh-CN"/>
        </w:rPr>
        <w:t>二是按照水利部要求，开展农村供水工程标准化管理评价</w:t>
      </w:r>
      <w:r>
        <w:rPr>
          <w:rFonts w:hint="eastAsia" w:ascii="Times New Roman" w:hAnsi="Times New Roman" w:eastAsia="仿宋_GB2312"/>
          <w:sz w:val="32"/>
          <w:szCs w:val="32"/>
        </w:rPr>
        <w:t>。具体项目自评情况附绩效自评表。</w:t>
      </w:r>
    </w:p>
    <w:p w14:paraId="1BB0D62C">
      <w:pPr>
        <w:keepNext w:val="0"/>
        <w:keepLines w:val="0"/>
        <w:pageBreakBefore w:val="0"/>
        <w:wordWrap/>
        <w:overflowPunct/>
        <w:topLinePunct w:val="0"/>
        <w:bidi w:val="0"/>
        <w:spacing w:line="560" w:lineRule="exact"/>
        <w:ind w:firstLine="640" w:firstLineChars="200"/>
        <w:jc w:val="both"/>
        <w:textAlignment w:val="auto"/>
        <w:rPr>
          <w:rFonts w:ascii="Times New Roman" w:hAnsi="Times New Roman" w:eastAsia="黑体" w:cs="宋体"/>
          <w:bCs/>
          <w:kern w:val="0"/>
          <w:sz w:val="32"/>
          <w:szCs w:val="32"/>
        </w:rPr>
      </w:pPr>
      <w:r>
        <w:rPr>
          <w:rFonts w:hint="eastAsia" w:ascii="Times New Roman" w:hAnsi="Times New Roman" w:eastAsia="黑体" w:cs="宋体"/>
          <w:bCs/>
          <w:kern w:val="0"/>
          <w:sz w:val="32"/>
          <w:szCs w:val="32"/>
        </w:rPr>
        <w:t>十二、其他需说明的事项</w:t>
      </w:r>
    </w:p>
    <w:p w14:paraId="4CE500FF">
      <w:pPr>
        <w:keepNext w:val="0"/>
        <w:keepLines w:val="0"/>
        <w:pageBreakBefore w:val="0"/>
        <w:wordWrap/>
        <w:overflowPunct/>
        <w:topLinePunct w:val="0"/>
        <w:bidi w:val="0"/>
        <w:spacing w:line="560" w:lineRule="exact"/>
        <w:ind w:firstLine="640" w:firstLineChars="200"/>
        <w:jc w:val="both"/>
        <w:textAlignment w:val="auto"/>
        <w:rPr>
          <w:rFonts w:ascii="Times New Roman" w:hAnsi="Times New Roman" w:eastAsia="仿宋_GB2312" w:cs="仿宋_GB2312"/>
          <w:kern w:val="0"/>
          <w:sz w:val="32"/>
          <w:szCs w:val="32"/>
        </w:rPr>
      </w:pPr>
      <w:r>
        <w:rPr>
          <w:rFonts w:hint="eastAsia" w:ascii="Times New Roman" w:hAnsi="Times New Roman" w:eastAsia="仿宋_GB2312" w:cs="仿宋_GB2312"/>
          <w:kern w:val="0"/>
          <w:sz w:val="32"/>
          <w:szCs w:val="32"/>
        </w:rPr>
        <w:t>本单位无其他需说明事项</w:t>
      </w:r>
    </w:p>
    <w:p w14:paraId="41F2CB65">
      <w:pPr>
        <w:keepNext w:val="0"/>
        <w:keepLines w:val="0"/>
        <w:pageBreakBefore w:val="0"/>
        <w:wordWrap/>
        <w:overflowPunct/>
        <w:topLinePunct w:val="0"/>
        <w:bidi w:val="0"/>
        <w:spacing w:line="560" w:lineRule="exact"/>
        <w:jc w:val="center"/>
        <w:textAlignment w:val="auto"/>
        <w:outlineLvl w:val="0"/>
        <w:rPr>
          <w:rFonts w:ascii="Times New Roman" w:hAnsi="Times New Roman" w:eastAsia="黑体"/>
          <w:sz w:val="32"/>
          <w:szCs w:val="32"/>
        </w:rPr>
      </w:pPr>
      <w:bookmarkStart w:id="30" w:name="_Toc24143"/>
      <w:bookmarkStart w:id="31" w:name="_Toc3250"/>
      <w:r>
        <w:rPr>
          <w:rFonts w:hint="eastAsia" w:ascii="Times New Roman" w:hAnsi="Times New Roman" w:eastAsia="黑体"/>
          <w:sz w:val="32"/>
          <w:szCs w:val="32"/>
        </w:rPr>
        <w:t>第三部分 专业名词解释</w:t>
      </w:r>
      <w:bookmarkEnd w:id="30"/>
      <w:bookmarkEnd w:id="31"/>
    </w:p>
    <w:p w14:paraId="70EA918F">
      <w:pPr>
        <w:keepNext w:val="0"/>
        <w:keepLines w:val="0"/>
        <w:pageBreakBefore w:val="0"/>
        <w:wordWrap/>
        <w:overflowPunct/>
        <w:topLinePunct w:val="0"/>
        <w:autoSpaceDE w:val="0"/>
        <w:autoSpaceDN w:val="0"/>
        <w:bidi w:val="0"/>
        <w:spacing w:line="560" w:lineRule="exact"/>
        <w:ind w:firstLine="643" w:firstLineChars="200"/>
        <w:jc w:val="both"/>
        <w:textAlignment w:val="auto"/>
        <w:rPr>
          <w:rFonts w:ascii="Times New Roman" w:hAnsi="Times New Roman" w:eastAsia="仿宋_GB2312"/>
          <w:sz w:val="32"/>
          <w:szCs w:val="32"/>
        </w:rPr>
      </w:pPr>
      <w:r>
        <w:rPr>
          <w:rFonts w:hint="eastAsia" w:ascii="Times New Roman" w:hAnsi="Times New Roman" w:eastAsia="仿宋_GB2312"/>
          <w:b/>
          <w:bCs/>
          <w:sz w:val="32"/>
          <w:szCs w:val="32"/>
        </w:rPr>
        <w:t>一、财政拨款收入：</w:t>
      </w:r>
      <w:r>
        <w:rPr>
          <w:rFonts w:hint="eastAsia" w:ascii="Times New Roman" w:hAnsi="Times New Roman" w:eastAsia="仿宋_GB2312"/>
          <w:sz w:val="32"/>
          <w:szCs w:val="32"/>
        </w:rPr>
        <w:t>指同级财政当年拨付的资金。</w:t>
      </w:r>
    </w:p>
    <w:p w14:paraId="352CBA9D">
      <w:pPr>
        <w:keepNext w:val="0"/>
        <w:keepLines w:val="0"/>
        <w:pageBreakBefore w:val="0"/>
        <w:wordWrap/>
        <w:overflowPunct/>
        <w:topLinePunct w:val="0"/>
        <w:autoSpaceDE w:val="0"/>
        <w:autoSpaceDN w:val="0"/>
        <w:bidi w:val="0"/>
        <w:spacing w:line="560" w:lineRule="exact"/>
        <w:ind w:firstLine="643" w:firstLineChars="200"/>
        <w:jc w:val="both"/>
        <w:textAlignment w:val="auto"/>
        <w:rPr>
          <w:rFonts w:ascii="Times New Roman" w:hAnsi="Times New Roman" w:eastAsia="仿宋_GB2312"/>
          <w:sz w:val="32"/>
          <w:szCs w:val="32"/>
        </w:rPr>
      </w:pPr>
      <w:r>
        <w:rPr>
          <w:rFonts w:hint="eastAsia" w:ascii="Times New Roman" w:hAnsi="Times New Roman" w:eastAsia="仿宋_GB2312"/>
          <w:b/>
          <w:bCs/>
          <w:sz w:val="32"/>
          <w:szCs w:val="32"/>
        </w:rPr>
        <w:t>二、上级补助收入：</w:t>
      </w:r>
      <w:r>
        <w:rPr>
          <w:rFonts w:hint="eastAsia" w:ascii="Times New Roman" w:hAnsi="Times New Roman" w:eastAsia="仿宋_GB2312"/>
          <w:sz w:val="32"/>
          <w:szCs w:val="32"/>
        </w:rPr>
        <w:t>指事业单位从主管部门和上级单位取得的非财政补助收入。</w:t>
      </w:r>
    </w:p>
    <w:p w14:paraId="25851B32">
      <w:pPr>
        <w:keepNext w:val="0"/>
        <w:keepLines w:val="0"/>
        <w:pageBreakBefore w:val="0"/>
        <w:wordWrap/>
        <w:overflowPunct/>
        <w:topLinePunct w:val="0"/>
        <w:autoSpaceDE w:val="0"/>
        <w:autoSpaceDN w:val="0"/>
        <w:bidi w:val="0"/>
        <w:spacing w:line="560" w:lineRule="exact"/>
        <w:ind w:firstLine="643" w:firstLineChars="200"/>
        <w:jc w:val="both"/>
        <w:textAlignment w:val="auto"/>
        <w:rPr>
          <w:rFonts w:ascii="Times New Roman" w:hAnsi="Times New Roman" w:eastAsia="仿宋_GB2312"/>
          <w:sz w:val="32"/>
          <w:szCs w:val="32"/>
        </w:rPr>
      </w:pPr>
      <w:r>
        <w:rPr>
          <w:rFonts w:hint="eastAsia" w:ascii="Times New Roman" w:hAnsi="Times New Roman" w:eastAsia="仿宋_GB2312"/>
          <w:b/>
          <w:bCs/>
          <w:sz w:val="32"/>
          <w:szCs w:val="32"/>
        </w:rPr>
        <w:t>三、事业收入：</w:t>
      </w:r>
      <w:r>
        <w:rPr>
          <w:rFonts w:hint="eastAsia" w:ascii="Times New Roman" w:hAnsi="Times New Roman" w:eastAsia="仿宋_GB2312"/>
          <w:sz w:val="32"/>
          <w:szCs w:val="32"/>
        </w:rPr>
        <w:t>指事业单位开展专业业务活动及其辅助活动所取得的收入。</w:t>
      </w:r>
    </w:p>
    <w:p w14:paraId="31AB5C2F">
      <w:pPr>
        <w:keepNext w:val="0"/>
        <w:keepLines w:val="0"/>
        <w:pageBreakBefore w:val="0"/>
        <w:wordWrap/>
        <w:overflowPunct/>
        <w:topLinePunct w:val="0"/>
        <w:autoSpaceDE w:val="0"/>
        <w:autoSpaceDN w:val="0"/>
        <w:bidi w:val="0"/>
        <w:spacing w:line="560" w:lineRule="exact"/>
        <w:ind w:firstLine="643" w:firstLineChars="200"/>
        <w:jc w:val="both"/>
        <w:textAlignment w:val="auto"/>
        <w:rPr>
          <w:rFonts w:ascii="Times New Roman" w:hAnsi="Times New Roman" w:eastAsia="仿宋_GB2312"/>
          <w:sz w:val="32"/>
          <w:szCs w:val="32"/>
        </w:rPr>
      </w:pPr>
      <w:r>
        <w:rPr>
          <w:rFonts w:hint="eastAsia" w:ascii="Times New Roman" w:hAnsi="Times New Roman" w:eastAsia="仿宋_GB2312"/>
          <w:b/>
          <w:bCs/>
          <w:sz w:val="32"/>
          <w:szCs w:val="32"/>
        </w:rPr>
        <w:t>四、经营收入：</w:t>
      </w:r>
      <w:r>
        <w:rPr>
          <w:rFonts w:hint="eastAsia" w:ascii="Times New Roman" w:hAnsi="Times New Roman" w:eastAsia="仿宋_GB2312"/>
          <w:sz w:val="32"/>
          <w:szCs w:val="32"/>
        </w:rPr>
        <w:t>指事业单位在专业业务活动及其辅助活动之外开展非独立核算经营活动取得的收入。</w:t>
      </w:r>
    </w:p>
    <w:p w14:paraId="03BC6B41">
      <w:pPr>
        <w:keepNext w:val="0"/>
        <w:keepLines w:val="0"/>
        <w:pageBreakBefore w:val="0"/>
        <w:wordWrap/>
        <w:overflowPunct/>
        <w:topLinePunct w:val="0"/>
        <w:autoSpaceDE w:val="0"/>
        <w:autoSpaceDN w:val="0"/>
        <w:bidi w:val="0"/>
        <w:spacing w:line="560" w:lineRule="exact"/>
        <w:ind w:firstLine="643" w:firstLineChars="200"/>
        <w:jc w:val="both"/>
        <w:textAlignment w:val="auto"/>
        <w:rPr>
          <w:rFonts w:ascii="Times New Roman" w:hAnsi="Times New Roman" w:eastAsia="仿宋_GB2312"/>
          <w:sz w:val="32"/>
          <w:szCs w:val="32"/>
        </w:rPr>
      </w:pPr>
      <w:r>
        <w:rPr>
          <w:rFonts w:hint="eastAsia" w:ascii="Times New Roman" w:hAnsi="Times New Roman" w:eastAsia="仿宋_GB2312"/>
          <w:b/>
          <w:bCs/>
          <w:sz w:val="32"/>
          <w:szCs w:val="32"/>
        </w:rPr>
        <w:t>五、附属单位上缴收入：</w:t>
      </w:r>
      <w:r>
        <w:rPr>
          <w:rFonts w:hint="eastAsia" w:ascii="Times New Roman" w:hAnsi="Times New Roman" w:eastAsia="仿宋_GB2312"/>
          <w:sz w:val="32"/>
          <w:szCs w:val="32"/>
        </w:rPr>
        <w:t>指事业单位附属的独立核算单位按有关规定上缴的收入。</w:t>
      </w:r>
    </w:p>
    <w:p w14:paraId="19B5CB2E">
      <w:pPr>
        <w:keepNext w:val="0"/>
        <w:keepLines w:val="0"/>
        <w:pageBreakBefore w:val="0"/>
        <w:wordWrap/>
        <w:overflowPunct/>
        <w:topLinePunct w:val="0"/>
        <w:autoSpaceDE w:val="0"/>
        <w:autoSpaceDN w:val="0"/>
        <w:bidi w:val="0"/>
        <w:spacing w:line="560" w:lineRule="exact"/>
        <w:ind w:firstLine="643" w:firstLineChars="200"/>
        <w:jc w:val="both"/>
        <w:textAlignment w:val="auto"/>
        <w:rPr>
          <w:rFonts w:ascii="Times New Roman" w:hAnsi="Times New Roman" w:eastAsia="仿宋_GB2312"/>
          <w:sz w:val="32"/>
          <w:szCs w:val="32"/>
        </w:rPr>
      </w:pPr>
      <w:r>
        <w:rPr>
          <w:rFonts w:hint="eastAsia" w:ascii="Times New Roman" w:hAnsi="Times New Roman" w:eastAsia="仿宋_GB2312"/>
          <w:b/>
          <w:bCs/>
          <w:sz w:val="32"/>
          <w:szCs w:val="32"/>
        </w:rPr>
        <w:t>六、其他收入：</w:t>
      </w:r>
      <w:r>
        <w:rPr>
          <w:rFonts w:hint="eastAsia" w:ascii="Times New Roman" w:hAnsi="Times New Roman" w:eastAsia="仿宋_GB2312"/>
          <w:sz w:val="32"/>
          <w:szCs w:val="32"/>
        </w:rPr>
        <w:t>指除上述“财政拨款收入”、“事业收入”、“经营收入”、“附属单位上缴收入”等之外取得的收入。</w:t>
      </w:r>
    </w:p>
    <w:p w14:paraId="2B385EEC">
      <w:pPr>
        <w:keepNext w:val="0"/>
        <w:keepLines w:val="0"/>
        <w:pageBreakBefore w:val="0"/>
        <w:wordWrap/>
        <w:overflowPunct/>
        <w:topLinePunct w:val="0"/>
        <w:autoSpaceDE w:val="0"/>
        <w:autoSpaceDN w:val="0"/>
        <w:bidi w:val="0"/>
        <w:spacing w:line="560" w:lineRule="exact"/>
        <w:ind w:firstLine="643" w:firstLineChars="200"/>
        <w:jc w:val="both"/>
        <w:textAlignment w:val="auto"/>
        <w:rPr>
          <w:rFonts w:ascii="Times New Roman" w:hAnsi="Times New Roman" w:eastAsia="仿宋_GB2312"/>
          <w:sz w:val="32"/>
          <w:szCs w:val="32"/>
        </w:rPr>
      </w:pPr>
      <w:r>
        <w:rPr>
          <w:rFonts w:hint="eastAsia" w:ascii="Times New Roman" w:hAnsi="Times New Roman" w:eastAsia="仿宋_GB2312"/>
          <w:b/>
          <w:bCs/>
          <w:sz w:val="32"/>
          <w:szCs w:val="32"/>
        </w:rPr>
        <w:t>七、年初结转和结余：</w:t>
      </w:r>
      <w:r>
        <w:rPr>
          <w:rFonts w:hint="eastAsia" w:ascii="Times New Roman" w:hAnsi="Times New Roman" w:eastAsia="仿宋_GB2312"/>
          <w:sz w:val="32"/>
          <w:szCs w:val="32"/>
        </w:rPr>
        <w:t>指以前年度支出预算因客观条件变化未执行完毕、结转到本年度按有关规定继续使用的资金，既包括财政拨款结转和结余，也包括事业收入、经营收入、其他收入的结转和结余。</w:t>
      </w:r>
    </w:p>
    <w:p w14:paraId="32040611">
      <w:pPr>
        <w:keepNext w:val="0"/>
        <w:keepLines w:val="0"/>
        <w:pageBreakBefore w:val="0"/>
        <w:wordWrap/>
        <w:overflowPunct/>
        <w:topLinePunct w:val="0"/>
        <w:autoSpaceDE w:val="0"/>
        <w:autoSpaceDN w:val="0"/>
        <w:bidi w:val="0"/>
        <w:spacing w:line="560" w:lineRule="exact"/>
        <w:ind w:firstLine="643" w:firstLineChars="200"/>
        <w:jc w:val="both"/>
        <w:textAlignment w:val="auto"/>
        <w:rPr>
          <w:rFonts w:ascii="Times New Roman" w:hAnsi="Times New Roman" w:eastAsia="仿宋_GB2312"/>
          <w:sz w:val="32"/>
          <w:szCs w:val="32"/>
        </w:rPr>
      </w:pPr>
      <w:r>
        <w:rPr>
          <w:rFonts w:hint="eastAsia" w:ascii="Times New Roman" w:hAnsi="Times New Roman" w:eastAsia="仿宋_GB2312"/>
          <w:b/>
          <w:bCs/>
          <w:sz w:val="32"/>
          <w:szCs w:val="32"/>
        </w:rPr>
        <w:t>八、年末结转和结余：</w:t>
      </w:r>
      <w:r>
        <w:rPr>
          <w:rFonts w:hint="eastAsia" w:ascii="Times New Roman" w:hAnsi="Times New Roman" w:eastAsia="仿宋_GB2312"/>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2F537029">
      <w:pPr>
        <w:keepNext w:val="0"/>
        <w:keepLines w:val="0"/>
        <w:pageBreakBefore w:val="0"/>
        <w:wordWrap/>
        <w:overflowPunct/>
        <w:topLinePunct w:val="0"/>
        <w:autoSpaceDE w:val="0"/>
        <w:autoSpaceDN w:val="0"/>
        <w:bidi w:val="0"/>
        <w:spacing w:line="560" w:lineRule="exact"/>
        <w:ind w:firstLine="643" w:firstLineChars="200"/>
        <w:jc w:val="both"/>
        <w:textAlignment w:val="auto"/>
        <w:rPr>
          <w:rFonts w:ascii="Times New Roman" w:hAnsi="Times New Roman" w:eastAsia="仿宋_GB2312"/>
          <w:sz w:val="32"/>
          <w:szCs w:val="32"/>
        </w:rPr>
      </w:pPr>
      <w:r>
        <w:rPr>
          <w:rFonts w:hint="eastAsia" w:ascii="Times New Roman" w:hAnsi="Times New Roman" w:eastAsia="仿宋_GB2312"/>
          <w:b/>
          <w:bCs/>
          <w:sz w:val="32"/>
          <w:szCs w:val="32"/>
        </w:rPr>
        <w:t>九、基本支出：</w:t>
      </w:r>
      <w:r>
        <w:rPr>
          <w:rFonts w:hint="eastAsia" w:ascii="Times New Roman" w:hAnsi="Times New Roman" w:eastAsia="仿宋_GB2312"/>
          <w:sz w:val="32"/>
          <w:szCs w:val="32"/>
        </w:rPr>
        <w:t>指为保障机构正常运转、完成日常工作任务而发生的人员支出和公用支出。</w:t>
      </w:r>
    </w:p>
    <w:p w14:paraId="7A3AD06A">
      <w:pPr>
        <w:keepNext w:val="0"/>
        <w:keepLines w:val="0"/>
        <w:pageBreakBefore w:val="0"/>
        <w:wordWrap/>
        <w:overflowPunct/>
        <w:topLinePunct w:val="0"/>
        <w:autoSpaceDE w:val="0"/>
        <w:autoSpaceDN w:val="0"/>
        <w:bidi w:val="0"/>
        <w:spacing w:line="560" w:lineRule="exact"/>
        <w:ind w:firstLine="643" w:firstLineChars="200"/>
        <w:jc w:val="both"/>
        <w:textAlignment w:val="auto"/>
        <w:rPr>
          <w:rFonts w:ascii="Times New Roman" w:hAnsi="Times New Roman" w:eastAsia="仿宋_GB2312"/>
          <w:sz w:val="32"/>
          <w:szCs w:val="32"/>
        </w:rPr>
      </w:pPr>
      <w:r>
        <w:rPr>
          <w:rFonts w:hint="eastAsia" w:ascii="Times New Roman" w:hAnsi="Times New Roman" w:eastAsia="仿宋_GB2312"/>
          <w:b/>
          <w:bCs/>
          <w:sz w:val="32"/>
          <w:szCs w:val="32"/>
        </w:rPr>
        <w:t>十、项目支出：</w:t>
      </w:r>
      <w:r>
        <w:rPr>
          <w:rFonts w:hint="eastAsia" w:ascii="Times New Roman" w:hAnsi="Times New Roman" w:eastAsia="仿宋_GB2312"/>
          <w:sz w:val="32"/>
          <w:szCs w:val="32"/>
        </w:rPr>
        <w:t>指在基本支出之外为完成特定行政任务和事业发展目标所发生的支出。</w:t>
      </w:r>
    </w:p>
    <w:p w14:paraId="70E99BA7">
      <w:pPr>
        <w:keepNext w:val="0"/>
        <w:keepLines w:val="0"/>
        <w:pageBreakBefore w:val="0"/>
        <w:wordWrap/>
        <w:overflowPunct/>
        <w:topLinePunct w:val="0"/>
        <w:autoSpaceDE w:val="0"/>
        <w:autoSpaceDN w:val="0"/>
        <w:bidi w:val="0"/>
        <w:spacing w:line="560" w:lineRule="exact"/>
        <w:ind w:firstLine="643" w:firstLineChars="200"/>
        <w:jc w:val="both"/>
        <w:textAlignment w:val="auto"/>
        <w:rPr>
          <w:rFonts w:ascii="Times New Roman" w:hAnsi="Times New Roman" w:eastAsia="仿宋_GB2312"/>
          <w:sz w:val="32"/>
          <w:szCs w:val="32"/>
        </w:rPr>
      </w:pPr>
      <w:r>
        <w:rPr>
          <w:rFonts w:hint="eastAsia" w:ascii="Times New Roman" w:hAnsi="Times New Roman" w:eastAsia="仿宋_GB2312"/>
          <w:b/>
          <w:bCs/>
          <w:sz w:val="32"/>
          <w:szCs w:val="32"/>
        </w:rPr>
        <w:t>十一、经营支出：</w:t>
      </w:r>
      <w:r>
        <w:rPr>
          <w:rFonts w:hint="eastAsia" w:ascii="Times New Roman" w:hAnsi="Times New Roman" w:eastAsia="仿宋_GB2312"/>
          <w:sz w:val="32"/>
          <w:szCs w:val="32"/>
        </w:rPr>
        <w:t>指事业单位在专业业务活动及其辅助活动之外开展非独立核算经营活动发生的支出。</w:t>
      </w:r>
    </w:p>
    <w:p w14:paraId="7CD2618B">
      <w:pPr>
        <w:keepNext w:val="0"/>
        <w:keepLines w:val="0"/>
        <w:pageBreakBefore w:val="0"/>
        <w:wordWrap/>
        <w:overflowPunct/>
        <w:topLinePunct w:val="0"/>
        <w:autoSpaceDE w:val="0"/>
        <w:autoSpaceDN w:val="0"/>
        <w:bidi w:val="0"/>
        <w:spacing w:line="560" w:lineRule="exact"/>
        <w:ind w:firstLine="643" w:firstLineChars="200"/>
        <w:jc w:val="both"/>
        <w:textAlignment w:val="auto"/>
        <w:rPr>
          <w:rFonts w:ascii="Times New Roman" w:hAnsi="Times New Roman" w:eastAsia="仿宋_GB2312"/>
          <w:sz w:val="32"/>
          <w:szCs w:val="32"/>
        </w:rPr>
      </w:pPr>
      <w:r>
        <w:rPr>
          <w:rFonts w:hint="eastAsia" w:ascii="Times New Roman" w:hAnsi="Times New Roman" w:eastAsia="仿宋_GB2312"/>
          <w:b/>
          <w:bCs/>
          <w:sz w:val="32"/>
          <w:szCs w:val="32"/>
        </w:rPr>
        <w:t>十二、对附属单位补助支出：</w:t>
      </w:r>
      <w:r>
        <w:rPr>
          <w:rFonts w:hint="eastAsia" w:ascii="Times New Roman" w:hAnsi="Times New Roman" w:eastAsia="仿宋_GB2312"/>
          <w:sz w:val="32"/>
          <w:szCs w:val="32"/>
        </w:rPr>
        <w:t>指事业单位发生的用非财政预算资金对附属单位的补助支出。</w:t>
      </w:r>
    </w:p>
    <w:p w14:paraId="77C5D177">
      <w:pPr>
        <w:keepNext w:val="0"/>
        <w:keepLines w:val="0"/>
        <w:pageBreakBefore w:val="0"/>
        <w:wordWrap/>
        <w:overflowPunct/>
        <w:topLinePunct w:val="0"/>
        <w:autoSpaceDE w:val="0"/>
        <w:autoSpaceDN w:val="0"/>
        <w:bidi w:val="0"/>
        <w:spacing w:line="560" w:lineRule="exact"/>
        <w:ind w:firstLine="643" w:firstLineChars="200"/>
        <w:jc w:val="both"/>
        <w:textAlignment w:val="auto"/>
        <w:rPr>
          <w:rFonts w:ascii="Times New Roman" w:hAnsi="Times New Roman" w:eastAsia="仿宋_GB2312"/>
          <w:sz w:val="32"/>
          <w:szCs w:val="32"/>
        </w:rPr>
      </w:pPr>
      <w:r>
        <w:rPr>
          <w:rFonts w:hint="eastAsia" w:ascii="Times New Roman" w:hAnsi="Times New Roman" w:eastAsia="仿宋_GB2312"/>
          <w:b/>
          <w:bCs/>
          <w:sz w:val="32"/>
          <w:szCs w:val="32"/>
        </w:rPr>
        <w:t>十三、“三公”经费：</w:t>
      </w:r>
      <w:r>
        <w:rPr>
          <w:rFonts w:hint="eastAsia" w:ascii="Times New Roman" w:hAnsi="Times New Roman" w:eastAsia="仿宋_GB2312"/>
          <w:sz w:val="32"/>
          <w:szCs w:val="32"/>
        </w:rPr>
        <w:t>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2A4677D7">
      <w:pPr>
        <w:keepNext w:val="0"/>
        <w:keepLines w:val="0"/>
        <w:pageBreakBefore w:val="0"/>
        <w:wordWrap/>
        <w:overflowPunct/>
        <w:topLinePunct w:val="0"/>
        <w:bidi w:val="0"/>
        <w:spacing w:line="560" w:lineRule="exact"/>
        <w:ind w:firstLine="643" w:firstLineChars="200"/>
        <w:jc w:val="both"/>
        <w:textAlignment w:val="auto"/>
        <w:rPr>
          <w:rFonts w:ascii="Times New Roman" w:hAnsi="Times New Roman" w:eastAsia="仿宋_GB2312"/>
          <w:sz w:val="32"/>
          <w:szCs w:val="32"/>
        </w:rPr>
      </w:pPr>
      <w:r>
        <w:rPr>
          <w:rFonts w:hint="eastAsia" w:ascii="Times New Roman" w:hAnsi="Times New Roman" w:eastAsia="仿宋_GB2312"/>
          <w:b/>
          <w:bCs/>
          <w:sz w:val="32"/>
          <w:szCs w:val="32"/>
        </w:rPr>
        <w:t>十四、机关运行经费：</w:t>
      </w:r>
      <w:r>
        <w:rPr>
          <w:rFonts w:hint="eastAsia" w:ascii="Times New Roman" w:hAnsi="Times New Roman" w:eastAsia="仿宋_GB2312"/>
          <w:sz w:val="32"/>
          <w:szCs w:val="32"/>
        </w:rPr>
        <w:t>行政单位和参照公务员法管理的事业单位财政拨款基本支出中的公用经费支出。</w:t>
      </w:r>
    </w:p>
    <w:p w14:paraId="47CF6BEE">
      <w:pPr>
        <w:keepNext w:val="0"/>
        <w:keepLines w:val="0"/>
        <w:pageBreakBefore w:val="0"/>
        <w:wordWrap/>
        <w:overflowPunct/>
        <w:topLinePunct w:val="0"/>
        <w:bidi w:val="0"/>
        <w:spacing w:line="560" w:lineRule="exact"/>
        <w:jc w:val="center"/>
        <w:textAlignment w:val="auto"/>
        <w:outlineLvl w:val="0"/>
        <w:rPr>
          <w:rFonts w:ascii="Times New Roman" w:hAnsi="Times New Roman" w:eastAsia="黑体"/>
          <w:sz w:val="32"/>
          <w:szCs w:val="32"/>
        </w:rPr>
      </w:pPr>
      <w:r>
        <w:rPr>
          <w:rFonts w:hint="eastAsia" w:ascii="Times New Roman" w:hAnsi="Times New Roman" w:eastAsia="黑体"/>
          <w:sz w:val="32"/>
          <w:szCs w:val="32"/>
        </w:rPr>
        <w:t>第四部分 部门决算报表（见附表）</w:t>
      </w:r>
    </w:p>
    <w:p w14:paraId="19308F51">
      <w:pPr>
        <w:keepNext w:val="0"/>
        <w:keepLines w:val="0"/>
        <w:pageBreakBefore w:val="0"/>
        <w:wordWrap/>
        <w:overflowPunct/>
        <w:topLinePunct w:val="0"/>
        <w:bidi w:val="0"/>
        <w:spacing w:line="560" w:lineRule="exact"/>
        <w:ind w:firstLine="640" w:firstLineChars="200"/>
        <w:jc w:val="both"/>
        <w:textAlignment w:val="auto"/>
        <w:outlineLvl w:val="1"/>
        <w:rPr>
          <w:rFonts w:ascii="Times New Roman" w:hAnsi="Times New Roman" w:eastAsia="仿宋_GB2312" w:cs="宋体"/>
          <w:bCs/>
          <w:kern w:val="0"/>
          <w:sz w:val="32"/>
          <w:szCs w:val="32"/>
        </w:rPr>
      </w:pPr>
      <w:bookmarkStart w:id="32" w:name="_Toc2183"/>
      <w:bookmarkStart w:id="33" w:name="_Toc6062"/>
      <w:r>
        <w:rPr>
          <w:rFonts w:hint="eastAsia" w:ascii="Times New Roman" w:hAnsi="Times New Roman" w:eastAsia="仿宋_GB2312" w:cs="宋体"/>
          <w:bCs/>
          <w:kern w:val="0"/>
          <w:sz w:val="32"/>
          <w:szCs w:val="32"/>
        </w:rPr>
        <w:t>一、《收入支出决算总表》</w:t>
      </w:r>
      <w:bookmarkEnd w:id="32"/>
      <w:bookmarkEnd w:id="33"/>
    </w:p>
    <w:p w14:paraId="1803F06F">
      <w:pPr>
        <w:keepNext w:val="0"/>
        <w:keepLines w:val="0"/>
        <w:pageBreakBefore w:val="0"/>
        <w:wordWrap/>
        <w:overflowPunct/>
        <w:topLinePunct w:val="0"/>
        <w:bidi w:val="0"/>
        <w:spacing w:line="560" w:lineRule="exact"/>
        <w:ind w:firstLine="640" w:firstLineChars="200"/>
        <w:jc w:val="both"/>
        <w:textAlignment w:val="auto"/>
        <w:outlineLvl w:val="1"/>
        <w:rPr>
          <w:rFonts w:ascii="Times New Roman" w:hAnsi="Times New Roman" w:eastAsia="仿宋_GB2312" w:cs="宋体"/>
          <w:bCs/>
          <w:kern w:val="0"/>
          <w:sz w:val="32"/>
          <w:szCs w:val="32"/>
        </w:rPr>
      </w:pPr>
      <w:bookmarkStart w:id="34" w:name="_Toc30364"/>
      <w:bookmarkStart w:id="35" w:name="_Toc24532"/>
      <w:r>
        <w:rPr>
          <w:rFonts w:hint="eastAsia" w:ascii="Times New Roman" w:hAnsi="Times New Roman" w:eastAsia="仿宋_GB2312" w:cs="宋体"/>
          <w:bCs/>
          <w:kern w:val="0"/>
          <w:sz w:val="32"/>
          <w:szCs w:val="32"/>
        </w:rPr>
        <w:t>二、《收入决算表》</w:t>
      </w:r>
      <w:bookmarkEnd w:id="34"/>
      <w:bookmarkEnd w:id="35"/>
    </w:p>
    <w:p w14:paraId="74D9090E">
      <w:pPr>
        <w:keepNext w:val="0"/>
        <w:keepLines w:val="0"/>
        <w:pageBreakBefore w:val="0"/>
        <w:wordWrap/>
        <w:overflowPunct/>
        <w:topLinePunct w:val="0"/>
        <w:bidi w:val="0"/>
        <w:spacing w:line="560" w:lineRule="exact"/>
        <w:ind w:firstLine="640" w:firstLineChars="200"/>
        <w:jc w:val="both"/>
        <w:textAlignment w:val="auto"/>
        <w:outlineLvl w:val="1"/>
        <w:rPr>
          <w:rFonts w:ascii="Times New Roman" w:hAnsi="Times New Roman" w:eastAsia="仿宋_GB2312" w:cs="宋体"/>
          <w:bCs/>
          <w:kern w:val="0"/>
          <w:sz w:val="32"/>
          <w:szCs w:val="32"/>
        </w:rPr>
      </w:pPr>
      <w:bookmarkStart w:id="36" w:name="_Toc21304"/>
      <w:bookmarkStart w:id="37" w:name="_Toc32434"/>
      <w:r>
        <w:rPr>
          <w:rFonts w:hint="eastAsia" w:ascii="Times New Roman" w:hAnsi="Times New Roman" w:eastAsia="仿宋_GB2312" w:cs="宋体"/>
          <w:bCs/>
          <w:kern w:val="0"/>
          <w:sz w:val="32"/>
          <w:szCs w:val="32"/>
        </w:rPr>
        <w:t>三、《支出决算表》</w:t>
      </w:r>
      <w:bookmarkEnd w:id="36"/>
      <w:bookmarkEnd w:id="37"/>
    </w:p>
    <w:p w14:paraId="2F27F146">
      <w:pPr>
        <w:keepNext w:val="0"/>
        <w:keepLines w:val="0"/>
        <w:pageBreakBefore w:val="0"/>
        <w:wordWrap/>
        <w:overflowPunct/>
        <w:topLinePunct w:val="0"/>
        <w:bidi w:val="0"/>
        <w:spacing w:line="560" w:lineRule="exact"/>
        <w:ind w:firstLine="640" w:firstLineChars="200"/>
        <w:jc w:val="both"/>
        <w:textAlignment w:val="auto"/>
        <w:outlineLvl w:val="1"/>
        <w:rPr>
          <w:rFonts w:ascii="Times New Roman" w:hAnsi="Times New Roman" w:eastAsia="仿宋_GB2312" w:cs="宋体"/>
          <w:bCs/>
          <w:kern w:val="0"/>
          <w:sz w:val="32"/>
          <w:szCs w:val="32"/>
        </w:rPr>
      </w:pPr>
      <w:bookmarkStart w:id="38" w:name="_Toc14238"/>
      <w:bookmarkStart w:id="39" w:name="_Toc28786"/>
      <w:r>
        <w:rPr>
          <w:rFonts w:hint="eastAsia" w:ascii="Times New Roman" w:hAnsi="Times New Roman" w:eastAsia="仿宋_GB2312" w:cs="宋体"/>
          <w:bCs/>
          <w:kern w:val="0"/>
          <w:sz w:val="32"/>
          <w:szCs w:val="32"/>
        </w:rPr>
        <w:t>四、《财政拨款收入支出决算总表》</w:t>
      </w:r>
      <w:bookmarkEnd w:id="38"/>
      <w:bookmarkEnd w:id="39"/>
    </w:p>
    <w:p w14:paraId="12B7AF1F">
      <w:pPr>
        <w:keepNext w:val="0"/>
        <w:keepLines w:val="0"/>
        <w:pageBreakBefore w:val="0"/>
        <w:wordWrap/>
        <w:overflowPunct/>
        <w:topLinePunct w:val="0"/>
        <w:bidi w:val="0"/>
        <w:spacing w:line="560" w:lineRule="exact"/>
        <w:ind w:firstLine="640" w:firstLineChars="200"/>
        <w:jc w:val="both"/>
        <w:textAlignment w:val="auto"/>
        <w:outlineLvl w:val="1"/>
        <w:rPr>
          <w:rFonts w:ascii="Times New Roman" w:hAnsi="Times New Roman" w:eastAsia="仿宋_GB2312" w:cs="宋体"/>
          <w:bCs/>
          <w:kern w:val="0"/>
          <w:sz w:val="32"/>
          <w:szCs w:val="32"/>
        </w:rPr>
      </w:pPr>
      <w:bookmarkStart w:id="40" w:name="_Toc14869"/>
      <w:bookmarkStart w:id="41" w:name="_Toc10347"/>
      <w:r>
        <w:rPr>
          <w:rFonts w:hint="eastAsia" w:ascii="Times New Roman" w:hAnsi="Times New Roman" w:eastAsia="仿宋_GB2312" w:cs="宋体"/>
          <w:bCs/>
          <w:kern w:val="0"/>
          <w:sz w:val="32"/>
          <w:szCs w:val="32"/>
        </w:rPr>
        <w:t>五、《一般公共预算财政拨款支出决算表》</w:t>
      </w:r>
      <w:bookmarkEnd w:id="40"/>
      <w:bookmarkEnd w:id="41"/>
    </w:p>
    <w:p w14:paraId="32850E8C">
      <w:pPr>
        <w:keepNext w:val="0"/>
        <w:keepLines w:val="0"/>
        <w:pageBreakBefore w:val="0"/>
        <w:wordWrap/>
        <w:overflowPunct/>
        <w:topLinePunct w:val="0"/>
        <w:bidi w:val="0"/>
        <w:spacing w:line="560" w:lineRule="exact"/>
        <w:ind w:firstLine="640" w:firstLineChars="200"/>
        <w:jc w:val="both"/>
        <w:textAlignment w:val="auto"/>
        <w:outlineLvl w:val="1"/>
        <w:rPr>
          <w:rFonts w:ascii="Times New Roman" w:hAnsi="Times New Roman" w:eastAsia="仿宋_GB2312" w:cs="宋体"/>
          <w:bCs/>
          <w:kern w:val="0"/>
          <w:sz w:val="32"/>
          <w:szCs w:val="32"/>
        </w:rPr>
      </w:pPr>
      <w:bookmarkStart w:id="42" w:name="_Toc5626"/>
      <w:bookmarkStart w:id="43" w:name="_Toc8884"/>
      <w:r>
        <w:rPr>
          <w:rFonts w:hint="eastAsia" w:ascii="Times New Roman" w:hAnsi="Times New Roman" w:eastAsia="仿宋_GB2312" w:cs="宋体"/>
          <w:bCs/>
          <w:kern w:val="0"/>
          <w:sz w:val="32"/>
          <w:szCs w:val="32"/>
        </w:rPr>
        <w:t>六、《一般公共预算财政拨款基本支出决算表》</w:t>
      </w:r>
      <w:bookmarkEnd w:id="42"/>
      <w:bookmarkEnd w:id="43"/>
    </w:p>
    <w:p w14:paraId="1F28EC5D">
      <w:pPr>
        <w:keepNext w:val="0"/>
        <w:keepLines w:val="0"/>
        <w:pageBreakBefore w:val="0"/>
        <w:wordWrap/>
        <w:overflowPunct/>
        <w:topLinePunct w:val="0"/>
        <w:bidi w:val="0"/>
        <w:spacing w:line="560" w:lineRule="exact"/>
        <w:ind w:firstLine="640" w:firstLineChars="200"/>
        <w:jc w:val="both"/>
        <w:textAlignment w:val="auto"/>
        <w:outlineLvl w:val="1"/>
        <w:rPr>
          <w:rFonts w:ascii="Times New Roman" w:hAnsi="Times New Roman" w:eastAsia="仿宋_GB2312" w:cs="宋体"/>
          <w:bCs/>
          <w:kern w:val="0"/>
          <w:sz w:val="32"/>
          <w:szCs w:val="32"/>
        </w:rPr>
      </w:pPr>
      <w:r>
        <w:rPr>
          <w:rFonts w:hint="eastAsia" w:ascii="Times New Roman" w:hAnsi="Times New Roman" w:eastAsia="仿宋_GB2312" w:cs="宋体"/>
          <w:bCs/>
          <w:kern w:val="0"/>
          <w:sz w:val="32"/>
          <w:szCs w:val="32"/>
        </w:rPr>
        <w:t>七、</w:t>
      </w:r>
      <w:bookmarkStart w:id="44" w:name="_Toc32663"/>
      <w:bookmarkStart w:id="45" w:name="_Toc29106"/>
      <w:r>
        <w:rPr>
          <w:rFonts w:hint="eastAsia" w:ascii="Times New Roman" w:hAnsi="Times New Roman" w:eastAsia="仿宋_GB2312" w:cs="宋体"/>
          <w:bCs/>
          <w:kern w:val="0"/>
          <w:sz w:val="32"/>
          <w:szCs w:val="32"/>
        </w:rPr>
        <w:t>《财政拨款“三公”经费支出决算表》</w:t>
      </w:r>
      <w:bookmarkEnd w:id="44"/>
      <w:bookmarkEnd w:id="45"/>
    </w:p>
    <w:p w14:paraId="79D34DDF">
      <w:pPr>
        <w:keepNext w:val="0"/>
        <w:keepLines w:val="0"/>
        <w:pageBreakBefore w:val="0"/>
        <w:wordWrap/>
        <w:overflowPunct/>
        <w:topLinePunct w:val="0"/>
        <w:bidi w:val="0"/>
        <w:spacing w:line="560" w:lineRule="exact"/>
        <w:ind w:firstLine="640" w:firstLineChars="200"/>
        <w:jc w:val="both"/>
        <w:textAlignment w:val="auto"/>
        <w:outlineLvl w:val="1"/>
        <w:rPr>
          <w:rFonts w:ascii="Times New Roman" w:hAnsi="Times New Roman" w:eastAsia="仿宋_GB2312" w:cs="宋体"/>
          <w:bCs/>
          <w:kern w:val="0"/>
          <w:sz w:val="32"/>
          <w:szCs w:val="32"/>
        </w:rPr>
      </w:pPr>
      <w:bookmarkStart w:id="46" w:name="_Toc5453"/>
      <w:bookmarkStart w:id="47" w:name="_Toc7643"/>
      <w:r>
        <w:rPr>
          <w:rFonts w:hint="eastAsia" w:ascii="Times New Roman" w:hAnsi="Times New Roman" w:eastAsia="仿宋_GB2312" w:cs="宋体"/>
          <w:bCs/>
          <w:kern w:val="0"/>
          <w:sz w:val="32"/>
          <w:szCs w:val="32"/>
        </w:rPr>
        <w:t>八、《政府性基金预算财政拨款收入支出决算表》</w:t>
      </w:r>
      <w:bookmarkEnd w:id="46"/>
      <w:bookmarkEnd w:id="47"/>
    </w:p>
    <w:p w14:paraId="2E856886">
      <w:pPr>
        <w:keepNext w:val="0"/>
        <w:keepLines w:val="0"/>
        <w:pageBreakBefore w:val="0"/>
        <w:wordWrap/>
        <w:overflowPunct/>
        <w:topLinePunct w:val="0"/>
        <w:bidi w:val="0"/>
        <w:spacing w:line="560" w:lineRule="exact"/>
        <w:ind w:firstLine="640" w:firstLineChars="200"/>
        <w:jc w:val="both"/>
        <w:textAlignment w:val="auto"/>
        <w:outlineLvl w:val="1"/>
        <w:rPr>
          <w:rFonts w:ascii="Times New Roman" w:hAnsi="Times New Roman" w:eastAsia="仿宋_GB2312" w:cs="宋体"/>
          <w:bCs/>
          <w:kern w:val="0"/>
          <w:sz w:val="32"/>
          <w:szCs w:val="32"/>
        </w:rPr>
      </w:pPr>
      <w:r>
        <w:rPr>
          <w:rFonts w:hint="eastAsia" w:ascii="Times New Roman" w:hAnsi="Times New Roman" w:eastAsia="仿宋_GB2312" w:cs="宋体"/>
          <w:bCs/>
          <w:kern w:val="0"/>
          <w:sz w:val="32"/>
          <w:szCs w:val="32"/>
        </w:rPr>
        <w:t>九、《国有资本经营预算财政拨款收入支出决算表》</w:t>
      </w:r>
    </w:p>
    <w:p w14:paraId="3017119B">
      <w:pPr>
        <w:keepNext w:val="0"/>
        <w:keepLines w:val="0"/>
        <w:pageBreakBefore w:val="0"/>
        <w:wordWrap/>
        <w:overflowPunct/>
        <w:topLinePunct w:val="0"/>
        <w:bidi w:val="0"/>
        <w:spacing w:line="560" w:lineRule="exact"/>
        <w:jc w:val="both"/>
        <w:textAlignment w:val="auto"/>
        <w:outlineLvl w:val="1"/>
        <w:rPr>
          <w:rFonts w:ascii="Times New Roman" w:hAnsi="Times New Roman" w:eastAsia="黑体" w:cs="宋体"/>
          <w:bCs/>
          <w:kern w:val="0"/>
          <w:sz w:val="32"/>
          <w:szCs w:val="32"/>
        </w:rPr>
      </w:pPr>
    </w:p>
    <w:sectPr>
      <w:headerReference r:id="rId3" w:type="default"/>
      <w:footerReference r:id="rId4" w:type="default"/>
      <w:pgSz w:w="11906" w:h="16838"/>
      <w:pgMar w:top="1440" w:right="1800" w:bottom="1440" w:left="1800"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auto"/>
    <w:pitch w:val="default"/>
    <w:sig w:usb0="00000000" w:usb1="0000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B61F51">
    <w:pPr>
      <w:pStyle w:val="5"/>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14:paraId="2750AE96">
                          <w:pPr>
                            <w:pStyle w:val="5"/>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 </w:t>
                          </w: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  \* MERGEFORMAT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19</w:t>
                          </w:r>
                          <w:r>
                            <w:rPr>
                              <w:rFonts w:hint="eastAsia" w:asciiTheme="minorEastAsia" w:hAnsiTheme="minorEastAsia" w:eastAsiaTheme="minorEastAsia" w:cstheme="minorEastAsia"/>
                              <w:sz w:val="28"/>
                              <w:szCs w:val="28"/>
                            </w:rPr>
                            <w:fldChar w:fldCharType="end"/>
                          </w:r>
                          <w:r>
                            <w:rPr>
                              <w:rFonts w:hint="eastAsia" w:asciiTheme="minorEastAsia" w:hAnsiTheme="minorEastAsia" w:eastAsiaTheme="minorEastAsia" w:cstheme="minorEastAsia"/>
                              <w:sz w:val="28"/>
                              <w:szCs w:val="28"/>
                            </w:rPr>
                            <w:t xml:space="preserve"> —</w:t>
                          </w:r>
                        </w:p>
                      </w:txbxContent>
                    </wps:txbx>
                    <wps:bodyPr wrap="none" lIns="0" tIns="0" rIns="0" bIns="0" upright="1">
                      <a:spAutoFit/>
                    </wps:bodyPr>
                  </wps:wsp>
                </a:graphicData>
              </a:graphic>
            </wp:anchor>
          </w:drawing>
        </mc:Choice>
        <mc:Fallback>
          <w:pict>
            <v:shape id="文本框 2"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">
              <v:fill on="f" focussize="0,0"/>
              <v:stroke on="f"/>
              <v:imagedata o:title=""/>
              <o:lock v:ext="edit" aspectratio="f"/>
              <v:textbox inset="0mm,0mm,0mm,0mm" style="mso-fit-shape-to-text:t;">
                <w:txbxContent>
                  <w:p w14:paraId="2750AE96">
                    <w:pPr>
                      <w:pStyle w:val="5"/>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 </w:t>
                    </w: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  \* MERGEFORMAT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19</w:t>
                    </w:r>
                    <w:r>
                      <w:rPr>
                        <w:rFonts w:hint="eastAsia" w:asciiTheme="minorEastAsia" w:hAnsiTheme="minorEastAsia" w:eastAsiaTheme="minorEastAsia" w:cstheme="minorEastAsia"/>
                        <w:sz w:val="28"/>
                        <w:szCs w:val="28"/>
                      </w:rPr>
                      <w:fldChar w:fldCharType="end"/>
                    </w:r>
                    <w:r>
                      <w:rPr>
                        <w:rFonts w:hint="eastAsia" w:asciiTheme="minorEastAsia" w:hAnsiTheme="minorEastAsia" w:eastAsiaTheme="minorEastAsia" w:cstheme="minorEastAsia"/>
                        <w:sz w:val="28"/>
                        <w:szCs w:val="28"/>
                      </w:rPr>
                      <w:t xml:space="preserve"> —</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5AEE39">
    <w:pPr>
      <w:pStyle w:val="6"/>
      <w:pBdr>
        <w:bottom w:val="none" w:color="auto" w:sz="0" w:space="0"/>
      </w:pBdr>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E2MGViNzI1MmRhNDJjODU1MzgxMDhkY2ZmYjgwN2MifQ=="/>
    <w:docVar w:name="KSO_WPS_MARK_KEY" w:val="41ee2a61-2d54-4f93-83be-afdb9a40d732"/>
  </w:docVars>
  <w:rsids>
    <w:rsidRoot w:val="005B555B"/>
    <w:rsid w:val="00142402"/>
    <w:rsid w:val="001C6C24"/>
    <w:rsid w:val="00213C59"/>
    <w:rsid w:val="003210CE"/>
    <w:rsid w:val="005B555B"/>
    <w:rsid w:val="006B3722"/>
    <w:rsid w:val="007269E9"/>
    <w:rsid w:val="0078143C"/>
    <w:rsid w:val="007F119D"/>
    <w:rsid w:val="00AF6FE9"/>
    <w:rsid w:val="00B22122"/>
    <w:rsid w:val="00B70D59"/>
    <w:rsid w:val="00C25766"/>
    <w:rsid w:val="00D7261C"/>
    <w:rsid w:val="00D7782F"/>
    <w:rsid w:val="00E24C71"/>
    <w:rsid w:val="00F40619"/>
    <w:rsid w:val="00F52A8D"/>
    <w:rsid w:val="00F679CD"/>
    <w:rsid w:val="00FA175F"/>
    <w:rsid w:val="019404F8"/>
    <w:rsid w:val="01D27AD0"/>
    <w:rsid w:val="020D3744"/>
    <w:rsid w:val="025657AD"/>
    <w:rsid w:val="02BD3108"/>
    <w:rsid w:val="02F73D26"/>
    <w:rsid w:val="034D4FEF"/>
    <w:rsid w:val="035D1785"/>
    <w:rsid w:val="039F47CE"/>
    <w:rsid w:val="03E05CE8"/>
    <w:rsid w:val="03F973EE"/>
    <w:rsid w:val="04210E57"/>
    <w:rsid w:val="043E5B56"/>
    <w:rsid w:val="04C04386"/>
    <w:rsid w:val="04FA68C4"/>
    <w:rsid w:val="053F5AE6"/>
    <w:rsid w:val="057161FA"/>
    <w:rsid w:val="057C0B0F"/>
    <w:rsid w:val="05EF4B48"/>
    <w:rsid w:val="05F76ECA"/>
    <w:rsid w:val="06792773"/>
    <w:rsid w:val="07093795"/>
    <w:rsid w:val="07804730"/>
    <w:rsid w:val="079052BE"/>
    <w:rsid w:val="08145C21"/>
    <w:rsid w:val="08422688"/>
    <w:rsid w:val="085854ED"/>
    <w:rsid w:val="0879188F"/>
    <w:rsid w:val="08A0354D"/>
    <w:rsid w:val="08CD4C49"/>
    <w:rsid w:val="08F655F4"/>
    <w:rsid w:val="09114954"/>
    <w:rsid w:val="095A5B83"/>
    <w:rsid w:val="096466E3"/>
    <w:rsid w:val="0968304D"/>
    <w:rsid w:val="09AF3D17"/>
    <w:rsid w:val="0A7809B7"/>
    <w:rsid w:val="0A7B4867"/>
    <w:rsid w:val="0A840954"/>
    <w:rsid w:val="0A9928ED"/>
    <w:rsid w:val="0B61769D"/>
    <w:rsid w:val="0B8C3ECC"/>
    <w:rsid w:val="0B9C639D"/>
    <w:rsid w:val="0BB052B2"/>
    <w:rsid w:val="0BB856CB"/>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D50C50"/>
    <w:rsid w:val="16E120E1"/>
    <w:rsid w:val="17385A05"/>
    <w:rsid w:val="173B3901"/>
    <w:rsid w:val="176747F9"/>
    <w:rsid w:val="17954A6E"/>
    <w:rsid w:val="17BC6462"/>
    <w:rsid w:val="180059E9"/>
    <w:rsid w:val="184510FD"/>
    <w:rsid w:val="190648B0"/>
    <w:rsid w:val="19071D6C"/>
    <w:rsid w:val="19D26CD4"/>
    <w:rsid w:val="19E60D19"/>
    <w:rsid w:val="1A11567A"/>
    <w:rsid w:val="1A3E3450"/>
    <w:rsid w:val="1AD807E5"/>
    <w:rsid w:val="1B39345B"/>
    <w:rsid w:val="1BD6553D"/>
    <w:rsid w:val="1BFB2A1F"/>
    <w:rsid w:val="1C015D4A"/>
    <w:rsid w:val="1C290ED5"/>
    <w:rsid w:val="1C317E4F"/>
    <w:rsid w:val="1C472464"/>
    <w:rsid w:val="1CA35BB0"/>
    <w:rsid w:val="1D22799A"/>
    <w:rsid w:val="1D5C1A72"/>
    <w:rsid w:val="1DAF458D"/>
    <w:rsid w:val="1E086ACE"/>
    <w:rsid w:val="1E62130A"/>
    <w:rsid w:val="1E97358B"/>
    <w:rsid w:val="1EAA4A5F"/>
    <w:rsid w:val="1EE869A7"/>
    <w:rsid w:val="1F6115C2"/>
    <w:rsid w:val="1F642D26"/>
    <w:rsid w:val="1F7D6E36"/>
    <w:rsid w:val="1FA15E62"/>
    <w:rsid w:val="1FED69B6"/>
    <w:rsid w:val="204F437C"/>
    <w:rsid w:val="2064678E"/>
    <w:rsid w:val="20DC1AB9"/>
    <w:rsid w:val="20DD6197"/>
    <w:rsid w:val="212631E0"/>
    <w:rsid w:val="21A53757"/>
    <w:rsid w:val="221236C6"/>
    <w:rsid w:val="223750BB"/>
    <w:rsid w:val="22D7662C"/>
    <w:rsid w:val="23326B7F"/>
    <w:rsid w:val="2380045B"/>
    <w:rsid w:val="23A45F21"/>
    <w:rsid w:val="23BC04D2"/>
    <w:rsid w:val="23EF1892"/>
    <w:rsid w:val="2483647E"/>
    <w:rsid w:val="24A32D55"/>
    <w:rsid w:val="25292727"/>
    <w:rsid w:val="252E5CA9"/>
    <w:rsid w:val="256F7692"/>
    <w:rsid w:val="25BA2154"/>
    <w:rsid w:val="25C8773F"/>
    <w:rsid w:val="26461511"/>
    <w:rsid w:val="264A7253"/>
    <w:rsid w:val="26F0170C"/>
    <w:rsid w:val="27201D62"/>
    <w:rsid w:val="27286E69"/>
    <w:rsid w:val="27286E73"/>
    <w:rsid w:val="27CF2642"/>
    <w:rsid w:val="27E777F5"/>
    <w:rsid w:val="27EA1D4C"/>
    <w:rsid w:val="27EA2E41"/>
    <w:rsid w:val="27FAA136"/>
    <w:rsid w:val="28053F85"/>
    <w:rsid w:val="282459E2"/>
    <w:rsid w:val="283A7FE5"/>
    <w:rsid w:val="285F51FF"/>
    <w:rsid w:val="28DF2665"/>
    <w:rsid w:val="29072599"/>
    <w:rsid w:val="291029F3"/>
    <w:rsid w:val="29CB58F0"/>
    <w:rsid w:val="2A053397"/>
    <w:rsid w:val="2A145E96"/>
    <w:rsid w:val="2AF5378F"/>
    <w:rsid w:val="2B0E273B"/>
    <w:rsid w:val="2B6807CC"/>
    <w:rsid w:val="2BB94DBF"/>
    <w:rsid w:val="2BFF4235"/>
    <w:rsid w:val="2C6F314E"/>
    <w:rsid w:val="2CC206BE"/>
    <w:rsid w:val="2CF577ED"/>
    <w:rsid w:val="2D1136DF"/>
    <w:rsid w:val="2D20606D"/>
    <w:rsid w:val="2DB87198"/>
    <w:rsid w:val="2DB93C54"/>
    <w:rsid w:val="2DE762E0"/>
    <w:rsid w:val="2E3D144C"/>
    <w:rsid w:val="2E891204"/>
    <w:rsid w:val="2E906647"/>
    <w:rsid w:val="2EB06528"/>
    <w:rsid w:val="2F3F0A28"/>
    <w:rsid w:val="2F634EE2"/>
    <w:rsid w:val="2FB92D54"/>
    <w:rsid w:val="2FBF7029"/>
    <w:rsid w:val="2FD0187F"/>
    <w:rsid w:val="2FD27414"/>
    <w:rsid w:val="2FE5320F"/>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4B0B75"/>
    <w:rsid w:val="35B436A4"/>
    <w:rsid w:val="35E00D72"/>
    <w:rsid w:val="36965B9D"/>
    <w:rsid w:val="36BA64B5"/>
    <w:rsid w:val="36C549FD"/>
    <w:rsid w:val="37A755DD"/>
    <w:rsid w:val="37F94FA0"/>
    <w:rsid w:val="380D3381"/>
    <w:rsid w:val="38115B1F"/>
    <w:rsid w:val="385E3AC3"/>
    <w:rsid w:val="387D6B9E"/>
    <w:rsid w:val="38B75FF0"/>
    <w:rsid w:val="38D45016"/>
    <w:rsid w:val="38D90432"/>
    <w:rsid w:val="3914510A"/>
    <w:rsid w:val="3926770B"/>
    <w:rsid w:val="397B6B48"/>
    <w:rsid w:val="398D3668"/>
    <w:rsid w:val="39DA0497"/>
    <w:rsid w:val="3A893816"/>
    <w:rsid w:val="3A893B6D"/>
    <w:rsid w:val="3AB033B3"/>
    <w:rsid w:val="3AD1763A"/>
    <w:rsid w:val="3B6716E3"/>
    <w:rsid w:val="3B6C6B2D"/>
    <w:rsid w:val="3B904759"/>
    <w:rsid w:val="3C242659"/>
    <w:rsid w:val="3C2D2B00"/>
    <w:rsid w:val="3C96719C"/>
    <w:rsid w:val="3CA72BE8"/>
    <w:rsid w:val="3CF37F8C"/>
    <w:rsid w:val="3D137554"/>
    <w:rsid w:val="3D5275AC"/>
    <w:rsid w:val="3D6C4254"/>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161AFD"/>
    <w:rsid w:val="405470BD"/>
    <w:rsid w:val="405A7C3B"/>
    <w:rsid w:val="40794A29"/>
    <w:rsid w:val="40834692"/>
    <w:rsid w:val="40EC6ABF"/>
    <w:rsid w:val="41431AD5"/>
    <w:rsid w:val="414B3C0F"/>
    <w:rsid w:val="417C1CE7"/>
    <w:rsid w:val="418D5DEE"/>
    <w:rsid w:val="41900018"/>
    <w:rsid w:val="41944406"/>
    <w:rsid w:val="41A51F5F"/>
    <w:rsid w:val="41CE128F"/>
    <w:rsid w:val="41DA6F12"/>
    <w:rsid w:val="42171FB1"/>
    <w:rsid w:val="434E6957"/>
    <w:rsid w:val="43BA0E31"/>
    <w:rsid w:val="43C15147"/>
    <w:rsid w:val="43E14DD2"/>
    <w:rsid w:val="43F800E9"/>
    <w:rsid w:val="443A7E4B"/>
    <w:rsid w:val="449B1734"/>
    <w:rsid w:val="452F5B3A"/>
    <w:rsid w:val="454E7FD2"/>
    <w:rsid w:val="46061BDC"/>
    <w:rsid w:val="461404F8"/>
    <w:rsid w:val="46413018"/>
    <w:rsid w:val="464B7E04"/>
    <w:rsid w:val="468041AA"/>
    <w:rsid w:val="468123C6"/>
    <w:rsid w:val="46901EEE"/>
    <w:rsid w:val="469C74D2"/>
    <w:rsid w:val="47070EE9"/>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C72371"/>
    <w:rsid w:val="4AE12E67"/>
    <w:rsid w:val="4B4C0111"/>
    <w:rsid w:val="4B8553A9"/>
    <w:rsid w:val="4BDB3730"/>
    <w:rsid w:val="4C200F7A"/>
    <w:rsid w:val="4C7B0D3F"/>
    <w:rsid w:val="4CEE3180"/>
    <w:rsid w:val="4D0F4AF6"/>
    <w:rsid w:val="4DF94F37"/>
    <w:rsid w:val="4E0A1DD5"/>
    <w:rsid w:val="4E3160E5"/>
    <w:rsid w:val="4E4D37AF"/>
    <w:rsid w:val="4E8925E8"/>
    <w:rsid w:val="4E8C6496"/>
    <w:rsid w:val="4EBE757A"/>
    <w:rsid w:val="4EEF633A"/>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C811C0"/>
    <w:rsid w:val="555B2034"/>
    <w:rsid w:val="556A442D"/>
    <w:rsid w:val="55AF081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BFD2AC9"/>
    <w:rsid w:val="5C0D1F49"/>
    <w:rsid w:val="5CBB0CE2"/>
    <w:rsid w:val="5CC17177"/>
    <w:rsid w:val="5CF306BC"/>
    <w:rsid w:val="5D3F3D64"/>
    <w:rsid w:val="5D833043"/>
    <w:rsid w:val="5DD92690"/>
    <w:rsid w:val="5DDB1CFD"/>
    <w:rsid w:val="5E7E6D93"/>
    <w:rsid w:val="5ED44800"/>
    <w:rsid w:val="5F350BDE"/>
    <w:rsid w:val="5F61632C"/>
    <w:rsid w:val="5F8B482E"/>
    <w:rsid w:val="5FA17648"/>
    <w:rsid w:val="5FE705CB"/>
    <w:rsid w:val="603D5080"/>
    <w:rsid w:val="60D0261B"/>
    <w:rsid w:val="616E7593"/>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5EF6AE3"/>
    <w:rsid w:val="66085536"/>
    <w:rsid w:val="66105BF7"/>
    <w:rsid w:val="66150023"/>
    <w:rsid w:val="6628010D"/>
    <w:rsid w:val="669B4528"/>
    <w:rsid w:val="66BC04C3"/>
    <w:rsid w:val="66CC12D7"/>
    <w:rsid w:val="67134CEF"/>
    <w:rsid w:val="671F1ABD"/>
    <w:rsid w:val="67265F15"/>
    <w:rsid w:val="67521A59"/>
    <w:rsid w:val="67C304AB"/>
    <w:rsid w:val="683F0658"/>
    <w:rsid w:val="689C6793"/>
    <w:rsid w:val="68DB0208"/>
    <w:rsid w:val="68FB170C"/>
    <w:rsid w:val="691B3D98"/>
    <w:rsid w:val="693748F0"/>
    <w:rsid w:val="69846A0E"/>
    <w:rsid w:val="69AD798C"/>
    <w:rsid w:val="69B31FE7"/>
    <w:rsid w:val="69D005C0"/>
    <w:rsid w:val="69D80B96"/>
    <w:rsid w:val="6B68175F"/>
    <w:rsid w:val="6BFD799F"/>
    <w:rsid w:val="6C4A2E5A"/>
    <w:rsid w:val="6C8138D0"/>
    <w:rsid w:val="6CEF0725"/>
    <w:rsid w:val="6D4B2604"/>
    <w:rsid w:val="6D676059"/>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D0083"/>
    <w:rsid w:val="712E6956"/>
    <w:rsid w:val="71473612"/>
    <w:rsid w:val="71504F32"/>
    <w:rsid w:val="7152309F"/>
    <w:rsid w:val="718F7F65"/>
    <w:rsid w:val="727B234E"/>
    <w:rsid w:val="72D068C7"/>
    <w:rsid w:val="72E42ED8"/>
    <w:rsid w:val="735F4CB9"/>
    <w:rsid w:val="73674C62"/>
    <w:rsid w:val="73845865"/>
    <w:rsid w:val="73993FFB"/>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6F74268"/>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0B5527"/>
    <w:rsid w:val="7A6242BF"/>
    <w:rsid w:val="7A794513"/>
    <w:rsid w:val="7AE952D2"/>
    <w:rsid w:val="7B3E01CE"/>
    <w:rsid w:val="7B6C4DDB"/>
    <w:rsid w:val="7C976D69"/>
    <w:rsid w:val="7CD752DA"/>
    <w:rsid w:val="7CDE40AB"/>
    <w:rsid w:val="7CF057E2"/>
    <w:rsid w:val="7D1548B5"/>
    <w:rsid w:val="7DF84014"/>
    <w:rsid w:val="7E207949"/>
    <w:rsid w:val="7E5C0A47"/>
    <w:rsid w:val="7E670C75"/>
    <w:rsid w:val="7E7FC92A"/>
    <w:rsid w:val="7EE24272"/>
    <w:rsid w:val="7EEA6053"/>
    <w:rsid w:val="7EF3292A"/>
    <w:rsid w:val="7F487C04"/>
    <w:rsid w:val="7F8FD62B"/>
    <w:rsid w:val="7FB45F21"/>
    <w:rsid w:val="7FE57088"/>
    <w:rsid w:val="7FF37FA3"/>
    <w:rsid w:val="AEFFBF8E"/>
    <w:rsid w:val="BBFD1512"/>
    <w:rsid w:val="BF7FE3B1"/>
    <w:rsid w:val="D7A3DDDD"/>
    <w:rsid w:val="F7FF499F"/>
    <w:rsid w:val="FF6F09DD"/>
    <w:rsid w:val="FF7F9694"/>
    <w:rsid w:val="FFCB8896"/>
    <w:rsid w:val="FFF8C803"/>
    <w:rsid w:val="FFFDE472"/>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6" w:semiHidden="0" w:name="header"/>
    <w:lsdException w:qFormat="1" w:unhideWhenUsed="0" w:uiPriority="6"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7"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1">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Body Text"/>
    <w:basedOn w:val="1"/>
    <w:unhideWhenUsed/>
    <w:qFormat/>
    <w:uiPriority w:val="1"/>
    <w:pPr>
      <w:ind w:left="112"/>
    </w:pPr>
    <w:rPr>
      <w:rFonts w:hint="eastAsia" w:ascii="仿宋_GB2312" w:hAnsi="仿宋_GB2312" w:eastAsia="仿宋_GB2312"/>
      <w:sz w:val="28"/>
    </w:rPr>
  </w:style>
  <w:style w:type="paragraph" w:styleId="4">
    <w:name w:val="toc 3"/>
    <w:basedOn w:val="1"/>
    <w:next w:val="1"/>
    <w:qFormat/>
    <w:uiPriority w:val="0"/>
    <w:pPr>
      <w:ind w:left="840" w:leftChars="400"/>
    </w:pPr>
  </w:style>
  <w:style w:type="paragraph" w:styleId="5">
    <w:name w:val="footer"/>
    <w:basedOn w:val="1"/>
    <w:qFormat/>
    <w:uiPriority w:val="6"/>
    <w:pPr>
      <w:tabs>
        <w:tab w:val="center" w:pos="4153"/>
        <w:tab w:val="right" w:pos="8306"/>
      </w:tabs>
      <w:snapToGrid w:val="0"/>
      <w:jc w:val="left"/>
    </w:pPr>
    <w:rPr>
      <w:sz w:val="18"/>
    </w:rPr>
  </w:style>
  <w:style w:type="paragraph" w:styleId="6">
    <w:name w:val="header"/>
    <w:basedOn w:val="1"/>
    <w:qFormat/>
    <w:uiPriority w:val="6"/>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7">
    <w:name w:val="toc 1"/>
    <w:basedOn w:val="1"/>
    <w:next w:val="1"/>
    <w:qFormat/>
    <w:uiPriority w:val="0"/>
  </w:style>
  <w:style w:type="paragraph" w:styleId="8">
    <w:name w:val="toc 2"/>
    <w:basedOn w:val="1"/>
    <w:next w:val="1"/>
    <w:qFormat/>
    <w:uiPriority w:val="0"/>
    <w:pPr>
      <w:ind w:left="420" w:leftChars="200"/>
    </w:pPr>
  </w:style>
  <w:style w:type="paragraph" w:styleId="9">
    <w:name w:val="Normal (Web)"/>
    <w:basedOn w:val="1"/>
    <w:qFormat/>
    <w:uiPriority w:val="99"/>
    <w:pPr>
      <w:spacing w:before="100" w:beforeAutospacing="1" w:after="100" w:afterAutospacing="1"/>
      <w:jc w:val="left"/>
    </w:pPr>
    <w:rPr>
      <w:kern w:val="0"/>
      <w:sz w:val="24"/>
    </w:rPr>
  </w:style>
  <w:style w:type="character" w:styleId="12">
    <w:name w:val="Strong"/>
    <w:basedOn w:val="11"/>
    <w:qFormat/>
    <w:uiPriority w:val="0"/>
    <w:rPr>
      <w:b/>
    </w:rPr>
  </w:style>
  <w:style w:type="paragraph" w:customStyle="1" w:styleId="13">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14">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15">
    <w:name w:val="WPSOffice手动目录 1"/>
    <w:qFormat/>
    <w:uiPriority w:val="0"/>
    <w:rPr>
      <w:rFonts w:ascii="Times New Roman" w:hAnsi="Times New Roman" w:eastAsia="宋体" w:cs="Times New Roman"/>
      <w:lang w:val="en-US" w:eastAsia="zh-CN" w:bidi="ar-SA"/>
    </w:rPr>
  </w:style>
  <w:style w:type="paragraph" w:styleId="16">
    <w:name w:val="List Paragraph"/>
    <w:basedOn w:val="1"/>
    <w:qFormat/>
    <w:uiPriority w:val="7"/>
    <w:pPr>
      <w:spacing w:line="560" w:lineRule="exact"/>
      <w:ind w:firstLine="420" w:firstLineChars="200"/>
    </w:pPr>
    <w:rPr>
      <w:rFonts w:eastAsia="仿宋_GB2312"/>
      <w:color w:val="000000"/>
      <w:kern w:val="1"/>
      <w:sz w:val="32"/>
      <w:szCs w:val="32"/>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14</Pages>
  <Words>5876</Words>
  <Characters>6695</Characters>
  <Lines>24</Lines>
  <Paragraphs>33</Paragraphs>
  <TotalTime>19</TotalTime>
  <ScaleCrop>false</ScaleCrop>
  <LinksUpToDate>false</LinksUpToDate>
  <CharactersWithSpaces>6706</CharactersWithSpaces>
  <Application>WPS Office_12.1.0.17827_F1E327BC-269C-435d-A152-05C5408002CA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2024-08-27T06:41:00Z</dcterms:created>
  <dc:creator>GXR</dc:creator>
  <cp:lastModifiedBy>Administrator</cp:lastModifiedBy>
  <cp:lastPrinted>2024-08-29T03:57:00Z</cp:lastPrinted>
  <dcterms:modified xsi:type="dcterms:W3CDTF">2024-09-02T04:30:31Z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2052-12.1.0.17827</vt:lpwstr>
  </property>
  <property fmtid="{D5CDD505-2E9C-101B-9397-08002B2CF9AE}" pid="3" name="ICV">
    <vt:lpwstr>6BF266D515424B2F89858CE18D76CD91_13</vt:lpwstr>
  </property>
</Properties>
</file>