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新疆白杨河流域管理局</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pPr/>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hAnsi="仿宋_GB2312" w:eastAsia="仿宋_GB2312" w:cs="仿宋_GB2312"/>
          <w:spacing w:val="0"/>
          <w:sz w:val="32"/>
          <w:szCs w:val="32"/>
        </w:rPr>
        <w:t>根据国家、自治区有关法律法规和政策，在白杨河流域内行使水行政主管部门职责。负责白杨河流域内水资源统一管理</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rPr>
        <w:t>统筹协调流域用水，实施取水总量控制；负责流域内水资源保护工作，依法在管辖范围内开展水土保持监督管理、生态及水环境保护工作。</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eastAsia="仿宋_GB2312" w:cs="仿宋_GB2312"/>
          <w:sz w:val="32"/>
          <w:szCs w:val="32"/>
          <w:lang w:val="zh-CN"/>
        </w:rPr>
      </w:pPr>
      <w:r>
        <w:rPr>
          <w:rFonts w:hint="eastAsia" w:eastAsia="仿宋_GB2312" w:cs="仿宋_GB2312"/>
          <w:sz w:val="32"/>
          <w:szCs w:val="32"/>
          <w:lang w:val="zh-CN"/>
        </w:rPr>
        <w:t>新疆白杨河流域管理局2023年度，实有人数15人，其中：在职人员15人，离休人员0人，退休人员0人。</w:t>
      </w:r>
    </w:p>
    <w:p>
      <w:pPr>
        <w:ind w:firstLine="640" w:firstLineChars="200"/>
        <w:jc w:val="left"/>
        <w:rPr>
          <w:rFonts w:hint="eastAsia" w:eastAsia="仿宋_GB2312" w:cs="仿宋_GB2312"/>
          <w:sz w:val="32"/>
          <w:szCs w:val="32"/>
          <w:lang w:val="zh-CN"/>
        </w:rPr>
        <w:sectPr>
          <w:footerReference r:id="rId3" w:type="default"/>
          <w:pgSz w:w="11906" w:h="16838"/>
          <w:pgMar w:top="1440" w:right="1800" w:bottom="1440" w:left="1800" w:header="851" w:footer="992" w:gutter="0"/>
          <w:cols w:space="720" w:num="1"/>
          <w:docGrid w:type="lines" w:linePitch="312" w:charSpace="0"/>
        </w:sectPr>
      </w:pPr>
      <w:r>
        <w:rPr>
          <w:rFonts w:hint="eastAsia" w:eastAsia="仿宋_GB2312" w:cs="仿宋_GB2312"/>
          <w:sz w:val="32"/>
          <w:szCs w:val="32"/>
          <w:lang w:val="zh-CN"/>
        </w:rPr>
        <w:t>单位无下属预算单位，下设5个处室，分别是：综合处、计划财务（审计）处、水量调度处、建设管理处（安全监督处）、水政水资源处。</w:t>
      </w:r>
    </w:p>
    <w:p>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hint="eastAsia" w:eastAsia="仿宋_GB2312" w:cs="仿宋_GB2312"/>
          <w:sz w:val="32"/>
          <w:szCs w:val="32"/>
          <w:lang w:val="zh-CN"/>
        </w:rPr>
      </w:pPr>
      <w:r>
        <w:rPr>
          <w:rFonts w:hint="eastAsia" w:eastAsia="仿宋_GB2312" w:cs="仿宋_GB2312"/>
          <w:sz w:val="32"/>
          <w:szCs w:val="32"/>
          <w:lang w:val="zh-CN"/>
        </w:rPr>
        <w:t>2023年度收入总计671.74万元，其中：本年收入合计627.78万元，使用非财政拨款结余1.89万元，年初结转和结余42.07万元。</w:t>
      </w:r>
    </w:p>
    <w:p>
      <w:pPr>
        <w:ind w:firstLine="640" w:firstLineChars="200"/>
        <w:jc w:val="left"/>
        <w:rPr>
          <w:rFonts w:hint="eastAsia" w:eastAsia="仿宋_GB2312" w:cs="仿宋_GB2312"/>
          <w:sz w:val="32"/>
          <w:szCs w:val="32"/>
          <w:lang w:val="zh-CN"/>
        </w:rPr>
      </w:pPr>
      <w:r>
        <w:rPr>
          <w:rFonts w:hint="eastAsia" w:eastAsia="仿宋_GB2312" w:cs="仿宋_GB2312"/>
          <w:sz w:val="32"/>
          <w:szCs w:val="32"/>
          <w:lang w:val="zh-CN"/>
        </w:rPr>
        <w:t>2023年度支出总计671.74万元，其中：本年支出合计668.31万元，结余分配0.26万元，年末结转和结余3.17万元。</w:t>
      </w:r>
    </w:p>
    <w:p>
      <w:pPr>
        <w:ind w:firstLine="640" w:firstLineChars="200"/>
        <w:jc w:val="left"/>
        <w:rPr>
          <w:rFonts w:hint="eastAsia" w:eastAsia="仿宋_GB2312" w:cs="仿宋_GB2312"/>
          <w:sz w:val="32"/>
          <w:szCs w:val="32"/>
          <w:lang w:val="en-US" w:eastAsia="zh-CN"/>
        </w:rPr>
      </w:pPr>
      <w:r>
        <w:rPr>
          <w:rFonts w:hint="eastAsia" w:eastAsia="仿宋_GB2312" w:cs="仿宋_GB2312"/>
          <w:sz w:val="32"/>
          <w:szCs w:val="32"/>
          <w:lang w:val="zh-CN"/>
        </w:rPr>
        <w:t>收入支出总体与上年相比，增加66.77万元，增长11.04%，主要原因是：</w:t>
      </w:r>
      <w:r>
        <w:rPr>
          <w:rFonts w:hint="eastAsia" w:eastAsia="仿宋_GB2312" w:cs="仿宋_GB2312"/>
          <w:sz w:val="32"/>
          <w:szCs w:val="32"/>
          <w:lang w:val="en-US" w:eastAsia="zh-CN"/>
        </w:rPr>
        <w:t>原因为本年新增水利发展资金项目55万元，以及正常增资、社保费调整标准等原因小幅变动。</w:t>
      </w:r>
    </w:p>
    <w:p>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hint="eastAsia" w:eastAsia="仿宋_GB2312" w:cs="仿宋_GB2312"/>
          <w:sz w:val="32"/>
          <w:szCs w:val="32"/>
          <w:lang w:val="zh-CN"/>
        </w:rPr>
      </w:pPr>
      <w:r>
        <w:rPr>
          <w:rFonts w:hint="eastAsia" w:eastAsia="仿宋_GB2312" w:cs="仿宋_GB2312"/>
          <w:sz w:val="32"/>
          <w:szCs w:val="32"/>
          <w:lang w:val="zh-CN"/>
        </w:rPr>
        <w:t>本年收入627.78万元，其中：财政拨款收入627.53万元，占99.96%；上级补助收入0.00万元，占0.00%；事业收入0.00万元，占0.00%；经营收入0.00万元，占0.00%；附属单位上缴收入0.00万元，占0.00%；其他收入0.26万元，占0.04%。</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hint="eastAsia" w:eastAsia="仿宋_GB2312" w:cs="仿宋_GB2312"/>
          <w:sz w:val="32"/>
          <w:szCs w:val="32"/>
          <w:lang w:val="zh-CN"/>
        </w:rPr>
      </w:pPr>
      <w:r>
        <w:rPr>
          <w:rFonts w:hint="eastAsia" w:eastAsia="仿宋_GB2312" w:cs="仿宋_GB2312"/>
          <w:sz w:val="32"/>
          <w:szCs w:val="32"/>
          <w:lang w:val="zh-CN"/>
        </w:rPr>
        <w:t>本年支出668.31万元，其中：基本支出383.31万元，占57.36%；项目支出285.00万元，占42.64%；上缴上级支出0.00万元，占0.00%；经营支出0.00万元，占0.00%；对附属单位补助支出0.00万元，占0.00%。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hint="eastAsia" w:eastAsia="仿宋_GB2312" w:cs="仿宋_GB2312"/>
          <w:sz w:val="32"/>
          <w:szCs w:val="32"/>
          <w:lang w:val="zh-CN"/>
        </w:rPr>
      </w:pPr>
      <w:r>
        <w:rPr>
          <w:rFonts w:hint="eastAsia" w:eastAsia="仿宋_GB2312" w:cs="仿宋_GB2312"/>
          <w:sz w:val="32"/>
          <w:szCs w:val="32"/>
          <w:lang w:val="zh-CN"/>
        </w:rPr>
        <w:t>2023年度财政拨款收入总计669.60万元，其中：年初财政拨款结转和结余42.07万元，本年财政拨款收入627.53万元。财政拨款支出总计669.60万元，其中：年末财政拨款结转和结余3.17万元，本年财政拨款支出666.42万元。</w:t>
      </w:r>
    </w:p>
    <w:p>
      <w:pPr>
        <w:ind w:firstLine="640" w:firstLineChars="200"/>
        <w:jc w:val="left"/>
        <w:rPr>
          <w:rFonts w:hint="eastAsia" w:eastAsia="仿宋_GB2312" w:cs="仿宋_GB2312"/>
          <w:sz w:val="32"/>
          <w:szCs w:val="32"/>
          <w:lang w:val="zh-CN"/>
        </w:rPr>
      </w:pPr>
      <w:r>
        <w:rPr>
          <w:rFonts w:hint="eastAsia" w:eastAsia="仿宋_GB2312" w:cs="仿宋_GB2312"/>
          <w:sz w:val="32"/>
          <w:szCs w:val="32"/>
          <w:lang w:val="zh-CN"/>
        </w:rPr>
        <w:t>财政拨款收入支出总体与上年相比,增加65.00万元，增长10.75%,主要原因是：</w:t>
      </w:r>
      <w:r>
        <w:rPr>
          <w:rFonts w:hint="eastAsia" w:eastAsia="仿宋_GB2312" w:cs="仿宋_GB2312"/>
          <w:sz w:val="32"/>
          <w:szCs w:val="32"/>
          <w:lang w:val="en-US" w:eastAsia="zh-CN"/>
        </w:rPr>
        <w:t>原因为本年新增水利发展资金项目55万元，以及正常增资、社保费调整标准等原因小幅变动。</w:t>
      </w:r>
      <w:r>
        <w:rPr>
          <w:rFonts w:hint="eastAsia" w:eastAsia="仿宋_GB2312" w:cs="仿宋_GB2312"/>
          <w:sz w:val="32"/>
          <w:szCs w:val="32"/>
          <w:lang w:val="zh-CN"/>
        </w:rPr>
        <w:t>与年初预算相比，年初预算数544.78万元，决算数669.60万元，预决算差异率22.91%，主要原因是：</w:t>
      </w:r>
      <w:r>
        <w:rPr>
          <w:rFonts w:hint="eastAsia" w:eastAsia="仿宋_GB2312" w:cs="仿宋_GB2312"/>
          <w:sz w:val="32"/>
          <w:szCs w:val="32"/>
          <w:lang w:val="en-US" w:eastAsia="zh-CN"/>
        </w:rPr>
        <w:t>年中补发绩效奖金、年终考核奖金、访惠聚人员经费，其余资金为正常增资财政补发资金，以及使用年初结转资金支付的社保及公用经费。其中项目支出年初预算230万元，决算支出285万元，差额为年中批复的水利发展资金项目55万元。</w:t>
      </w:r>
    </w:p>
    <w:p>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hint="eastAsia" w:eastAsia="仿宋_GB2312" w:cs="仿宋_GB2312"/>
          <w:sz w:val="32"/>
          <w:szCs w:val="32"/>
          <w:lang w:val="en-US" w:eastAsia="zh-CN"/>
        </w:rPr>
      </w:pPr>
      <w:r>
        <w:rPr>
          <w:rFonts w:hint="eastAsia" w:eastAsia="仿宋_GB2312" w:cs="仿宋_GB2312"/>
          <w:sz w:val="32"/>
          <w:szCs w:val="32"/>
          <w:lang w:val="en-US" w:eastAsia="zh-CN"/>
        </w:rPr>
        <w:t>2023年度一般公共预算财政拨款支出666.42万元，占本年支出合计的</w:t>
      </w:r>
      <w:r>
        <w:rPr>
          <w:rFonts w:hint="eastAsia" w:eastAsia="仿宋_GB2312" w:cs="仿宋_GB2312"/>
          <w:sz w:val="32"/>
          <w:szCs w:val="32"/>
          <w:lang w:val="zh-CN" w:eastAsia="zh-CN"/>
        </w:rPr>
        <w:t>99.72%</w:t>
      </w:r>
      <w:r>
        <w:rPr>
          <w:rFonts w:hint="eastAsia" w:eastAsia="仿宋_GB2312" w:cs="仿宋_GB2312"/>
          <w:sz w:val="32"/>
          <w:szCs w:val="32"/>
          <w:lang w:val="en-US" w:eastAsia="zh-CN"/>
        </w:rPr>
        <w:t>。与上年相比，</w:t>
      </w:r>
      <w:r>
        <w:rPr>
          <w:rFonts w:hint="eastAsia" w:eastAsia="仿宋_GB2312" w:cs="仿宋_GB2312"/>
          <w:sz w:val="32"/>
          <w:szCs w:val="32"/>
          <w:lang w:val="zh-CN" w:eastAsia="zh-CN"/>
        </w:rPr>
        <w:t>增加103.90万元</w:t>
      </w:r>
      <w:r>
        <w:rPr>
          <w:rFonts w:hint="eastAsia" w:eastAsia="仿宋_GB2312" w:cs="仿宋_GB2312"/>
          <w:sz w:val="32"/>
          <w:szCs w:val="32"/>
          <w:lang w:val="en-US" w:eastAsia="zh-CN"/>
        </w:rPr>
        <w:t>，增长18.47%,主要原因是：年中补发绩效奖金、年终考核奖金、访惠聚人员经费，其余资金为正常增资财政补发资金，以及使用年初结转资金支付的社保及公用经费。其中项目支出年初预算230万元，决算支出285万元，差额为年中批复的水利发展资金项目55万元。与年初预算相比，年初预算数</w:t>
      </w:r>
      <w:r>
        <w:rPr>
          <w:rFonts w:hint="eastAsia" w:eastAsia="仿宋_GB2312" w:cs="仿宋_GB2312"/>
          <w:sz w:val="32"/>
          <w:szCs w:val="32"/>
          <w:lang w:val="zh-CN" w:eastAsia="zh-CN"/>
        </w:rPr>
        <w:t>544.78</w:t>
      </w:r>
      <w:r>
        <w:rPr>
          <w:rFonts w:hint="eastAsia" w:eastAsia="仿宋_GB2312" w:cs="仿宋_GB2312"/>
          <w:sz w:val="32"/>
          <w:szCs w:val="32"/>
          <w:lang w:val="en-US" w:eastAsia="zh-CN"/>
        </w:rPr>
        <w:t>万元，决算数</w:t>
      </w:r>
      <w:r>
        <w:rPr>
          <w:rFonts w:hint="eastAsia" w:eastAsia="仿宋_GB2312" w:cs="仿宋_GB2312"/>
          <w:sz w:val="32"/>
          <w:szCs w:val="32"/>
          <w:lang w:val="zh-CN" w:eastAsia="zh-CN"/>
        </w:rPr>
        <w:t>666.42</w:t>
      </w:r>
      <w:r>
        <w:rPr>
          <w:rFonts w:hint="eastAsia" w:eastAsia="仿宋_GB2312" w:cs="仿宋_GB2312"/>
          <w:sz w:val="32"/>
          <w:szCs w:val="32"/>
          <w:lang w:val="en-US" w:eastAsia="zh-CN"/>
        </w:rPr>
        <w:t>万元，预决算差异率</w:t>
      </w:r>
      <w:r>
        <w:rPr>
          <w:rFonts w:hint="eastAsia" w:eastAsia="仿宋_GB2312" w:cs="仿宋_GB2312"/>
          <w:sz w:val="32"/>
          <w:szCs w:val="32"/>
          <w:lang w:val="zh-CN" w:eastAsia="zh-CN"/>
        </w:rPr>
        <w:t>22.33%</w:t>
      </w:r>
      <w:r>
        <w:rPr>
          <w:rFonts w:hint="eastAsia" w:eastAsia="仿宋_GB2312" w:cs="仿宋_GB2312"/>
          <w:sz w:val="32"/>
          <w:szCs w:val="32"/>
          <w:lang w:val="en-US" w:eastAsia="zh-CN"/>
        </w:rPr>
        <w:t xml:space="preserve">，主要原因是：年中补发绩效奖金、年终考核奖金、访惠聚人员经费，其余资金为正常增资财政补发资金，以及使用年初结转资金支付的社保及公用经费。其中项目支出年初预算230万元，决算支出285万元，差额为年中批复的水利发展资金项目55万元。 </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1.社会保障和就业支出（类）43.68万元，占6.56%；</w:t>
      </w:r>
    </w:p>
    <w:p>
      <w:pPr>
        <w:pStyle w:val="8"/>
        <w:widowControl/>
        <w:spacing w:before="0" w:beforeAutospacing="0" w:after="0" w:afterAutospacing="0"/>
        <w:ind w:firstLine="640" w:firstLineChars="200"/>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2.</w:t>
      </w:r>
      <w:r>
        <w:rPr>
          <w:rFonts w:hint="eastAsia" w:ascii="Times New Roman" w:hAnsi="Times New Roman" w:eastAsia="仿宋_GB2312" w:cs="仿宋_GB2312"/>
          <w:kern w:val="2"/>
          <w:sz w:val="32"/>
          <w:szCs w:val="32"/>
          <w:lang w:val="zh-CN" w:eastAsia="zh-CN" w:bidi="ar-SA"/>
        </w:rPr>
        <w:t>卫生健康支出（类）28.54万元，占4.28%；</w:t>
      </w:r>
    </w:p>
    <w:p>
      <w:pPr>
        <w:pStyle w:val="8"/>
        <w:widowControl/>
        <w:spacing w:before="0" w:beforeAutospacing="0" w:after="0" w:afterAutospacing="0"/>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3.农林水支出（类）570.97万元，占85.68%；</w:t>
      </w:r>
    </w:p>
    <w:p>
      <w:pPr>
        <w:pStyle w:val="8"/>
        <w:widowControl/>
        <w:spacing w:before="0" w:beforeAutospacing="0" w:after="0" w:afterAutospacing="0"/>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4.住房保障支出（类）23.23万元，占3.49%；</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1.农林水支出（类）水利（款）水利行业业务管理（项）:支出决算数为515.97万元，比上年决算增加26.64万元，增长5.44%，主要原因是：</w:t>
      </w:r>
      <w:r>
        <w:rPr>
          <w:rFonts w:hint="eastAsia" w:ascii="仿宋_GB2312" w:hAnsi="仿宋_GB2312" w:eastAsia="仿宋_GB2312" w:cs="仿宋_GB2312"/>
          <w:b w:val="0"/>
          <w:kern w:val="10"/>
          <w:sz w:val="32"/>
          <w:szCs w:val="32"/>
          <w:lang w:val="en-US" w:eastAsia="zh-CN" w:bidi="en-US"/>
        </w:rPr>
        <w:t>将年初结转资金全部使用完毕，用于公用经费支出，以及正常增资</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2.卫生健康支出（类）行政事业单位医疗（款）事业单位医疗（项）:支出决算数为14.77万元，比上年决算增加1.94万元，增长15.10%，主要原因是：</w:t>
      </w:r>
      <w:r>
        <w:rPr>
          <w:rFonts w:hint="eastAsia" w:ascii="仿宋_GB2312" w:hAnsi="仿宋_GB2312" w:eastAsia="仿宋_GB2312" w:cs="仿宋_GB2312"/>
          <w:b w:val="0"/>
          <w:kern w:val="10"/>
          <w:sz w:val="32"/>
          <w:szCs w:val="32"/>
          <w:lang w:val="en-US" w:eastAsia="zh-CN" w:bidi="en-US"/>
        </w:rPr>
        <w:t>社保费调整标准等原因小幅变动</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3.卫生健康支出（类）行政事业单位医疗（款）公务员医疗补助（项）:支出决算数为13.77万元，比上年决算增加3.79万元，增长37.98%，主要原因是：</w:t>
      </w:r>
      <w:r>
        <w:rPr>
          <w:rFonts w:hint="eastAsia" w:ascii="仿宋_GB2312" w:hAnsi="仿宋_GB2312" w:eastAsia="仿宋_GB2312" w:cs="仿宋_GB2312"/>
          <w:b w:val="0"/>
          <w:kern w:val="10"/>
          <w:sz w:val="32"/>
          <w:szCs w:val="32"/>
          <w:lang w:val="en-US" w:eastAsia="zh-CN" w:bidi="en-US"/>
        </w:rPr>
        <w:t>社保费调整标准等原因小幅变动</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4.住房保障支出（类）住房改革支出（款）住房公积金（项）:支出决算数为23.23万元，比上年决算增加3.85万元，增长19.84%，主要原因是：</w:t>
      </w:r>
      <w:r>
        <w:rPr>
          <w:rFonts w:hint="eastAsia" w:ascii="仿宋_GB2312" w:hAnsi="仿宋_GB2312" w:eastAsia="仿宋_GB2312" w:cs="仿宋_GB2312"/>
          <w:b w:val="0"/>
          <w:kern w:val="10"/>
          <w:sz w:val="32"/>
          <w:szCs w:val="32"/>
          <w:lang w:val="en-US" w:eastAsia="zh-CN" w:bidi="en-US"/>
        </w:rPr>
        <w:t>住房公积金调整标准，小幅变动</w:t>
      </w:r>
      <w:r>
        <w:rPr>
          <w:rFonts w:hint="eastAsia" w:eastAsia="仿宋_GB2312"/>
          <w:sz w:val="32"/>
          <w:szCs w:val="32"/>
          <w:lang w:val="zh-CN"/>
        </w:rPr>
        <w:t>。</w:t>
      </w:r>
    </w:p>
    <w:p>
      <w:pPr>
        <w:ind w:firstLine="640" w:firstLineChars="200"/>
        <w:rPr>
          <w:rFonts w:hint="eastAsia" w:eastAsia="仿宋_GB2312"/>
          <w:sz w:val="32"/>
          <w:szCs w:val="32"/>
          <w:lang w:val="zh-CN"/>
        </w:rPr>
      </w:pPr>
      <w:r>
        <w:rPr>
          <w:rFonts w:hint="eastAsia" w:eastAsia="仿宋_GB2312"/>
          <w:sz w:val="32"/>
          <w:szCs w:val="32"/>
        </w:rPr>
        <w:t>5.农林水支出（类）水利（款）水资源节约管理与保护（项）:支出决算数为55.00万元，比上年决算增加55.00万元，增长100%，主要原因是：</w:t>
      </w:r>
      <w:r>
        <w:rPr>
          <w:rFonts w:hint="eastAsia" w:eastAsia="仿宋_GB2312"/>
          <w:sz w:val="32"/>
          <w:szCs w:val="32"/>
          <w:lang w:val="en-US" w:eastAsia="zh-CN"/>
        </w:rPr>
        <w:t>年中新增批复水利发展资金项目55万元</w:t>
      </w:r>
      <w:r>
        <w:rPr>
          <w:rFonts w:hint="eastAsia" w:eastAsia="仿宋_GB2312"/>
          <w:sz w:val="32"/>
          <w:szCs w:val="32"/>
          <w:lang w:val="zh-CN"/>
        </w:rPr>
        <w:t>。</w:t>
      </w:r>
    </w:p>
    <w:p>
      <w:pPr>
        <w:ind w:firstLine="640" w:firstLineChars="200"/>
        <w:rPr>
          <w:rFonts w:hint="eastAsia" w:eastAsia="仿宋_GB2312"/>
          <w:sz w:val="32"/>
          <w:szCs w:val="32"/>
          <w:lang w:val="zh-CN"/>
        </w:rPr>
      </w:pPr>
      <w:r>
        <w:rPr>
          <w:rFonts w:hint="eastAsia" w:eastAsia="仿宋_GB2312"/>
          <w:sz w:val="32"/>
          <w:szCs w:val="32"/>
        </w:rPr>
        <w:t>6.社会保障和就业支出（类）行政事业单位养老支出（款）机关事业单位职业年金缴费支出（项）:支出决算数为12.37万元，比上年决算增加6.17万元，增长99.5</w:t>
      </w:r>
      <w:r>
        <w:rPr>
          <w:rFonts w:hint="eastAsia" w:eastAsia="仿宋_GB2312"/>
          <w:sz w:val="32"/>
          <w:szCs w:val="32"/>
          <w:lang w:val="en-US" w:eastAsia="zh-CN"/>
        </w:rPr>
        <w:t>2</w:t>
      </w:r>
      <w:r>
        <w:rPr>
          <w:rFonts w:hint="eastAsia" w:eastAsia="仿宋_GB2312"/>
          <w:sz w:val="32"/>
          <w:szCs w:val="32"/>
        </w:rPr>
        <w:t>%，主要原因是：</w:t>
      </w:r>
      <w:r>
        <w:rPr>
          <w:rFonts w:hint="eastAsia" w:eastAsia="仿宋_GB2312"/>
          <w:sz w:val="32"/>
          <w:szCs w:val="32"/>
          <w:lang w:val="en-US" w:eastAsia="zh-CN"/>
        </w:rPr>
        <w:t>社保费调整标准以及人员变动等原因</w:t>
      </w:r>
      <w:r>
        <w:rPr>
          <w:rFonts w:hint="eastAsia" w:eastAsia="仿宋_GB2312"/>
          <w:sz w:val="32"/>
          <w:szCs w:val="32"/>
          <w:lang w:val="zh-CN"/>
        </w:rPr>
        <w:t>。</w:t>
      </w:r>
    </w:p>
    <w:p>
      <w:pPr>
        <w:ind w:firstLine="640" w:firstLineChars="200"/>
        <w:rPr>
          <w:rFonts w:hint="eastAsia" w:eastAsia="仿宋_GB2312"/>
          <w:sz w:val="32"/>
          <w:szCs w:val="32"/>
          <w:lang w:val="zh-CN"/>
        </w:rPr>
      </w:pPr>
      <w:r>
        <w:rPr>
          <w:rFonts w:hint="eastAsia" w:eastAsia="仿宋_GB2312"/>
          <w:sz w:val="32"/>
          <w:szCs w:val="32"/>
        </w:rPr>
        <w:t>7.社会保障和就业支出（类）行政事业单位养老支出（款）机关事业单位基本养老保险缴费支出（项）:支出决算数为31.31万元，比上年决算增加6.51万元，增长26.25%，主要原因是：</w:t>
      </w:r>
      <w:r>
        <w:rPr>
          <w:rFonts w:hint="eastAsia" w:eastAsia="仿宋_GB2312"/>
          <w:sz w:val="32"/>
          <w:szCs w:val="32"/>
          <w:lang w:val="en-US" w:eastAsia="zh-CN"/>
        </w:rPr>
        <w:t>社保费调整标准等原因小幅变动</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w:t>
      </w:r>
      <w:bookmarkStart w:id="49" w:name="_GoBack"/>
      <w:bookmarkEnd w:id="49"/>
      <w:r>
        <w:rPr>
          <w:rFonts w:hint="eastAsia" w:ascii="黑体" w:hAnsi="黑体" w:eastAsia="黑体" w:cs="宋体"/>
          <w:bCs/>
          <w:kern w:val="0"/>
          <w:sz w:val="32"/>
          <w:szCs w:val="32"/>
        </w:rPr>
        <w:t>明</w:t>
      </w:r>
    </w:p>
    <w:p>
      <w:pPr>
        <w:ind w:firstLine="640" w:firstLineChars="200"/>
        <w:rPr>
          <w:rFonts w:hint="eastAsia" w:eastAsia="仿宋_GB2312"/>
          <w:sz w:val="32"/>
          <w:szCs w:val="32"/>
        </w:rPr>
      </w:pPr>
      <w:r>
        <w:rPr>
          <w:rFonts w:hint="eastAsia" w:eastAsia="仿宋_GB2312"/>
          <w:sz w:val="32"/>
          <w:szCs w:val="32"/>
        </w:rPr>
        <w:t>2023年度一般公共预算财政拨款基本支出381.42万元，其中：人员经费347.45万元，包括：基本工资、津贴补贴、奖金、伙食补助费、绩效工资、机关事业单位基本养老保险缴费、职业年金缴费、职工基本医疗保险缴费、公务员医疗补助缴费、其他社会保障缴费、住房公积金。</w:t>
      </w:r>
    </w:p>
    <w:p>
      <w:pPr>
        <w:ind w:firstLine="640" w:firstLineChars="200"/>
        <w:rPr>
          <w:rFonts w:hint="eastAsia" w:eastAsia="仿宋_GB2312"/>
          <w:sz w:val="32"/>
          <w:szCs w:val="32"/>
        </w:rPr>
      </w:pPr>
      <w:r>
        <w:rPr>
          <w:rFonts w:hint="eastAsia" w:eastAsia="仿宋_GB2312"/>
          <w:sz w:val="32"/>
          <w:szCs w:val="32"/>
        </w:rPr>
        <w:t>公用经费33.97万元，包括：办公费、印刷费、邮电费、差旅费、培训费、委托业务费、工会经费、福利费、其他交通费用、税金及附加费用、其他商品和服务支出。</w:t>
      </w:r>
    </w:p>
    <w:p>
      <w:pPr>
        <w:ind w:firstLine="640" w:firstLineChars="200"/>
        <w:rPr>
          <w:rFonts w:hint="eastAsia" w:eastAsia="仿宋_GB2312"/>
          <w:sz w:val="32"/>
          <w:szCs w:val="32"/>
        </w:rPr>
      </w:pPr>
      <w:r>
        <w:rPr>
          <w:rFonts w:hint="eastAsia" w:eastAsia="仿宋_GB2312"/>
          <w:sz w:val="32"/>
          <w:szCs w:val="32"/>
        </w:rPr>
        <w:t>七、财政拨款“三公”经费支出决算情况说明</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2023年度财政拨款“三公”经费支出0.00万元，比上年增加0.00万元，增长0.00%,主要原因是：</w:t>
      </w:r>
      <w:r>
        <w:rPr>
          <w:rFonts w:hint="default" w:ascii="Times New Roman" w:hAnsi="Times New Roman" w:eastAsia="仿宋_GB2312" w:cs="仿宋_GB2312"/>
          <w:kern w:val="2"/>
          <w:sz w:val="32"/>
          <w:szCs w:val="32"/>
          <w:lang w:val="zh-CN" w:eastAsia="zh-CN" w:bidi="ar-SA"/>
        </w:rPr>
        <w:t>我单位无财政拨款</w:t>
      </w:r>
      <w:r>
        <w:rPr>
          <w:rFonts w:hint="eastAsia" w:ascii="Times New Roman" w:hAnsi="Times New Roman" w:eastAsia="仿宋_GB2312" w:cs="仿宋_GB2312"/>
          <w:kern w:val="2"/>
          <w:sz w:val="32"/>
          <w:szCs w:val="32"/>
          <w:lang w:val="zh-CN" w:eastAsia="zh-CN" w:bidi="ar-SA"/>
        </w:rPr>
        <w:t>“</w:t>
      </w:r>
      <w:r>
        <w:rPr>
          <w:rFonts w:hint="default" w:ascii="Times New Roman" w:hAnsi="Times New Roman" w:eastAsia="仿宋_GB2312" w:cs="仿宋_GB2312"/>
          <w:kern w:val="2"/>
          <w:sz w:val="32"/>
          <w:szCs w:val="32"/>
          <w:lang w:val="zh-CN" w:eastAsia="zh-CN" w:bidi="ar-SA"/>
        </w:rPr>
        <w:t>三公</w:t>
      </w:r>
      <w:r>
        <w:rPr>
          <w:rFonts w:hint="eastAsia" w:ascii="Times New Roman" w:hAnsi="Times New Roman" w:eastAsia="仿宋_GB2312" w:cs="仿宋_GB2312"/>
          <w:kern w:val="2"/>
          <w:sz w:val="32"/>
          <w:szCs w:val="32"/>
          <w:lang w:val="zh-CN" w:eastAsia="zh-CN" w:bidi="ar-SA"/>
        </w:rPr>
        <w:t>”</w:t>
      </w:r>
      <w:r>
        <w:rPr>
          <w:rFonts w:hint="default" w:ascii="Times New Roman" w:hAnsi="Times New Roman" w:eastAsia="仿宋_GB2312" w:cs="仿宋_GB2312"/>
          <w:kern w:val="2"/>
          <w:sz w:val="32"/>
          <w:szCs w:val="32"/>
          <w:lang w:val="zh-CN" w:eastAsia="zh-CN" w:bidi="ar-SA"/>
        </w:rPr>
        <w:t>经费支出</w:t>
      </w:r>
      <w:r>
        <w:rPr>
          <w:rFonts w:hint="eastAsia" w:ascii="Times New Roman" w:hAnsi="Times New Roman" w:eastAsia="仿宋_GB2312" w:cs="仿宋_GB2312"/>
          <w:kern w:val="2"/>
          <w:sz w:val="32"/>
          <w:szCs w:val="32"/>
          <w:lang w:val="zh-CN" w:eastAsia="zh-CN" w:bidi="ar-SA"/>
        </w:rPr>
        <w:t>。其中：因公出国（境）费支出0.00万元，占0.00%，比上年增加0.00万元，增长0.00%,主要原因是：</w:t>
      </w:r>
      <w:r>
        <w:rPr>
          <w:rFonts w:hint="default" w:ascii="Times New Roman" w:hAnsi="Times New Roman" w:eastAsia="仿宋_GB2312" w:cs="仿宋_GB2312"/>
          <w:kern w:val="2"/>
          <w:sz w:val="32"/>
          <w:szCs w:val="32"/>
          <w:lang w:val="zh-CN" w:eastAsia="zh-CN" w:bidi="ar-SA"/>
        </w:rPr>
        <w:t>我单位无因公出国（境）费</w:t>
      </w:r>
      <w:r>
        <w:rPr>
          <w:rFonts w:hint="eastAsia" w:ascii="Times New Roman" w:hAnsi="Times New Roman" w:eastAsia="仿宋_GB2312" w:cs="仿宋_GB2312"/>
          <w:kern w:val="2"/>
          <w:sz w:val="32"/>
          <w:szCs w:val="32"/>
          <w:lang w:val="zh-CN" w:eastAsia="zh-CN" w:bidi="ar-SA"/>
        </w:rPr>
        <w:t>；公务用车购置及运行维护费支出0.00万元，占0.00%，比上年增加0.00万元，增长0.00%,主要原因是：</w:t>
      </w:r>
      <w:r>
        <w:rPr>
          <w:rFonts w:hint="default" w:ascii="Times New Roman" w:hAnsi="Times New Roman" w:eastAsia="仿宋_GB2312" w:cs="仿宋_GB2312"/>
          <w:kern w:val="2"/>
          <w:sz w:val="32"/>
          <w:szCs w:val="32"/>
          <w:lang w:val="zh-CN" w:eastAsia="zh-CN" w:bidi="ar-SA"/>
        </w:rPr>
        <w:t>我单位无公务用车购置及运行维护费</w:t>
      </w:r>
      <w:r>
        <w:rPr>
          <w:rFonts w:hint="eastAsia" w:ascii="Times New Roman" w:hAnsi="Times New Roman" w:eastAsia="仿宋_GB2312" w:cs="仿宋_GB2312"/>
          <w:kern w:val="2"/>
          <w:sz w:val="32"/>
          <w:szCs w:val="32"/>
          <w:lang w:val="zh-CN" w:eastAsia="zh-CN" w:bidi="ar-SA"/>
        </w:rPr>
        <w:t>；公务接待费支出0.00万元，占0.00%，比上年增加0.00万元，增长0.00%,主要原因是：</w:t>
      </w:r>
      <w:r>
        <w:rPr>
          <w:rFonts w:hint="default" w:ascii="Times New Roman" w:hAnsi="Times New Roman" w:eastAsia="仿宋_GB2312" w:cs="仿宋_GB2312"/>
          <w:kern w:val="2"/>
          <w:sz w:val="32"/>
          <w:szCs w:val="32"/>
          <w:lang w:val="zh-CN" w:eastAsia="zh-CN" w:bidi="ar-SA"/>
        </w:rPr>
        <w:t>我单位无公务接待费</w:t>
      </w:r>
      <w:r>
        <w:rPr>
          <w:rFonts w:hint="eastAsia" w:ascii="Times New Roman" w:hAnsi="Times New Roman" w:eastAsia="仿宋_GB2312" w:cs="仿宋_GB2312"/>
          <w:kern w:val="2"/>
          <w:sz w:val="32"/>
          <w:szCs w:val="32"/>
          <w:lang w:val="zh-CN" w:eastAsia="zh-CN" w:bidi="ar-SA"/>
        </w:rPr>
        <w:t>。</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具体情况如下：</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因公出国（境）费支出0.00万元，开支内容包括</w:t>
      </w:r>
      <w:r>
        <w:rPr>
          <w:rFonts w:hint="default" w:ascii="Times New Roman" w:hAnsi="Times New Roman" w:eastAsia="仿宋_GB2312" w:cs="仿宋_GB2312"/>
          <w:kern w:val="2"/>
          <w:sz w:val="32"/>
          <w:szCs w:val="32"/>
          <w:lang w:val="zh-CN" w:eastAsia="zh-CN" w:bidi="ar-SA"/>
        </w:rPr>
        <w:t>我单位无因公出国（境）费</w:t>
      </w:r>
      <w:r>
        <w:rPr>
          <w:rFonts w:hint="eastAsia" w:ascii="Times New Roman" w:hAnsi="Times New Roman" w:eastAsia="仿宋_GB2312" w:cs="仿宋_GB2312"/>
          <w:kern w:val="2"/>
          <w:sz w:val="32"/>
          <w:szCs w:val="32"/>
          <w:lang w:val="zh-CN" w:eastAsia="zh-CN" w:bidi="ar-SA"/>
        </w:rPr>
        <w:t>。单位全年安排的因公出国（境）团组0个，因公出国（境）0人次。</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公务用车购置及运行维护费0.00万元，其中：公务用车购置费0.00万元，公务用车运行维护费0.00万元。公务用车运行维护费开支内容包括</w:t>
      </w:r>
      <w:r>
        <w:rPr>
          <w:rFonts w:hint="default" w:ascii="Times New Roman" w:hAnsi="Times New Roman" w:eastAsia="仿宋_GB2312" w:cs="仿宋_GB2312"/>
          <w:kern w:val="2"/>
          <w:sz w:val="32"/>
          <w:szCs w:val="32"/>
          <w:lang w:val="zh-CN" w:eastAsia="zh-CN" w:bidi="ar-SA"/>
        </w:rPr>
        <w:t>我单位无公务用车运行维护费</w:t>
      </w:r>
      <w:r>
        <w:rPr>
          <w:rFonts w:hint="eastAsia" w:ascii="Times New Roman" w:hAnsi="Times New Roman" w:eastAsia="仿宋_GB2312" w:cs="仿宋_GB2312"/>
          <w:kern w:val="2"/>
          <w:sz w:val="32"/>
          <w:szCs w:val="32"/>
          <w:lang w:val="zh-CN" w:eastAsia="zh-CN" w:bidi="ar-SA"/>
        </w:rPr>
        <w:t>。公务用车购置数0辆，公务用车保有量0辆。国有资产占用情况中固定资产车辆0辆，与公务用车保有量差异原因是：无差异。</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公务接待费0.00万元，开支内容包括</w:t>
      </w:r>
      <w:r>
        <w:rPr>
          <w:rFonts w:hint="default" w:ascii="Times New Roman" w:hAnsi="Times New Roman" w:eastAsia="仿宋_GB2312" w:cs="仿宋_GB2312"/>
          <w:kern w:val="2"/>
          <w:sz w:val="32"/>
          <w:szCs w:val="32"/>
          <w:lang w:val="zh-CN" w:eastAsia="zh-CN" w:bidi="ar-SA"/>
        </w:rPr>
        <w:t>单位无公务接待费</w:t>
      </w:r>
      <w:r>
        <w:rPr>
          <w:rFonts w:hint="eastAsia" w:ascii="Times New Roman" w:hAnsi="Times New Roman" w:eastAsia="仿宋_GB2312" w:cs="仿宋_GB2312"/>
          <w:kern w:val="2"/>
          <w:sz w:val="32"/>
          <w:szCs w:val="32"/>
          <w:lang w:val="zh-CN" w:eastAsia="zh-CN" w:bidi="ar-SA"/>
        </w:rPr>
        <w:t>。单位全年安排的国内公务接待0批次，0人次。</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与全年预算相比,财政拨款“三公”经费支出全年预算数0.00万元，决算数0.00万元，预决算差异率0.00%，主要原因是：</w:t>
      </w:r>
      <w:r>
        <w:rPr>
          <w:rFonts w:hint="default" w:ascii="Times New Roman" w:hAnsi="Times New Roman" w:eastAsia="仿宋_GB2312" w:cs="仿宋_GB2312"/>
          <w:kern w:val="2"/>
          <w:sz w:val="32"/>
          <w:szCs w:val="32"/>
          <w:lang w:val="zh-CN" w:eastAsia="zh-CN" w:bidi="ar-SA"/>
        </w:rPr>
        <w:t>我单位无财政拨款</w:t>
      </w:r>
      <w:r>
        <w:rPr>
          <w:rFonts w:hint="eastAsia" w:ascii="Times New Roman" w:hAnsi="Times New Roman" w:eastAsia="仿宋_GB2312" w:cs="仿宋_GB2312"/>
          <w:kern w:val="2"/>
          <w:sz w:val="32"/>
          <w:szCs w:val="32"/>
          <w:lang w:val="zh-CN" w:eastAsia="zh-CN" w:bidi="ar-SA"/>
        </w:rPr>
        <w:t>“</w:t>
      </w:r>
      <w:r>
        <w:rPr>
          <w:rFonts w:hint="default" w:ascii="Times New Roman" w:hAnsi="Times New Roman" w:eastAsia="仿宋_GB2312" w:cs="仿宋_GB2312"/>
          <w:kern w:val="2"/>
          <w:sz w:val="32"/>
          <w:szCs w:val="32"/>
          <w:lang w:val="zh-CN" w:eastAsia="zh-CN" w:bidi="ar-SA"/>
        </w:rPr>
        <w:t>三公</w:t>
      </w:r>
      <w:r>
        <w:rPr>
          <w:rFonts w:hint="eastAsia" w:ascii="Times New Roman" w:hAnsi="Times New Roman" w:eastAsia="仿宋_GB2312" w:cs="仿宋_GB2312"/>
          <w:kern w:val="2"/>
          <w:sz w:val="32"/>
          <w:szCs w:val="32"/>
          <w:lang w:val="zh-CN" w:eastAsia="zh-CN" w:bidi="ar-SA"/>
        </w:rPr>
        <w:t>”</w:t>
      </w:r>
      <w:r>
        <w:rPr>
          <w:rFonts w:hint="default" w:ascii="Times New Roman" w:hAnsi="Times New Roman" w:eastAsia="仿宋_GB2312" w:cs="仿宋_GB2312"/>
          <w:kern w:val="2"/>
          <w:sz w:val="32"/>
          <w:szCs w:val="32"/>
          <w:lang w:val="zh-CN" w:eastAsia="zh-CN" w:bidi="ar-SA"/>
        </w:rPr>
        <w:t>经费支出</w:t>
      </w:r>
      <w:r>
        <w:rPr>
          <w:rFonts w:hint="eastAsia" w:ascii="Times New Roman" w:hAnsi="Times New Roman" w:eastAsia="仿宋_GB2312" w:cs="仿宋_GB2312"/>
          <w:kern w:val="2"/>
          <w:sz w:val="32"/>
          <w:szCs w:val="32"/>
          <w:lang w:val="zh-CN" w:eastAsia="zh-CN" w:bidi="ar-SA"/>
        </w:rPr>
        <w:t>。其中：因公出国（境）费全年预算数0.00万元，决算数0.00万元，预决算差异率0.00%，主要原因是：</w:t>
      </w:r>
      <w:r>
        <w:rPr>
          <w:rFonts w:hint="default" w:ascii="Times New Roman" w:hAnsi="Times New Roman" w:eastAsia="仿宋_GB2312" w:cs="仿宋_GB2312"/>
          <w:kern w:val="2"/>
          <w:sz w:val="32"/>
          <w:szCs w:val="32"/>
          <w:lang w:val="zh-CN" w:eastAsia="zh-CN" w:bidi="ar-SA"/>
        </w:rPr>
        <w:t>我单位无因公出国（境） 费</w:t>
      </w:r>
      <w:r>
        <w:rPr>
          <w:rFonts w:hint="eastAsia" w:ascii="Times New Roman" w:hAnsi="Times New Roman" w:eastAsia="仿宋_GB2312" w:cs="仿宋_GB2312"/>
          <w:kern w:val="2"/>
          <w:sz w:val="32"/>
          <w:szCs w:val="32"/>
          <w:lang w:val="zh-CN" w:eastAsia="zh-CN" w:bidi="ar-SA"/>
        </w:rPr>
        <w:t>；公务用车购置费全年预算数0.00万元，决算数0.00万元，预决算差异率0.00%，主要原因是：</w:t>
      </w:r>
      <w:r>
        <w:rPr>
          <w:rFonts w:hint="default" w:ascii="Times New Roman" w:hAnsi="Times New Roman" w:eastAsia="仿宋_GB2312" w:cs="仿宋_GB2312"/>
          <w:kern w:val="2"/>
          <w:sz w:val="32"/>
          <w:szCs w:val="32"/>
          <w:lang w:val="zh-CN" w:eastAsia="zh-CN" w:bidi="ar-SA"/>
        </w:rPr>
        <w:t>我单位无公务用车购置费</w:t>
      </w:r>
      <w:r>
        <w:rPr>
          <w:rFonts w:hint="eastAsia" w:ascii="Times New Roman" w:hAnsi="Times New Roman" w:eastAsia="仿宋_GB2312" w:cs="仿宋_GB2312"/>
          <w:kern w:val="2"/>
          <w:sz w:val="32"/>
          <w:szCs w:val="32"/>
          <w:lang w:val="zh-CN" w:eastAsia="zh-CN" w:bidi="ar-SA"/>
        </w:rPr>
        <w:t>；公务用车运行费全年预算数0.00万元，决算数0.00万元，预决算差异率0.00%，主要原因是：</w:t>
      </w:r>
      <w:r>
        <w:rPr>
          <w:rFonts w:hint="default" w:ascii="Times New Roman" w:hAnsi="Times New Roman" w:eastAsia="仿宋_GB2312" w:cs="仿宋_GB2312"/>
          <w:kern w:val="2"/>
          <w:sz w:val="32"/>
          <w:szCs w:val="32"/>
          <w:lang w:val="zh-CN" w:eastAsia="zh-CN" w:bidi="ar-SA"/>
        </w:rPr>
        <w:t>我单位无公务用车运行维护费</w:t>
      </w:r>
      <w:r>
        <w:rPr>
          <w:rFonts w:hint="eastAsia" w:ascii="Times New Roman" w:hAnsi="Times New Roman" w:eastAsia="仿宋_GB2312" w:cs="仿宋_GB2312"/>
          <w:kern w:val="2"/>
          <w:sz w:val="32"/>
          <w:szCs w:val="32"/>
          <w:lang w:val="zh-CN" w:eastAsia="zh-CN" w:bidi="ar-SA"/>
        </w:rPr>
        <w:t>；公务接待费全年预算数0.00万元，决算数0.00万元，预决算差异率0.00%，主要原因是：</w:t>
      </w:r>
      <w:r>
        <w:rPr>
          <w:rFonts w:hint="default" w:ascii="Times New Roman" w:hAnsi="Times New Roman" w:eastAsia="仿宋_GB2312" w:cs="仿宋_GB2312"/>
          <w:kern w:val="2"/>
          <w:sz w:val="32"/>
          <w:szCs w:val="32"/>
          <w:lang w:val="zh-CN" w:eastAsia="zh-CN" w:bidi="ar-SA"/>
        </w:rPr>
        <w:t>我单位无公务接待费</w:t>
      </w:r>
      <w:r>
        <w:rPr>
          <w:rFonts w:hint="eastAsia" w:ascii="Times New Roman" w:hAnsi="Times New Roman" w:eastAsia="仿宋_GB2312" w:cs="仿宋_GB2312"/>
          <w:kern w:val="2"/>
          <w:sz w:val="32"/>
          <w:szCs w:val="32"/>
          <w:lang w:val="zh-CN" w:eastAsia="zh-CN" w:bidi="ar-SA"/>
        </w:rPr>
        <w:t>。</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hint="eastAsia" w:eastAsia="仿宋_GB2312"/>
          <w:sz w:val="32"/>
          <w:szCs w:val="32"/>
          <w:lang w:val="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新</w:t>
      </w:r>
      <w:r>
        <w:rPr>
          <w:rFonts w:hint="eastAsia" w:eastAsia="仿宋_GB2312"/>
          <w:sz w:val="32"/>
          <w:szCs w:val="32"/>
          <w:lang w:val="zh-CN"/>
        </w:rPr>
        <w:t>疆白杨河流域管理局（事业单位）公用经费支出33.97万元，比上年增加7.81万元，增长29.83%，主要原因是：</w:t>
      </w:r>
      <w:r>
        <w:rPr>
          <w:rFonts w:hint="eastAsia" w:eastAsia="仿宋_GB2312"/>
          <w:sz w:val="32"/>
          <w:szCs w:val="32"/>
          <w:lang w:val="en-US" w:eastAsia="zh-CN"/>
        </w:rPr>
        <w:t>本年将以前年度结余公用经费13.16万元全部使用完毕，故</w:t>
      </w:r>
      <w:r>
        <w:rPr>
          <w:rFonts w:hint="eastAsia" w:eastAsia="仿宋_GB2312"/>
          <w:sz w:val="32"/>
          <w:szCs w:val="32"/>
          <w:lang w:val="zh-CN"/>
        </w:rPr>
        <w:t>公用经费</w:t>
      </w:r>
      <w:r>
        <w:rPr>
          <w:rFonts w:hint="eastAsia" w:eastAsia="仿宋_GB2312"/>
          <w:sz w:val="32"/>
          <w:szCs w:val="32"/>
          <w:lang w:val="en-US" w:eastAsia="zh-CN"/>
        </w:rPr>
        <w:t>支出略有增长</w:t>
      </w:r>
      <w:r>
        <w:rPr>
          <w:rFonts w:hint="eastAsia" w:eastAsia="仿宋_GB2312"/>
          <w:sz w:val="32"/>
          <w:szCs w:val="32"/>
          <w:lang w:val="zh-CN"/>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2023年度政府采购支出总额100.94万元，其中：政府采购货物支出2.13万元、政府采购工程支出42.42万元、政府采购服务支出56.38万元。</w:t>
      </w:r>
    </w:p>
    <w:p>
      <w:pPr>
        <w:ind w:firstLine="640" w:firstLineChars="200"/>
        <w:jc w:val="left"/>
        <w:rPr>
          <w:rFonts w:eastAsia="仿宋_GB2312"/>
          <w:sz w:val="32"/>
          <w:szCs w:val="32"/>
        </w:rPr>
      </w:pPr>
      <w:r>
        <w:rPr>
          <w:rFonts w:hint="eastAsia" w:eastAsia="仿宋_GB2312"/>
          <w:sz w:val="32"/>
          <w:szCs w:val="32"/>
          <w:lang w:val="zh-CN"/>
        </w:rPr>
        <w:t>授予中小企业合同金额100.94万元，占政府采购支出总额的100.00</w:t>
      </w:r>
      <w:r>
        <w:rPr>
          <w:rFonts w:eastAsia="仿宋_GB2312"/>
          <w:sz w:val="32"/>
          <w:szCs w:val="32"/>
          <w:lang w:val="zh-CN"/>
        </w:rPr>
        <w:t>%</w:t>
      </w:r>
      <w:r>
        <w:rPr>
          <w:rFonts w:hint="eastAsia" w:eastAsia="仿宋_GB2312"/>
          <w:sz w:val="32"/>
          <w:szCs w:val="32"/>
          <w:lang w:val="zh-CN"/>
        </w:rPr>
        <w:t>，其中：授予小微企业合同金额100.94万元，占政府采购支出总额的100.00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41.11</w:t>
      </w:r>
      <w:r>
        <w:rPr>
          <w:rFonts w:hint="eastAsia" w:eastAsia="仿宋_GB2312"/>
          <w:sz w:val="32"/>
          <w:szCs w:val="32"/>
        </w:rPr>
        <w:t>万元，房</w:t>
      </w:r>
      <w:r>
        <w:rPr>
          <w:rFonts w:hint="eastAsia" w:eastAsia="仿宋_GB2312"/>
          <w:sz w:val="32"/>
          <w:szCs w:val="32"/>
          <w:lang w:val="zh-CN"/>
        </w:rPr>
        <w:t>屋0.0平方米，价值0.00万元。车辆0辆，价值0.00万元，其中：副部（省）级及以上领导用车0辆、主要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用车0辆、其他用车0辆，其他用车主要是：我单位无其他用车；单价100万元（含）以上设备（不含车辆）0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hint="eastAsia" w:eastAsia="仿宋_GB2312"/>
          <w:sz w:val="32"/>
          <w:szCs w:val="32"/>
          <w:lang w:val="zh-CN"/>
        </w:rPr>
      </w:pPr>
      <w:r>
        <w:rPr>
          <w:rFonts w:hint="eastAsia" w:eastAsia="仿宋_GB2312"/>
          <w:sz w:val="32"/>
          <w:szCs w:val="32"/>
          <w:lang w:val="zh-CN"/>
        </w:rPr>
        <w:t>根据预算绩效管理要求，我单位2023年度预算绩效管理整体支出绩效自评表</w:t>
      </w:r>
      <w:r>
        <w:rPr>
          <w:rFonts w:hint="eastAsia" w:eastAsia="仿宋_GB2312"/>
          <w:sz w:val="32"/>
          <w:szCs w:val="32"/>
          <w:lang w:val="en-US" w:eastAsia="zh-CN"/>
        </w:rPr>
        <w:t>0</w:t>
      </w:r>
      <w:r>
        <w:rPr>
          <w:rFonts w:hint="eastAsia" w:eastAsia="仿宋_GB2312"/>
          <w:sz w:val="32"/>
          <w:szCs w:val="32"/>
          <w:lang w:val="zh-CN"/>
        </w:rPr>
        <w:t>个，全年预算总额</w:t>
      </w:r>
      <w:r>
        <w:rPr>
          <w:rFonts w:hint="eastAsia" w:eastAsia="仿宋_GB2312"/>
          <w:sz w:val="32"/>
          <w:szCs w:val="32"/>
          <w:lang w:val="en-US" w:eastAsia="zh-CN"/>
        </w:rPr>
        <w:t>0</w:t>
      </w:r>
      <w:r>
        <w:rPr>
          <w:rFonts w:hint="eastAsia" w:eastAsia="仿宋_GB2312"/>
          <w:sz w:val="32"/>
          <w:szCs w:val="32"/>
          <w:lang w:val="zh-CN"/>
        </w:rPr>
        <w:t>万元，实际执行总额</w:t>
      </w:r>
      <w:r>
        <w:rPr>
          <w:rFonts w:hint="eastAsia" w:eastAsia="仿宋_GB2312"/>
          <w:sz w:val="32"/>
          <w:szCs w:val="32"/>
          <w:lang w:val="en-US" w:eastAsia="zh-CN"/>
        </w:rPr>
        <w:t>0</w:t>
      </w:r>
      <w:r>
        <w:rPr>
          <w:rFonts w:hint="eastAsia" w:eastAsia="仿宋_GB2312"/>
          <w:sz w:val="32"/>
          <w:szCs w:val="32"/>
          <w:lang w:val="zh-CN"/>
        </w:rPr>
        <w:t>万元；我单位整体支出单位绩效自评表由主管部门编报并公开。预算绩效评价项目</w:t>
      </w:r>
      <w:r>
        <w:rPr>
          <w:rFonts w:hint="eastAsia" w:eastAsia="仿宋_GB2312"/>
          <w:sz w:val="32"/>
          <w:szCs w:val="32"/>
          <w:lang w:val="en-US" w:eastAsia="zh-CN"/>
        </w:rPr>
        <w:t>1</w:t>
      </w:r>
      <w:r>
        <w:rPr>
          <w:rFonts w:hint="eastAsia" w:eastAsia="仿宋_GB2312"/>
          <w:sz w:val="32"/>
          <w:szCs w:val="32"/>
          <w:lang w:val="zh-CN"/>
        </w:rPr>
        <w:t>个，全年预算数</w:t>
      </w:r>
      <w:r>
        <w:rPr>
          <w:rFonts w:hint="eastAsia" w:eastAsia="仿宋_GB2312"/>
          <w:sz w:val="32"/>
          <w:szCs w:val="32"/>
          <w:lang w:val="en-US" w:eastAsia="zh-CN"/>
        </w:rPr>
        <w:t>230</w:t>
      </w:r>
      <w:r>
        <w:rPr>
          <w:rFonts w:hint="eastAsia" w:eastAsia="仿宋_GB2312"/>
          <w:sz w:val="32"/>
          <w:szCs w:val="32"/>
          <w:lang w:val="zh-CN"/>
        </w:rPr>
        <w:t>万元，全年执行数</w:t>
      </w:r>
      <w:r>
        <w:rPr>
          <w:rFonts w:hint="eastAsia" w:eastAsia="仿宋_GB2312"/>
          <w:sz w:val="32"/>
          <w:szCs w:val="32"/>
          <w:lang w:val="en-US" w:eastAsia="zh-CN"/>
        </w:rPr>
        <w:t>229.99</w:t>
      </w:r>
      <w:r>
        <w:rPr>
          <w:rFonts w:hint="eastAsia" w:eastAsia="仿宋_GB2312"/>
          <w:sz w:val="32"/>
          <w:szCs w:val="32"/>
          <w:lang w:val="zh-CN"/>
        </w:rPr>
        <w:t>万元。预算绩效管理取得的成效：</w:t>
      </w:r>
      <w:r>
        <w:rPr>
          <w:rFonts w:hint="default" w:eastAsia="仿宋_GB2312"/>
          <w:sz w:val="32"/>
          <w:szCs w:val="32"/>
          <w:lang w:val="zh-CN"/>
        </w:rPr>
        <w:t>我单位资金运行维护决策正确，资金管理规范，项目管理到位，政策执行有力，有效发挥了财政资金的使用效率。一是预算执行方面，支出总额控制在预算总额以内；二是预算管理方面，制度执行总体较为有效；三是资产管理方面，建立了资产管理制度，定期进行了盘点和资产清理，总体执行较好。发现的问题及原因：对项目绩效目标的设定和各项指标的理解、认识不到位，导致目标不够明确、不够细化、缺乏可衡量性。在资金支付控制上，我单位能严格按照有关规定执行，但在工程项目</w:t>
      </w:r>
      <w:r>
        <w:rPr>
          <w:rFonts w:hint="eastAsia" w:eastAsia="仿宋_GB2312"/>
          <w:sz w:val="32"/>
          <w:szCs w:val="32"/>
          <w:lang w:val="zh-CN"/>
        </w:rPr>
        <w:t>实施中</w:t>
      </w:r>
      <w:r>
        <w:rPr>
          <w:rFonts w:hint="default" w:eastAsia="仿宋_GB2312"/>
          <w:sz w:val="32"/>
          <w:szCs w:val="32"/>
          <w:lang w:val="zh-CN"/>
        </w:rPr>
        <w:t>受天气、环境、地方政策等因素影响，项目进度相对计划会有误差，造成个别时候资金支付迟缓。下一步改进措施：一是提高对预算绩效管理的认识，更加科学的确定部门绩效目标和评价目标。二是完善项目管理制度，实施项目事前评估、绩效跟踪和绩效评价。三是加强档案管理，重视绩效信息资料的收集，充分反映项目的实施绩效。四是规范财务管理，提高财务信息质量。严格按照《中华人民共和国会计法》《</w:t>
      </w:r>
      <w:r>
        <w:rPr>
          <w:rFonts w:hint="eastAsia" w:eastAsia="仿宋_GB2312"/>
          <w:sz w:val="32"/>
          <w:szCs w:val="32"/>
          <w:lang w:val="zh-CN" w:eastAsia="zh-CN"/>
        </w:rPr>
        <w:t>政府</w:t>
      </w:r>
      <w:r>
        <w:rPr>
          <w:rFonts w:hint="default" w:eastAsia="仿宋_GB2312"/>
          <w:sz w:val="32"/>
          <w:szCs w:val="32"/>
          <w:lang w:val="zh-CN"/>
        </w:rPr>
        <w:t>会计制度》等规定，结合实际情况，严格执行单位经费支出，规范财务核算。五是加强预算的约束力，细化预算编制工作。进一步加强我单位内部机构预算管理意识，严格按照预算编制的相关制度和要求，加强对预算支出绩效监控的及时反馈。六是加强学习培训，规范部门预算收支核算，严格按项目和进度执行预算，落实预算执行分析，及时了解预算执行差异，</w:t>
      </w:r>
      <w:bookmarkStart w:id="30" w:name="bookmark30"/>
      <w:bookmarkEnd w:id="30"/>
      <w:r>
        <w:rPr>
          <w:rFonts w:hint="default" w:eastAsia="仿宋_GB2312"/>
          <w:sz w:val="32"/>
          <w:szCs w:val="32"/>
          <w:lang w:val="zh-CN"/>
        </w:rPr>
        <w:t>合理调整、纠正预算执行偏差。</w:t>
      </w:r>
      <w:r>
        <w:rPr>
          <w:rFonts w:hint="eastAsia" w:eastAsia="仿宋_GB2312"/>
          <w:sz w:val="32"/>
          <w:szCs w:val="32"/>
          <w:lang w:val="zh-CN"/>
        </w:rPr>
        <w:t>具体项目自评情况附绩效自评表及自评报告。</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ascii="黑体" w:hAnsi="黑体" w:eastAsia="黑体"/>
          <w:sz w:val="32"/>
          <w:szCs w:val="32"/>
        </w:rPr>
      </w:pPr>
      <w:bookmarkStart w:id="31" w:name="_Toc24143"/>
      <w:bookmarkStart w:id="32"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pPr>
        <w:autoSpaceDE w:val="0"/>
        <w:autoSpaceDN w:val="0"/>
        <w:ind w:firstLine="640"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0"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0"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0"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0"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0"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0"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0"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3" w:name="_Toc2183"/>
      <w:bookmarkStart w:id="34" w:name="_Toc6062"/>
      <w:r>
        <w:rPr>
          <w:rFonts w:hint="eastAsia" w:ascii="黑体" w:hAnsi="黑体" w:eastAsia="仿宋_GB2312" w:cs="宋体"/>
          <w:bCs/>
          <w:kern w:val="0"/>
          <w:sz w:val="32"/>
          <w:szCs w:val="32"/>
        </w:rPr>
        <w:t>一、《收入支出决算总表》</w:t>
      </w:r>
      <w:bookmarkEnd w:id="33"/>
      <w:bookmarkEnd w:id="34"/>
    </w:p>
    <w:p>
      <w:pPr>
        <w:ind w:firstLine="640" w:firstLineChars="200"/>
        <w:outlineLvl w:val="1"/>
        <w:rPr>
          <w:rFonts w:ascii="黑体" w:hAnsi="黑体" w:eastAsia="仿宋_GB2312" w:cs="宋体"/>
          <w:bCs/>
          <w:kern w:val="0"/>
          <w:sz w:val="32"/>
          <w:szCs w:val="32"/>
        </w:rPr>
      </w:pPr>
      <w:bookmarkStart w:id="35" w:name="_Toc24532"/>
      <w:bookmarkStart w:id="36" w:name="_Toc30364"/>
      <w:r>
        <w:rPr>
          <w:rFonts w:hint="eastAsia" w:ascii="黑体" w:hAnsi="黑体" w:eastAsia="仿宋_GB2312" w:cs="宋体"/>
          <w:bCs/>
          <w:kern w:val="0"/>
          <w:sz w:val="32"/>
          <w:szCs w:val="32"/>
        </w:rPr>
        <w:t>二、《收入决算表》</w:t>
      </w:r>
      <w:bookmarkEnd w:id="35"/>
      <w:bookmarkEnd w:id="36"/>
    </w:p>
    <w:p>
      <w:pPr>
        <w:ind w:firstLine="640" w:firstLineChars="200"/>
        <w:outlineLvl w:val="1"/>
        <w:rPr>
          <w:rFonts w:ascii="黑体" w:hAnsi="黑体" w:eastAsia="仿宋_GB2312" w:cs="宋体"/>
          <w:bCs/>
          <w:kern w:val="0"/>
          <w:sz w:val="32"/>
          <w:szCs w:val="32"/>
        </w:rPr>
      </w:pPr>
      <w:bookmarkStart w:id="37" w:name="_Toc21304"/>
      <w:bookmarkStart w:id="38" w:name="_Toc32434"/>
      <w:r>
        <w:rPr>
          <w:rFonts w:hint="eastAsia" w:ascii="黑体" w:hAnsi="黑体" w:eastAsia="仿宋_GB2312" w:cs="宋体"/>
          <w:bCs/>
          <w:kern w:val="0"/>
          <w:sz w:val="32"/>
          <w:szCs w:val="32"/>
        </w:rPr>
        <w:t>三、《支出决算表》</w:t>
      </w:r>
      <w:bookmarkEnd w:id="37"/>
      <w:bookmarkEnd w:id="38"/>
    </w:p>
    <w:p>
      <w:pPr>
        <w:ind w:firstLine="640" w:firstLineChars="200"/>
        <w:outlineLvl w:val="1"/>
        <w:rPr>
          <w:rFonts w:ascii="黑体" w:hAnsi="黑体" w:eastAsia="仿宋_GB2312" w:cs="宋体"/>
          <w:bCs/>
          <w:kern w:val="0"/>
          <w:sz w:val="32"/>
          <w:szCs w:val="32"/>
        </w:rPr>
      </w:pPr>
      <w:bookmarkStart w:id="39" w:name="_Toc28786"/>
      <w:bookmarkStart w:id="40" w:name="_Toc14238"/>
      <w:r>
        <w:rPr>
          <w:rFonts w:hint="eastAsia" w:ascii="黑体" w:hAnsi="黑体" w:eastAsia="仿宋_GB2312" w:cs="宋体"/>
          <w:bCs/>
          <w:kern w:val="0"/>
          <w:sz w:val="32"/>
          <w:szCs w:val="32"/>
        </w:rPr>
        <w:t>四、《财政拨款收入支出决算总表》</w:t>
      </w:r>
      <w:bookmarkEnd w:id="39"/>
      <w:bookmarkEnd w:id="40"/>
    </w:p>
    <w:p>
      <w:pPr>
        <w:ind w:firstLine="640" w:firstLineChars="200"/>
        <w:outlineLvl w:val="1"/>
        <w:rPr>
          <w:rFonts w:ascii="黑体" w:hAnsi="黑体" w:eastAsia="仿宋_GB2312" w:cs="宋体"/>
          <w:bCs/>
          <w:kern w:val="0"/>
          <w:sz w:val="32"/>
          <w:szCs w:val="32"/>
        </w:rPr>
      </w:pPr>
      <w:bookmarkStart w:id="41" w:name="_Toc14869"/>
      <w:bookmarkStart w:id="42" w:name="_Toc10347"/>
      <w:r>
        <w:rPr>
          <w:rFonts w:hint="eastAsia" w:ascii="黑体" w:hAnsi="黑体" w:eastAsia="仿宋_GB2312" w:cs="宋体"/>
          <w:bCs/>
          <w:kern w:val="0"/>
          <w:sz w:val="32"/>
          <w:szCs w:val="32"/>
        </w:rPr>
        <w:t>五、《一般公共预算财政拨款支出决算表》</w:t>
      </w:r>
      <w:bookmarkEnd w:id="41"/>
      <w:bookmarkEnd w:id="42"/>
    </w:p>
    <w:p>
      <w:pPr>
        <w:ind w:firstLine="640" w:firstLineChars="200"/>
        <w:outlineLvl w:val="1"/>
        <w:rPr>
          <w:rFonts w:ascii="黑体" w:hAnsi="黑体" w:eastAsia="仿宋_GB2312" w:cs="宋体"/>
          <w:bCs/>
          <w:kern w:val="0"/>
          <w:sz w:val="32"/>
          <w:szCs w:val="32"/>
        </w:rPr>
      </w:pPr>
      <w:bookmarkStart w:id="43" w:name="_Toc5626"/>
      <w:bookmarkStart w:id="44" w:name="_Toc8884"/>
      <w:r>
        <w:rPr>
          <w:rFonts w:hint="eastAsia" w:ascii="黑体" w:hAnsi="黑体" w:eastAsia="仿宋_GB2312" w:cs="宋体"/>
          <w:bCs/>
          <w:kern w:val="0"/>
          <w:sz w:val="32"/>
          <w:szCs w:val="32"/>
        </w:rPr>
        <w:t>六、《一般公共预算财政拨款基本支出决算表》</w:t>
      </w:r>
      <w:bookmarkEnd w:id="43"/>
      <w:bookmarkEnd w:id="44"/>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32663"/>
      <w:bookmarkStart w:id="46" w:name="_Toc29106"/>
      <w:r>
        <w:rPr>
          <w:rFonts w:hint="eastAsia" w:ascii="黑体" w:hAnsi="黑体" w:eastAsia="仿宋_GB2312" w:cs="宋体"/>
          <w:bCs/>
          <w:kern w:val="0"/>
          <w:sz w:val="32"/>
          <w:szCs w:val="32"/>
        </w:rPr>
        <w:t>《财政拨款“三公”经费支出决算表》</w:t>
      </w:r>
      <w:bookmarkEnd w:id="45"/>
      <w:bookmarkEnd w:id="46"/>
    </w:p>
    <w:p>
      <w:pPr>
        <w:ind w:firstLine="640" w:firstLineChars="200"/>
        <w:outlineLvl w:val="1"/>
        <w:rPr>
          <w:rFonts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FangSong_GB2312">
    <w:altName w:val="仿宋_GB2312"/>
    <w:panose1 w:val="00000000000000000000"/>
    <w:charset w:val="00"/>
    <w:family w:val="auto"/>
    <w:pitch w:val="default"/>
    <w:sig w:usb0="00000000" w:usb1="00000000" w:usb2="00000000" w:usb3="00000000" w:csb0="00000000" w:csb1="00000000"/>
  </w:font>
  <w:font w:name="黑体">
    <w:panose1 w:val="02010609060101010101"/>
    <w:charset w:val="86"/>
    <w:family w:val="swiss"/>
    <w:pitch w:val="default"/>
    <w:sig w:usb0="800002BF" w:usb1="38CF7CFA" w:usb2="00000016" w:usb3="00000000" w:csb0="00040001" w:csb1="00000000"/>
  </w:font>
  <w:font w:name="仿宋_GB2312">
    <w:panose1 w:val="02010609030101010101"/>
    <w:charset w:val="86"/>
    <w:family w:val="swiss"/>
    <w:pitch w:val="default"/>
    <w:sig w:usb0="00000001" w:usb1="080E0000" w:usb2="00000000" w:usb3="00000000" w:csb0="00040000" w:csb1="00000000"/>
  </w:font>
  <w:font w:name="黑体">
    <w:panose1 w:val="02010609060101010101"/>
    <w:charset w:val="86"/>
    <w:family w:val="decorative"/>
    <w:pitch w:val="default"/>
    <w:sig w:usb0="800002BF" w:usb1="38CF7CFA"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黑体">
    <w:panose1 w:val="02010609060101010101"/>
    <w:charset w:val="86"/>
    <w:family w:val="roman"/>
    <w:pitch w:val="default"/>
    <w:sig w:usb0="800002BF" w:usb1="38CF7CFA" w:usb2="00000016" w:usb3="00000000" w:csb0="00040001" w:csb1="00000000"/>
  </w:font>
  <w:font w:name="仿宋_GB2312">
    <w:panose1 w:val="02010609030101010101"/>
    <w:charset w:val="86"/>
    <w:family w:val="roma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003" w:usb1="288F0000" w:usb2="00000006" w:usb3="00000000" w:csb0="00040001" w:csb1="00000000"/>
  </w:font>
  <w:font w:name="新宋体">
    <w:panose1 w:val="02010609030101010101"/>
    <w:charset w:val="86"/>
    <w:family w:val="swiss"/>
    <w:pitch w:val="default"/>
    <w:sig w:usb0="00000003" w:usb1="288F0000" w:usb2="00000006" w:usb3="00000000" w:csb0="00040001" w:csb1="00000000"/>
  </w:font>
  <w:font w:name="新宋体">
    <w:panose1 w:val="02010609030101010101"/>
    <w:charset w:val="86"/>
    <w:family w:val="decorative"/>
    <w:pitch w:val="default"/>
    <w:sig w:usb0="00000003" w:usb1="288F0000" w:usb2="00000006" w:usb3="00000000" w:csb0="00040001" w:csb1="00000000"/>
  </w:font>
  <w:font w:name="新宋体">
    <w:panose1 w:val="02010609030101010101"/>
    <w:charset w:val="86"/>
    <w:family w:val="roman"/>
    <w:pitch w:val="default"/>
    <w:sig w:usb0="00000003" w:usb1="288F0000" w:usb2="0000000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Algerian">
    <w:panose1 w:val="04020705040A02060702"/>
    <w:charset w:val="00"/>
    <w:family w:val="auto"/>
    <w:pitch w:val="default"/>
    <w:sig w:usb0="00000003" w:usb1="00000000" w:usb2="00000000" w:usb3="00000000" w:csb0="20000001" w:csb1="00000000"/>
  </w:font>
  <w:font w:name="Andalus">
    <w:panose1 w:val="02020603050405020304"/>
    <w:charset w:val="00"/>
    <w:family w:val="auto"/>
    <w:pitch w:val="default"/>
    <w:sig w:usb0="00002003" w:usb1="80000000" w:usb2="00000008" w:usb3="00000000" w:csb0="00000041" w:csb1="20080000"/>
  </w:font>
  <w:font w:name="Angsana New">
    <w:panose1 w:val="02020603050405020304"/>
    <w:charset w:val="00"/>
    <w:family w:val="auto"/>
    <w:pitch w:val="default"/>
    <w:sig w:usb0="81000003" w:usb1="00000000" w:usb2="00000000" w:usb3="00000000" w:csb0="00010001" w:csb1="00000000"/>
  </w:font>
  <w:font w:name="AngsanaUPC">
    <w:panose1 w:val="02020603050405020304"/>
    <w:charset w:val="00"/>
    <w:family w:val="auto"/>
    <w:pitch w:val="default"/>
    <w:sig w:usb0="81000003" w:usb1="00000000" w:usb2="00000000" w:usb3="00000000" w:csb0="00010001" w:csb1="00000000"/>
  </w:font>
  <w:font w:name="Aparajita">
    <w:panose1 w:val="020B0604020202020204"/>
    <w:charset w:val="00"/>
    <w:family w:val="auto"/>
    <w:pitch w:val="default"/>
    <w:sig w:usb0="00008003" w:usb1="00000000" w:usb2="00000000" w:usb3="00000000" w:csb0="00000001" w:csb1="00000000"/>
  </w:font>
  <w:font w:name="Arabic Typesetting">
    <w:panose1 w:val="03020402040406030203"/>
    <w:charset w:val="00"/>
    <w:family w:val="auto"/>
    <w:pitch w:val="default"/>
    <w:sig w:usb0="A000206F" w:usb1="C0000000" w:usb2="00000008" w:usb3="00000000" w:csb0="200000D3" w:csb1="00000000"/>
  </w:font>
  <w:font w:name="Arial Black">
    <w:panose1 w:val="020B0A04020102020204"/>
    <w:charset w:val="00"/>
    <w:family w:val="auto"/>
    <w:pitch w:val="default"/>
    <w:sig w:usb0="00000287" w:usb1="00000000" w:usb2="00000000" w:usb3="00000000" w:csb0="2000009F" w:csb1="DFD70000"/>
  </w:font>
  <w:font w:name="Arial Narrow">
    <w:panose1 w:val="020B0606020202030204"/>
    <w:charset w:val="00"/>
    <w:family w:val="auto"/>
    <w:pitch w:val="default"/>
    <w:sig w:usb0="00000287" w:usb1="00000800" w:usb2="00000000" w:usb3="00000000" w:csb0="2000009F" w:csb1="DFD70000"/>
  </w:font>
  <w:font w:name="Arial Rounded MT Bold">
    <w:panose1 w:val="020F0704030504030204"/>
    <w:charset w:val="00"/>
    <w:family w:val="auto"/>
    <w:pitch w:val="default"/>
    <w:sig w:usb0="00000003" w:usb1="00000000" w:usb2="00000000" w:usb3="00000000" w:csb0="20000001" w:csb1="00000000"/>
  </w:font>
  <w:font w:name="Berlin Sans FB">
    <w:panose1 w:val="020E0602020502020306"/>
    <w:charset w:val="00"/>
    <w:family w:val="auto"/>
    <w:pitch w:val="default"/>
    <w:sig w:usb0="00000003" w:usb1="00000000" w:usb2="00000000" w:usb3="00000000" w:csb0="20000001" w:csb1="00000000"/>
  </w:font>
  <w:font w:name="Bell MT">
    <w:panose1 w:val="02020503060305020303"/>
    <w:charset w:val="00"/>
    <w:family w:val="auto"/>
    <w:pitch w:val="default"/>
    <w:sig w:usb0="00000003" w:usb1="00000000" w:usb2="00000000" w:usb3="00000000" w:csb0="20000001" w:csb1="00000000"/>
  </w:font>
  <w:font w:name="Bauhaus 93">
    <w:panose1 w:val="04030905020B02020C02"/>
    <w:charset w:val="00"/>
    <w:family w:val="auto"/>
    <w:pitch w:val="default"/>
    <w:sig w:usb0="00000003" w:usb1="00000000" w:usb2="00000000" w:usb3="00000000" w:csb0="20000001" w:csb1="00000000"/>
  </w:font>
  <w:font w:name="Bodoni MT">
    <w:panose1 w:val="02070603080606020203"/>
    <w:charset w:val="00"/>
    <w:family w:val="auto"/>
    <w:pitch w:val="default"/>
    <w:sig w:usb0="00000003" w:usb1="00000000" w:usb2="00000000" w:usb3="00000000" w:csb0="20000001" w:csb1="00000000"/>
  </w:font>
  <w:font w:name="Blackadder ITC">
    <w:panose1 w:val="04020505051007020D02"/>
    <w:charset w:val="00"/>
    <w:family w:val="auto"/>
    <w:pitch w:val="default"/>
    <w:sig w:usb0="00000003" w:usb1="00000000" w:usb2="00000000" w:usb3="00000000" w:csb0="20000001" w:csb1="00000000"/>
  </w:font>
  <w:font w:name="Bernard MT Condensed">
    <w:panose1 w:val="02050806060905020404"/>
    <w:charset w:val="00"/>
    <w:family w:val="auto"/>
    <w:pitch w:val="default"/>
    <w:sig w:usb0="00000003" w:usb1="00000000" w:usb2="00000000" w:usb3="00000000" w:csb0="20000001" w:csb1="00000000"/>
  </w:font>
  <w:font w:name="Berlin Sans FB Demi">
    <w:panose1 w:val="020E0802020502020306"/>
    <w:charset w:val="00"/>
    <w:family w:val="auto"/>
    <w:pitch w:val="default"/>
    <w:sig w:usb0="00000003" w:usb1="00000000" w:usb2="00000000" w:usb3="00000000" w:csb0="20000001" w:csb1="00000000"/>
  </w:font>
  <w:font w:name="Baskerville Old Face">
    <w:panose1 w:val="02020602080505020303"/>
    <w:charset w:val="00"/>
    <w:family w:val="auto"/>
    <w:pitch w:val="default"/>
    <w:sig w:usb0="00000003" w:usb1="00000000" w:usb2="00000000" w:usb3="00000000" w:csb0="20000001" w:csb1="00000000"/>
  </w:font>
  <w:font w:name="Bodoni MT Black">
    <w:panose1 w:val="02070A03080606020203"/>
    <w:charset w:val="00"/>
    <w:family w:val="auto"/>
    <w:pitch w:val="default"/>
    <w:sig w:usb0="00000003" w:usb1="00000000" w:usb2="00000000" w:usb3="00000000" w:csb0="20000001" w:csb1="00000000"/>
  </w:font>
  <w:font w:name="Bodoni MT Poster Compressed">
    <w:panose1 w:val="02070706080601050204"/>
    <w:charset w:val="00"/>
    <w:family w:val="auto"/>
    <w:pitch w:val="default"/>
    <w:sig w:usb0="00000003" w:usb1="00000000" w:usb2="00000000" w:usb3="00000000" w:csb0="20000011" w:csb1="00000000"/>
  </w:font>
  <w:font w:name="Bookman Old Style">
    <w:panose1 w:val="02050604050505020204"/>
    <w:charset w:val="00"/>
    <w:family w:val="auto"/>
    <w:pitch w:val="default"/>
    <w:sig w:usb0="00000287" w:usb1="00000000" w:usb2="00000000" w:usb3="00000000" w:csb0="2000009F" w:csb1="DFD70000"/>
  </w:font>
  <w:font w:name="Bradley Hand ITC">
    <w:panose1 w:val="03070402050302030203"/>
    <w:charset w:val="00"/>
    <w:family w:val="auto"/>
    <w:pitch w:val="default"/>
    <w:sig w:usb0="00000003" w:usb1="00000000" w:usb2="00000000" w:usb3="00000000" w:csb0="20000001" w:csb1="00000000"/>
  </w:font>
  <w:font w:name="Britannic Bold">
    <w:panose1 w:val="020B0903060703020204"/>
    <w:charset w:val="00"/>
    <w:family w:val="auto"/>
    <w:pitch w:val="default"/>
    <w:sig w:usb0="00000003" w:usb1="00000000" w:usb2="00000000" w:usb3="00000000" w:csb0="20000001" w:csb1="00000000"/>
  </w:font>
  <w:font w:name="Broadway">
    <w:panose1 w:val="04040905080B02020502"/>
    <w:charset w:val="00"/>
    <w:family w:val="auto"/>
    <w:pitch w:val="default"/>
    <w:sig w:usb0="00000003" w:usb1="00000000" w:usb2="00000000" w:usb3="00000000" w:csb0="20000001" w:csb1="00000000"/>
  </w:font>
  <w:font w:name="BrowalliaUPC">
    <w:panose1 w:val="020B0604020202020204"/>
    <w:charset w:val="00"/>
    <w:family w:val="auto"/>
    <w:pitch w:val="default"/>
    <w:sig w:usb0="81000003" w:usb1="00000000" w:usb2="00000000" w:usb3="00000000" w:csb0="00010001" w:csb1="00000000"/>
  </w:font>
  <w:font w:name="Calibri Light">
    <w:panose1 w:val="020F0302020204030204"/>
    <w:charset w:val="00"/>
    <w:family w:val="auto"/>
    <w:pitch w:val="default"/>
    <w:sig w:usb0="A00002EF" w:usb1="4000207B" w:usb2="00000000" w:usb3="00000000" w:csb0="2000019F" w:csb1="00000000"/>
  </w:font>
  <w:font w:name="Century Schoolbook">
    <w:panose1 w:val="02040604050505020304"/>
    <w:charset w:val="00"/>
    <w:family w:val="auto"/>
    <w:pitch w:val="default"/>
    <w:sig w:usb0="00000287" w:usb1="00000000" w:usb2="00000000" w:usb3="00000000" w:csb0="2000009F" w:csb1="DFD70000"/>
  </w:font>
  <w:font w:name="Comic Sans MS">
    <w:panose1 w:val="030F0702030302020204"/>
    <w:charset w:val="00"/>
    <w:family w:val="auto"/>
    <w:pitch w:val="default"/>
    <w:sig w:usb0="00000287" w:usb1="00000000" w:usb2="00000000" w:usb3="00000000" w:csb0="2000009F" w:csb1="00000000"/>
  </w:font>
  <w:font w:name="Consolas">
    <w:panose1 w:val="020B0609020204030204"/>
    <w:charset w:val="00"/>
    <w:family w:val="auto"/>
    <w:pitch w:val="default"/>
    <w:sig w:usb0="E10002FF" w:usb1="4000FCFF" w:usb2="00000009" w:usb3="00000000" w:csb0="6000019F" w:csb1="DFD70000"/>
  </w:font>
  <w:font w:name="Copperplate Gothic Bold">
    <w:panose1 w:val="020E0705020206020404"/>
    <w:charset w:val="00"/>
    <w:family w:val="auto"/>
    <w:pitch w:val="default"/>
    <w:sig w:usb0="00000003" w:usb1="00000000" w:usb2="00000000" w:usb3="00000000" w:csb0="20000001" w:csb1="00000000"/>
  </w:font>
  <w:font w:name="Chiller">
    <w:panose1 w:val="04020404031007020602"/>
    <w:charset w:val="00"/>
    <w:family w:val="auto"/>
    <w:pitch w:val="default"/>
    <w:sig w:usb0="00000003" w:usb1="00000000" w:usb2="00000000" w:usb3="00000000" w:csb0="20000001" w:csb1="00000000"/>
  </w:font>
  <w:font w:name="Candara">
    <w:panose1 w:val="020E0502030303020204"/>
    <w:charset w:val="00"/>
    <w:family w:val="auto"/>
    <w:pitch w:val="default"/>
    <w:sig w:usb0="A00002EF" w:usb1="4000A44B" w:usb2="00000000" w:usb3="00000000" w:csb0="2000019F" w:csb1="00000000"/>
  </w:font>
  <w:font w:name="Californian FB">
    <w:panose1 w:val="0207040306080B030204"/>
    <w:charset w:val="00"/>
    <w:family w:val="auto"/>
    <w:pitch w:val="default"/>
    <w:sig w:usb0="00000003" w:usb1="00000000" w:usb2="00000000" w:usb3="00000000" w:csb0="20000001" w:csb1="00000000"/>
  </w:font>
  <w:font w:name="Brush Script MT">
    <w:panose1 w:val="03060802040406070304"/>
    <w:charset w:val="00"/>
    <w:family w:val="auto"/>
    <w:pitch w:val="default"/>
    <w:sig w:usb0="00000003" w:usb1="00000000" w:usb2="00000000" w:usb3="00000000" w:csb0="20000001" w:csb1="00000000"/>
  </w:font>
  <w:font w:name="Calisto MT">
    <w:panose1 w:val="02040603050505030304"/>
    <w:charset w:val="00"/>
    <w:family w:val="auto"/>
    <w:pitch w:val="default"/>
    <w:sig w:usb0="00000003" w:usb1="00000000" w:usb2="00000000" w:usb3="00000000" w:csb0="20000001" w:csb1="00000000"/>
  </w:font>
  <w:font w:name="Browallia New">
    <w:panose1 w:val="020B0604020202020204"/>
    <w:charset w:val="00"/>
    <w:family w:val="auto"/>
    <w:pitch w:val="default"/>
    <w:sig w:usb0="81000003" w:usb1="00000000" w:usb2="00000000" w:usb3="00000000" w:csb0="0001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72565021">
    <w:nsid w:val="103F031D"/>
    <w:multiLevelType w:val="singleLevel"/>
    <w:tmpl w:val="103F031D"/>
    <w:lvl w:ilvl="0" w:tentative="1">
      <w:start w:val="2"/>
      <w:numFmt w:val="chineseCounting"/>
      <w:suff w:val="nothing"/>
      <w:lvlText w:val="（%1）"/>
      <w:lvlJc w:val="left"/>
      <w:rPr>
        <w:rFonts w:hint="eastAsia"/>
      </w:rPr>
    </w:lvl>
  </w:abstractNum>
  <w:num w:numId="1">
    <w:abstractNumId w:val="2725650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AyOGZmZWJiZjkzMTc5MjUxM2FlYjUzNmFjOTJhZmYifQ=="/>
    <w:docVar w:name="KSO_WPS_MARK_KEY" w:val="41ee2a61-2d54-4f93-83be-afdb9a40d732"/>
  </w:docVars>
  <w:rsids>
    <w:rsidRoot w:val="00455A6C"/>
    <w:rsid w:val="00213C59"/>
    <w:rsid w:val="003210CE"/>
    <w:rsid w:val="00455A6C"/>
    <w:rsid w:val="006B373B"/>
    <w:rsid w:val="00B70D59"/>
    <w:rsid w:val="00F34796"/>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262849"/>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777C44"/>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56E7"/>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9169FF"/>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AF2FC5"/>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280044"/>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5E96D3D"/>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DB3F2D"/>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0">
    <w:name w:val="Strong"/>
    <w:basedOn w:val="9"/>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 w:type="paragraph" w:customStyle="1" w:styleId="15">
    <w:name w:val="无间隔1"/>
    <w:qFormat/>
    <w:uiPriority w:val="1"/>
    <w:pPr>
      <w:widowControl w:val="0"/>
      <w:spacing w:line="660" w:lineRule="exact"/>
      <w:ind w:firstLine="560" w:firstLineChars="200"/>
    </w:pPr>
    <w:rPr>
      <w:rFonts w:ascii="仿宋_GB2312" w:hAnsi="Calibri" w:eastAsia="仿宋_GB2312" w:cs="Times New Roman"/>
      <w:kern w:val="10"/>
      <w:sz w:val="28"/>
      <w:szCs w:val="28"/>
      <w:lang w:val="en-US" w:eastAsia="zh-CN"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1156</Words>
  <Characters>6593</Characters>
  <Lines>54</Lines>
  <Paragraphs>15</Paragraphs>
  <ScaleCrop>false</ScaleCrop>
  <LinksUpToDate>false</LinksUpToDate>
  <CharactersWithSpaces>7734</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2024-08-19T08:30:00Z</dcterms:created>
  <dc:creator>GXR</dc:creator>
  <cp:lastModifiedBy>gyb1</cp:lastModifiedBy>
  <dcterms:modified xsi:type="dcterms:W3CDTF">2024-09-02T03:34:47Z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ICV">
    <vt:lpwstr>D624B15633CD43C8BF9435464A96BF70</vt:lpwstr>
  </property>
</Properties>
</file>