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新疆白杨河流域管理局水利管理中心</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Pr/>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numPr>
          <w:ilvl w:val="0"/>
          <w:numId w:val="1"/>
        </w:num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主要职能</w:t>
      </w:r>
      <w:bookmarkEnd w:id="2"/>
      <w:bookmarkEnd w:id="3"/>
      <w:bookmarkStart w:id="4" w:name="_Toc31238"/>
      <w:bookmarkStart w:id="5" w:name="_Toc2151"/>
    </w:p>
    <w:p>
      <w:pPr>
        <w:numPr>
          <w:ilvl w:val="0"/>
          <w:numId w:val="0"/>
        </w:numPr>
        <w:outlineLvl w:val="1"/>
        <w:rPr>
          <w:rFonts w:hint="eastAsia" w:ascii="仿宋_GB2312" w:hAnsi="仿宋_GB2312" w:eastAsia="仿宋_GB2312" w:cs="仿宋_GB2312"/>
          <w:sz w:val="32"/>
          <w:szCs w:val="32"/>
        </w:rPr>
      </w:pPr>
      <w:r>
        <w:rPr>
          <w:rFonts w:hint="eastAsia" w:ascii="仿宋" w:hAnsi="仿宋" w:eastAsia="仿宋" w:cs="仿宋"/>
          <w:spacing w:val="7"/>
          <w:sz w:val="31"/>
          <w:szCs w:val="31"/>
          <w:lang w:val="en-US" w:eastAsia="zh-CN"/>
        </w:rPr>
        <w:t xml:space="preserve">   </w:t>
      </w:r>
      <w:r>
        <w:rPr>
          <w:rFonts w:hint="eastAsia" w:ascii="仿宋_GB2312" w:hAnsi="仿宋_GB2312" w:eastAsia="仿宋_GB2312" w:cs="仿宋_GB2312"/>
          <w:spacing w:val="7"/>
          <w:sz w:val="32"/>
          <w:szCs w:val="32"/>
        </w:rPr>
        <w:t>负责白杨河流域内水利工程建设、运行管理、维修养护</w:t>
      </w:r>
      <w:r>
        <w:rPr>
          <w:rFonts w:hint="eastAsia" w:ascii="仿宋_GB2312" w:hAnsi="仿宋_GB2312" w:eastAsia="仿宋_GB2312" w:cs="仿宋_GB2312"/>
          <w:spacing w:val="8"/>
          <w:sz w:val="32"/>
          <w:szCs w:val="32"/>
        </w:rPr>
        <w:t>和供水管理工作，防洪抢险、河道清障及水土保持工作，进行流域内水资源的统一调配，承担工业供水、农业供水和绿</w:t>
      </w:r>
      <w:r>
        <w:rPr>
          <w:rFonts w:hint="eastAsia" w:ascii="仿宋_GB2312" w:hAnsi="仿宋_GB2312" w:eastAsia="仿宋_GB2312" w:cs="仿宋_GB2312"/>
          <w:spacing w:val="-5"/>
          <w:sz w:val="32"/>
          <w:szCs w:val="32"/>
        </w:rPr>
        <w:t>化供水任务。</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eastAsia="仿宋_GB2312" w:cs="仿宋_GB2312"/>
          <w:sz w:val="32"/>
          <w:szCs w:val="32"/>
          <w:lang w:val="zh-CN"/>
        </w:rPr>
      </w:pPr>
      <w:r>
        <w:rPr>
          <w:rFonts w:hint="eastAsia" w:eastAsia="仿宋_GB2312" w:cs="仿宋_GB2312"/>
          <w:sz w:val="32"/>
          <w:szCs w:val="32"/>
          <w:lang w:val="zh-CN"/>
        </w:rPr>
        <w:t>新疆白杨河流域管理局水利管理中心2023年度，实有人数29人，其中：在职人员29人，离休人员0人，退休人员0人。</w:t>
      </w:r>
    </w:p>
    <w:p>
      <w:pPr>
        <w:ind w:firstLine="640" w:firstLineChars="200"/>
        <w:jc w:val="left"/>
        <w:rPr>
          <w:rFonts w:hint="eastAsia" w:ascii="仿宋_GB2312" w:hAnsi="仿宋_GB2312" w:eastAsia="仿宋_GB2312" w:cs="仿宋_GB2312"/>
          <w:sz w:val="32"/>
          <w:szCs w:val="32"/>
        </w:rPr>
      </w:pPr>
      <w:r>
        <w:rPr>
          <w:rFonts w:hint="eastAsia" w:eastAsia="仿宋_GB2312" w:cs="仿宋_GB2312"/>
          <w:sz w:val="32"/>
          <w:szCs w:val="32"/>
          <w:lang w:val="zh-CN" w:eastAsia="zh-CN"/>
        </w:rPr>
        <w:t>新疆白杨河流域管理局水利管理中心</w:t>
      </w:r>
      <w:r>
        <w:rPr>
          <w:rFonts w:hint="eastAsia" w:eastAsia="仿宋_GB2312" w:cs="仿宋_GB2312"/>
          <w:sz w:val="32"/>
          <w:szCs w:val="32"/>
          <w:lang w:val="zh-CN"/>
        </w:rPr>
        <w:t>无下属预算单位</w:t>
      </w:r>
      <w:r>
        <w:rPr>
          <w:rFonts w:hint="eastAsia" w:eastAsia="仿宋_GB2312" w:cs="仿宋_GB2312"/>
          <w:sz w:val="32"/>
          <w:szCs w:val="32"/>
          <w:lang w:val="zh-CN" w:eastAsia="zh-CN"/>
        </w:rPr>
        <w:t>，</w:t>
      </w:r>
      <w:r>
        <w:rPr>
          <w:rFonts w:hint="eastAsia" w:eastAsia="仿宋_GB2312" w:cs="仿宋_GB2312"/>
          <w:sz w:val="32"/>
          <w:szCs w:val="32"/>
          <w:lang w:val="zh-CN"/>
        </w:rPr>
        <w:t>下设</w:t>
      </w:r>
      <w:r>
        <w:rPr>
          <w:rFonts w:hint="eastAsia" w:eastAsia="仿宋_GB2312" w:cs="仿宋_GB2312"/>
          <w:sz w:val="32"/>
          <w:szCs w:val="32"/>
          <w:lang w:val="en-US" w:eastAsia="zh-CN"/>
        </w:rPr>
        <w:t>3</w:t>
      </w:r>
      <w:r>
        <w:rPr>
          <w:rFonts w:hint="eastAsia" w:eastAsia="仿宋_GB2312" w:cs="仿宋_GB2312"/>
          <w:sz w:val="32"/>
          <w:szCs w:val="32"/>
          <w:lang w:val="zh-CN"/>
        </w:rPr>
        <w:t>个处室，分别是：综合科、水调科、工程科。</w:t>
      </w:r>
    </w:p>
    <w:p>
      <w:pPr>
        <w:ind w:firstLine="640" w:firstLineChars="200"/>
        <w:rPr>
          <w:rFonts w:hint="eastAsia" w:ascii="仿宋_GB2312" w:hAnsi="仿宋_GB2312" w:eastAsia="仿宋_GB2312" w:cs="仿宋_GB2312"/>
          <w:kern w:val="0"/>
          <w:sz w:val="32"/>
          <w:szCs w:val="32"/>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hint="eastAsia" w:eastAsia="仿宋_GB2312" w:cs="仿宋_GB2312"/>
          <w:sz w:val="32"/>
          <w:szCs w:val="32"/>
          <w:lang w:val="zh-CN"/>
        </w:rPr>
      </w:pPr>
      <w:r>
        <w:rPr>
          <w:rFonts w:hint="eastAsia" w:eastAsia="仿宋_GB2312" w:cs="仿宋_GB2312"/>
          <w:sz w:val="32"/>
          <w:szCs w:val="32"/>
          <w:lang w:val="zh-CN"/>
        </w:rPr>
        <w:t>2023年度收入总计2,331.87万元，其中：本年收入合计2,397.08万元，使用非财政拨款结余0.00万元，年初结转和结余-65.20万元。</w:t>
      </w:r>
    </w:p>
    <w:p>
      <w:pPr>
        <w:ind w:firstLine="640" w:firstLineChars="200"/>
        <w:jc w:val="left"/>
        <w:rPr>
          <w:rFonts w:hint="eastAsia" w:eastAsia="仿宋_GB2312" w:cs="仿宋_GB2312"/>
          <w:sz w:val="32"/>
          <w:szCs w:val="32"/>
          <w:lang w:val="zh-CN"/>
        </w:rPr>
      </w:pPr>
      <w:r>
        <w:rPr>
          <w:rFonts w:hint="eastAsia" w:eastAsia="仿宋_GB2312" w:cs="仿宋_GB2312"/>
          <w:sz w:val="32"/>
          <w:szCs w:val="32"/>
          <w:lang w:val="zh-CN"/>
        </w:rPr>
        <w:t>2023年度支出总计2,331.87万元，其中：本年支出合计2,255.23万元，结余分配76.64万元，年末结转和结余0.00万元。</w:t>
      </w:r>
    </w:p>
    <w:p>
      <w:pPr>
        <w:ind w:firstLine="640" w:firstLineChars="200"/>
        <w:jc w:val="left"/>
        <w:rPr>
          <w:rFonts w:hint="eastAsia" w:eastAsia="仿宋_GB2312" w:cs="仿宋_GB2312"/>
          <w:sz w:val="32"/>
          <w:szCs w:val="32"/>
          <w:lang w:val="zh-CN"/>
        </w:rPr>
      </w:pPr>
      <w:r>
        <w:rPr>
          <w:rFonts w:hint="eastAsia" w:eastAsia="仿宋_GB2312" w:cs="仿宋_GB2312"/>
          <w:sz w:val="32"/>
          <w:szCs w:val="32"/>
          <w:lang w:val="zh-CN"/>
        </w:rPr>
        <w:t>收入支出总体与上年相比，增加1,776.56万元，增长319.92%，主要原因是：</w:t>
      </w:r>
      <w:r>
        <w:rPr>
          <w:rFonts w:hint="eastAsia" w:eastAsia="仿宋_GB2312" w:cs="仿宋_GB2312"/>
          <w:sz w:val="32"/>
          <w:szCs w:val="32"/>
          <w:lang w:val="zh-CN" w:eastAsia="zh-CN"/>
        </w:rPr>
        <w:t>本年合并账务及本年新增基建项目，</w:t>
      </w:r>
      <w:r>
        <w:rPr>
          <w:rFonts w:hint="eastAsia" w:eastAsia="仿宋_GB2312" w:cs="仿宋_GB2312"/>
          <w:sz w:val="32"/>
          <w:szCs w:val="32"/>
          <w:lang w:val="zh-CN"/>
        </w:rPr>
        <w:t>故与上年相比收入支出总体</w:t>
      </w:r>
      <w:r>
        <w:rPr>
          <w:rFonts w:hint="eastAsia" w:eastAsia="仿宋_GB2312" w:cs="仿宋_GB2312"/>
          <w:sz w:val="32"/>
          <w:szCs w:val="32"/>
          <w:lang w:val="zh-CN" w:eastAsia="zh-CN"/>
        </w:rPr>
        <w:t>增加</w:t>
      </w:r>
      <w:r>
        <w:rPr>
          <w:rFonts w:hint="eastAsia" w:eastAsia="仿宋_GB2312" w:cs="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hint="eastAsia" w:eastAsia="仿宋_GB2312" w:cs="仿宋_GB2312"/>
          <w:sz w:val="32"/>
          <w:szCs w:val="32"/>
          <w:lang w:val="zh-CN"/>
        </w:rPr>
      </w:pPr>
      <w:r>
        <w:rPr>
          <w:rFonts w:hint="eastAsia" w:eastAsia="仿宋_GB2312" w:cs="仿宋_GB2312"/>
          <w:sz w:val="32"/>
          <w:szCs w:val="32"/>
          <w:lang w:val="zh-CN"/>
        </w:rPr>
        <w:t>本年收入2,397.08万元，其中：财政拨款收入1,617.07万元，占67.46%；上级补助收入0.00万元，占0.00%；事业收入0.00万元，占0.00%；经营收入778.99万元，占32.50%；附属单位上缴收入0.00万元，占0.00%；其他收入1.02万元，占0.04%。</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本年支出2,255.23万元，其中：基本支出209.07万元，占9.27%；项目支出1,408.00万元，占62.43%；上缴上级支出0.00万元，占0.00%；经营支出638.16万元，占28.30%；对附属单位补助支出0.00万元，占0.00%。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hint="eastAsia" w:eastAsia="仿宋_GB2312" w:cs="仿宋_GB2312"/>
          <w:sz w:val="32"/>
          <w:szCs w:val="32"/>
          <w:lang w:val="zh-CN"/>
        </w:rPr>
      </w:pPr>
      <w:r>
        <w:rPr>
          <w:rFonts w:hint="eastAsia" w:eastAsia="仿宋_GB2312" w:cs="仿宋_GB2312"/>
          <w:sz w:val="32"/>
          <w:szCs w:val="32"/>
          <w:lang w:val="zh-CN"/>
        </w:rPr>
        <w:t>2023年度财政拨款收入总计1,617.07万元，其中：年初财政拨款结转和结余0.00万元，本年财政拨款收入1,617.07万元。财政拨款支出总计1,617.07万元，其中：年末财政拨款结转和结余0.00万元，本年财政拨款支出1,617.07万元。</w:t>
      </w:r>
    </w:p>
    <w:p>
      <w:pPr>
        <w:ind w:firstLine="640" w:firstLineChars="200"/>
        <w:jc w:val="left"/>
        <w:rPr>
          <w:rFonts w:hint="eastAsia" w:eastAsia="仿宋_GB2312" w:cs="仿宋_GB2312"/>
          <w:sz w:val="32"/>
          <w:szCs w:val="32"/>
          <w:lang w:val="zh-CN"/>
        </w:rPr>
      </w:pPr>
      <w:r>
        <w:rPr>
          <w:rFonts w:hint="eastAsia" w:eastAsia="仿宋_GB2312" w:cs="仿宋_GB2312"/>
          <w:sz w:val="32"/>
          <w:szCs w:val="32"/>
          <w:lang w:val="zh-CN"/>
        </w:rPr>
        <w:t>财政拨款收入支出总体与上年相比,增加1,061.76万元，增长191.20%,主要原因是：</w:t>
      </w:r>
      <w:r>
        <w:rPr>
          <w:rFonts w:hint="eastAsia" w:eastAsia="仿宋_GB2312" w:cs="仿宋_GB2312"/>
          <w:sz w:val="32"/>
          <w:szCs w:val="32"/>
          <w:lang w:val="zh-CN" w:eastAsia="zh-CN"/>
        </w:rPr>
        <w:t>本年合并账务及本年新增基建项目，故</w:t>
      </w:r>
      <w:r>
        <w:rPr>
          <w:rFonts w:hint="eastAsia" w:eastAsia="仿宋_GB2312" w:cs="仿宋_GB2312"/>
          <w:sz w:val="32"/>
          <w:szCs w:val="32"/>
          <w:lang w:val="zh-CN"/>
        </w:rPr>
        <w:t>收入支出总体与上年相比</w:t>
      </w:r>
      <w:r>
        <w:rPr>
          <w:rFonts w:hint="eastAsia" w:eastAsia="仿宋_GB2312" w:cs="仿宋_GB2312"/>
          <w:sz w:val="32"/>
          <w:szCs w:val="32"/>
          <w:lang w:val="zh-CN" w:eastAsia="zh-CN"/>
        </w:rPr>
        <w:t>增加</w:t>
      </w:r>
      <w:r>
        <w:rPr>
          <w:rFonts w:hint="eastAsia" w:eastAsia="仿宋_GB2312" w:cs="仿宋_GB2312"/>
          <w:sz w:val="32"/>
          <w:szCs w:val="32"/>
          <w:lang w:val="zh-CN"/>
        </w:rPr>
        <w:t>。与年初预算相比，年初预算数225.31万元，决算数1,617.07万元，预决算差异率617.71%，主要原因是：</w:t>
      </w:r>
      <w:r>
        <w:rPr>
          <w:rFonts w:hint="eastAsia" w:eastAsia="仿宋_GB2312" w:cs="仿宋_GB2312"/>
          <w:sz w:val="32"/>
          <w:szCs w:val="32"/>
          <w:lang w:val="zh-CN" w:eastAsia="zh-CN"/>
        </w:rPr>
        <w:t>本年合并账务及本年新增基建项目，故</w:t>
      </w:r>
      <w:r>
        <w:rPr>
          <w:rFonts w:hint="eastAsia" w:eastAsia="仿宋_GB2312" w:cs="仿宋_GB2312"/>
          <w:sz w:val="32"/>
          <w:szCs w:val="32"/>
          <w:lang w:val="zh-CN"/>
        </w:rPr>
        <w:t>预决算</w:t>
      </w:r>
      <w:r>
        <w:rPr>
          <w:rFonts w:hint="eastAsia" w:eastAsia="仿宋_GB2312" w:cs="仿宋_GB2312"/>
          <w:sz w:val="32"/>
          <w:szCs w:val="32"/>
          <w:lang w:val="zh-CN" w:eastAsia="zh-CN"/>
        </w:rPr>
        <w:t>有</w:t>
      </w:r>
      <w:r>
        <w:rPr>
          <w:rFonts w:hint="eastAsia" w:eastAsia="仿宋_GB2312" w:cs="仿宋_GB2312"/>
          <w:sz w:val="32"/>
          <w:szCs w:val="32"/>
          <w:lang w:val="zh-CN"/>
        </w:rPr>
        <w:t>差异率。</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hint="eastAsia" w:eastAsia="仿宋_GB2312" w:cs="仿宋_GB2312"/>
          <w:sz w:val="32"/>
          <w:szCs w:val="32"/>
          <w:lang w:val="zh-CN"/>
        </w:rPr>
      </w:pPr>
      <w:r>
        <w:rPr>
          <w:rFonts w:hint="eastAsia" w:eastAsia="仿宋_GB2312" w:cs="仿宋_GB2312"/>
          <w:sz w:val="32"/>
          <w:szCs w:val="32"/>
          <w:lang w:val="zh-CN"/>
        </w:rPr>
        <w:t>2023年度一般公共预算财政拨款支出1,617.07万元，占本年支出合计的71.70%。与上年相比，增加1,061.76万元，增长191.20%,主要原因是：</w:t>
      </w:r>
      <w:r>
        <w:rPr>
          <w:rFonts w:hint="eastAsia" w:eastAsia="仿宋_GB2312" w:cs="仿宋_GB2312"/>
          <w:sz w:val="32"/>
          <w:szCs w:val="32"/>
          <w:lang w:val="zh-CN" w:eastAsia="zh-CN"/>
        </w:rPr>
        <w:t>本年企业账合并事业账，本年新增</w:t>
      </w:r>
      <w:r>
        <w:rPr>
          <w:rFonts w:hint="eastAsia" w:eastAsia="仿宋_GB2312" w:cs="仿宋_GB2312"/>
          <w:sz w:val="32"/>
          <w:szCs w:val="32"/>
          <w:lang w:val="en-US" w:eastAsia="zh-CN"/>
        </w:rPr>
        <w:t>2个项目分别为</w:t>
      </w:r>
      <w:r>
        <w:rPr>
          <w:rFonts w:hint="eastAsia" w:eastAsia="仿宋_GB2312" w:cs="仿宋_GB2312"/>
          <w:sz w:val="32"/>
          <w:szCs w:val="32"/>
          <w:lang w:val="zh-CN" w:eastAsia="zh-CN"/>
        </w:rPr>
        <w:t>基础设施建设项目</w:t>
      </w:r>
      <w:r>
        <w:rPr>
          <w:rFonts w:hint="eastAsia" w:eastAsia="仿宋_GB2312" w:cs="仿宋_GB2312"/>
          <w:sz w:val="32"/>
          <w:szCs w:val="32"/>
          <w:lang w:val="en-US" w:eastAsia="zh-CN"/>
        </w:rPr>
        <w:t>1350万元 ，防汛</w:t>
      </w:r>
      <w:r>
        <w:rPr>
          <w:rFonts w:hint="eastAsia" w:eastAsia="仿宋_GB2312" w:cs="仿宋_GB2312"/>
          <w:sz w:val="32"/>
          <w:szCs w:val="32"/>
          <w:lang w:val="zh-CN"/>
        </w:rPr>
        <w:t>抗旱项目</w:t>
      </w:r>
      <w:r>
        <w:rPr>
          <w:rFonts w:hint="eastAsia" w:eastAsia="仿宋_GB2312" w:cs="仿宋_GB2312"/>
          <w:sz w:val="32"/>
          <w:szCs w:val="32"/>
          <w:lang w:val="en-US" w:eastAsia="zh-CN"/>
        </w:rPr>
        <w:t>30万元</w:t>
      </w:r>
      <w:r>
        <w:rPr>
          <w:rFonts w:hint="eastAsia" w:eastAsia="仿宋_GB2312" w:cs="仿宋_GB2312"/>
          <w:sz w:val="32"/>
          <w:szCs w:val="32"/>
          <w:lang w:val="zh-CN" w:eastAsia="zh-CN"/>
        </w:rPr>
        <w:t>，故与</w:t>
      </w:r>
      <w:r>
        <w:rPr>
          <w:rFonts w:hint="eastAsia" w:eastAsia="仿宋_GB2312" w:cs="仿宋_GB2312"/>
          <w:sz w:val="32"/>
          <w:szCs w:val="32"/>
          <w:lang w:val="zh-CN"/>
        </w:rPr>
        <w:t>上年相比本年支出</w:t>
      </w:r>
      <w:r>
        <w:rPr>
          <w:rFonts w:hint="eastAsia" w:eastAsia="仿宋_GB2312" w:cs="仿宋_GB2312"/>
          <w:sz w:val="32"/>
          <w:szCs w:val="32"/>
          <w:lang w:val="zh-CN" w:eastAsia="zh-CN"/>
        </w:rPr>
        <w:t>增加</w:t>
      </w:r>
      <w:r>
        <w:rPr>
          <w:rFonts w:hint="eastAsia" w:eastAsia="仿宋_GB2312" w:cs="仿宋_GB2312"/>
          <w:sz w:val="32"/>
          <w:szCs w:val="32"/>
          <w:lang w:val="zh-CN"/>
        </w:rPr>
        <w:t>。与年初预算相比，年初预算数225.31万元，决算数1,617.07万元，预决算差异率617.71%，主要原因是：</w:t>
      </w:r>
      <w:r>
        <w:rPr>
          <w:rFonts w:hint="eastAsia" w:eastAsia="仿宋_GB2312" w:cs="仿宋_GB2312"/>
          <w:sz w:val="32"/>
          <w:szCs w:val="32"/>
          <w:lang w:val="zh-CN" w:eastAsia="zh-CN"/>
        </w:rPr>
        <w:t>本年企业账合并事业账，本年新增</w:t>
      </w:r>
      <w:r>
        <w:rPr>
          <w:rFonts w:hint="eastAsia" w:eastAsia="仿宋_GB2312" w:cs="仿宋_GB2312"/>
          <w:sz w:val="32"/>
          <w:szCs w:val="32"/>
          <w:lang w:val="en-US" w:eastAsia="zh-CN"/>
        </w:rPr>
        <w:t>2个项目分别为</w:t>
      </w:r>
      <w:r>
        <w:rPr>
          <w:rFonts w:hint="eastAsia" w:eastAsia="仿宋_GB2312" w:cs="仿宋_GB2312"/>
          <w:sz w:val="32"/>
          <w:szCs w:val="32"/>
          <w:lang w:val="zh-CN" w:eastAsia="zh-CN"/>
        </w:rPr>
        <w:t>基础设施建设项目</w:t>
      </w:r>
      <w:r>
        <w:rPr>
          <w:rFonts w:hint="eastAsia" w:eastAsia="仿宋_GB2312" w:cs="仿宋_GB2312"/>
          <w:sz w:val="32"/>
          <w:szCs w:val="32"/>
          <w:lang w:val="en-US" w:eastAsia="zh-CN"/>
        </w:rPr>
        <w:t>1350万元 ，防汛</w:t>
      </w:r>
      <w:r>
        <w:rPr>
          <w:rFonts w:hint="eastAsia" w:eastAsia="仿宋_GB2312" w:cs="仿宋_GB2312"/>
          <w:sz w:val="32"/>
          <w:szCs w:val="32"/>
          <w:lang w:val="zh-CN"/>
        </w:rPr>
        <w:t>抗旱项目</w:t>
      </w:r>
      <w:r>
        <w:rPr>
          <w:rFonts w:hint="eastAsia" w:eastAsia="仿宋_GB2312" w:cs="仿宋_GB2312"/>
          <w:sz w:val="32"/>
          <w:szCs w:val="32"/>
          <w:lang w:val="en-US" w:eastAsia="zh-CN"/>
        </w:rPr>
        <w:t>30万元</w:t>
      </w:r>
      <w:r>
        <w:rPr>
          <w:rFonts w:hint="eastAsia" w:eastAsia="仿宋_GB2312" w:cs="仿宋_GB2312"/>
          <w:sz w:val="32"/>
          <w:szCs w:val="32"/>
          <w:lang w:val="zh-CN" w:eastAsia="zh-CN"/>
        </w:rPr>
        <w:t>，故</w:t>
      </w:r>
      <w:r>
        <w:rPr>
          <w:rFonts w:hint="eastAsia" w:eastAsia="仿宋_GB2312" w:cs="仿宋_GB2312"/>
          <w:sz w:val="32"/>
          <w:szCs w:val="32"/>
          <w:lang w:val="zh-CN"/>
        </w:rPr>
        <w:t>预决算</w:t>
      </w:r>
      <w:r>
        <w:rPr>
          <w:rFonts w:hint="eastAsia" w:eastAsia="仿宋_GB2312" w:cs="仿宋_GB2312"/>
          <w:sz w:val="32"/>
          <w:szCs w:val="32"/>
          <w:lang w:val="zh-CN" w:eastAsia="zh-CN"/>
        </w:rPr>
        <w:t>有</w:t>
      </w:r>
      <w:r>
        <w:rPr>
          <w:rFonts w:hint="eastAsia" w:eastAsia="仿宋_GB2312" w:cs="仿宋_GB2312"/>
          <w:sz w:val="32"/>
          <w:szCs w:val="32"/>
          <w:lang w:val="zh-CN"/>
        </w:rPr>
        <w:t>差异率。</w:t>
      </w:r>
    </w:p>
    <w:p>
      <w:pPr>
        <w:numPr>
          <w:ilvl w:val="0"/>
          <w:numId w:val="2"/>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1.农林水支出（类）267.07万元，占16.52%；</w:t>
      </w:r>
    </w:p>
    <w:p>
      <w:pPr>
        <w:pStyle w:val="8"/>
        <w:widowControl/>
        <w:spacing w:before="0" w:beforeAutospacing="0" w:after="0" w:afterAutospacing="0"/>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2.其他支出（类）1,350.00万元，占83.48%；</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1.农林水支出（类）水利（款）防汛（项）:支出决算数为30.00万元，比上年决算减少10.00万元，下降25.00%，主要原因是：</w:t>
      </w:r>
      <w:r>
        <w:rPr>
          <w:rFonts w:hint="eastAsia" w:ascii="Times New Roman" w:hAnsi="Times New Roman" w:eastAsia="仿宋_GB2312" w:cs="仿宋_GB2312"/>
          <w:kern w:val="2"/>
          <w:sz w:val="32"/>
          <w:szCs w:val="32"/>
          <w:lang w:val="zh-CN" w:eastAsia="zh-CN" w:bidi="ar-SA"/>
        </w:rPr>
        <w:t>水利管理中心</w:t>
      </w:r>
      <w:r>
        <w:rPr>
          <w:rFonts w:hint="eastAsia" w:eastAsia="仿宋_GB2312" w:cs="仿宋_GB2312"/>
          <w:kern w:val="2"/>
          <w:sz w:val="32"/>
          <w:szCs w:val="32"/>
          <w:lang w:val="zh-CN" w:eastAsia="zh-CN" w:bidi="ar-SA"/>
        </w:rPr>
        <w:t>上年财政拨款防汛项目收入</w:t>
      </w:r>
      <w:r>
        <w:rPr>
          <w:rFonts w:hint="eastAsia" w:eastAsia="仿宋_GB2312" w:cs="仿宋_GB2312"/>
          <w:kern w:val="2"/>
          <w:sz w:val="32"/>
          <w:szCs w:val="32"/>
          <w:lang w:val="en-US" w:eastAsia="zh-CN" w:bidi="ar-SA"/>
        </w:rPr>
        <w:t>40万元，</w:t>
      </w:r>
      <w:r>
        <w:rPr>
          <w:rFonts w:hint="eastAsia" w:ascii="Times New Roman" w:hAnsi="Times New Roman" w:eastAsia="仿宋_GB2312" w:cs="仿宋_GB2312"/>
          <w:kern w:val="2"/>
          <w:sz w:val="32"/>
          <w:szCs w:val="32"/>
          <w:lang w:val="zh-CN" w:eastAsia="zh-CN" w:bidi="ar-SA"/>
        </w:rPr>
        <w:t>本年财政拨款防汛项目收入为</w:t>
      </w:r>
      <w:r>
        <w:rPr>
          <w:rFonts w:hint="eastAsia" w:ascii="Times New Roman" w:hAnsi="Times New Roman" w:eastAsia="仿宋_GB2312" w:cs="仿宋_GB2312"/>
          <w:kern w:val="2"/>
          <w:sz w:val="32"/>
          <w:szCs w:val="32"/>
          <w:lang w:val="en-US" w:eastAsia="zh-CN" w:bidi="ar-SA"/>
        </w:rPr>
        <w:t>30万元，故</w:t>
      </w:r>
      <w:r>
        <w:rPr>
          <w:rFonts w:hint="eastAsia" w:ascii="Times New Roman" w:hAnsi="Times New Roman" w:eastAsia="仿宋_GB2312" w:cs="仿宋_GB2312"/>
          <w:kern w:val="2"/>
          <w:sz w:val="32"/>
          <w:szCs w:val="32"/>
          <w:lang w:val="zh-CN" w:eastAsia="zh-CN" w:bidi="ar-SA"/>
        </w:rPr>
        <w:t>与上年相比减少</w:t>
      </w:r>
      <w:r>
        <w:rPr>
          <w:rFonts w:hint="eastAsia" w:eastAsia="仿宋_GB2312" w:cs="仿宋_GB2312"/>
          <w:kern w:val="2"/>
          <w:sz w:val="32"/>
          <w:szCs w:val="32"/>
          <w:lang w:val="en-US" w:eastAsia="zh-CN" w:bidi="ar-SA"/>
        </w:rPr>
        <w:t>10万元</w:t>
      </w:r>
      <w:r>
        <w:rPr>
          <w:rFonts w:hint="eastAsia" w:ascii="Times New Roman" w:hAnsi="Times New Roman" w:eastAsia="仿宋_GB2312" w:cs="仿宋_GB2312"/>
          <w:kern w:val="2"/>
          <w:sz w:val="32"/>
          <w:szCs w:val="32"/>
          <w:lang w:val="zh-CN" w:eastAsia="zh-CN" w:bidi="ar-SA"/>
        </w:rPr>
        <w:t>。</w:t>
      </w:r>
    </w:p>
    <w:p>
      <w:pPr>
        <w:ind w:firstLine="640" w:firstLineChars="200"/>
        <w:jc w:val="left"/>
        <w:outlineLvl w:val="2"/>
        <w:rPr>
          <w:rFonts w:hint="eastAsia" w:ascii="Times New Roman" w:hAnsi="Times New Roman" w:eastAsia="仿宋_GB2312" w:cs="仿宋_GB2312"/>
          <w:kern w:val="2"/>
          <w:sz w:val="32"/>
          <w:szCs w:val="32"/>
          <w:lang w:val="zh-CN" w:eastAsia="zh-CN" w:bidi="ar-SA"/>
        </w:rPr>
      </w:pPr>
    </w:p>
    <w:p>
      <w:pPr>
        <w:numPr>
          <w:ilvl w:val="0"/>
          <w:numId w:val="3"/>
        </w:num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农林水支出（类）水利（款）水利工程运行与维护（项）:支出决算数为237.07万元，比上年决算增加11.76万元，增长5.22%，主要原因是：</w:t>
      </w:r>
      <w:r>
        <w:rPr>
          <w:rFonts w:hint="eastAsia" w:ascii="Times New Roman" w:hAnsi="Times New Roman" w:eastAsia="仿宋_GB2312" w:cs="仿宋_GB2312"/>
          <w:kern w:val="2"/>
          <w:sz w:val="32"/>
          <w:szCs w:val="32"/>
          <w:lang w:val="zh-CN" w:eastAsia="zh-CN" w:bidi="ar-SA"/>
        </w:rPr>
        <w:t>水利管理中心本年财政拨款基本支出</w:t>
      </w:r>
      <w:r>
        <w:rPr>
          <w:rFonts w:hint="eastAsia" w:eastAsia="仿宋_GB2312" w:cs="仿宋_GB2312"/>
          <w:kern w:val="2"/>
          <w:sz w:val="32"/>
          <w:szCs w:val="32"/>
          <w:lang w:val="zh-CN" w:eastAsia="zh-CN" w:bidi="ar-SA"/>
        </w:rPr>
        <w:t>人均</w:t>
      </w:r>
      <w:r>
        <w:rPr>
          <w:rFonts w:hint="eastAsia" w:eastAsia="仿宋_GB2312" w:cs="仿宋_GB2312"/>
          <w:kern w:val="2"/>
          <w:sz w:val="32"/>
          <w:szCs w:val="32"/>
          <w:lang w:val="en-US" w:eastAsia="zh-CN" w:bidi="ar-SA"/>
        </w:rPr>
        <w:t>11万元，总计</w:t>
      </w:r>
      <w:r>
        <w:rPr>
          <w:rFonts w:hint="eastAsia" w:ascii="Times New Roman" w:hAnsi="Times New Roman" w:eastAsia="仿宋_GB2312" w:cs="仿宋_GB2312"/>
          <w:kern w:val="2"/>
          <w:sz w:val="32"/>
          <w:szCs w:val="32"/>
          <w:lang w:val="en-US" w:eastAsia="zh-CN" w:bidi="ar-SA"/>
        </w:rPr>
        <w:t>209.07万元，</w:t>
      </w:r>
      <w:r>
        <w:rPr>
          <w:rFonts w:hint="eastAsia" w:eastAsia="仿宋_GB2312" w:cs="仿宋_GB2312"/>
          <w:kern w:val="2"/>
          <w:sz w:val="32"/>
          <w:szCs w:val="32"/>
          <w:lang w:val="en-US" w:eastAsia="zh-CN" w:bidi="ar-SA"/>
        </w:rPr>
        <w:t>上年</w:t>
      </w:r>
      <w:r>
        <w:rPr>
          <w:rFonts w:hint="eastAsia" w:ascii="Times New Roman" w:hAnsi="Times New Roman" w:eastAsia="仿宋_GB2312" w:cs="仿宋_GB2312"/>
          <w:kern w:val="2"/>
          <w:sz w:val="32"/>
          <w:szCs w:val="32"/>
          <w:lang w:val="zh-CN" w:eastAsia="zh-CN" w:bidi="ar-SA"/>
        </w:rPr>
        <w:t>财政拨款基本支出支出</w:t>
      </w:r>
      <w:r>
        <w:rPr>
          <w:rFonts w:hint="eastAsia" w:eastAsia="仿宋_GB2312" w:cs="仿宋_GB2312"/>
          <w:kern w:val="2"/>
          <w:sz w:val="32"/>
          <w:szCs w:val="32"/>
          <w:lang w:val="zh-CN" w:eastAsia="zh-CN" w:bidi="ar-SA"/>
        </w:rPr>
        <w:t>人均</w:t>
      </w:r>
      <w:r>
        <w:rPr>
          <w:rFonts w:hint="eastAsia" w:eastAsia="仿宋_GB2312" w:cs="仿宋_GB2312"/>
          <w:kern w:val="2"/>
          <w:sz w:val="32"/>
          <w:szCs w:val="32"/>
          <w:lang w:val="en-US" w:eastAsia="zh-CN" w:bidi="ar-SA"/>
        </w:rPr>
        <w:t>10.38万元，总计197.31</w:t>
      </w:r>
      <w:r>
        <w:rPr>
          <w:rFonts w:hint="eastAsia" w:ascii="Times New Roman" w:hAnsi="Times New Roman" w:eastAsia="仿宋_GB2312" w:cs="仿宋_GB2312"/>
          <w:kern w:val="2"/>
          <w:sz w:val="32"/>
          <w:szCs w:val="32"/>
          <w:lang w:val="en-US" w:eastAsia="zh-CN" w:bidi="ar-SA"/>
        </w:rPr>
        <w:t>万元</w:t>
      </w:r>
      <w:r>
        <w:rPr>
          <w:rFonts w:hint="eastAsia" w:eastAsia="仿宋_GB2312" w:cs="仿宋_GB2312"/>
          <w:kern w:val="2"/>
          <w:sz w:val="32"/>
          <w:szCs w:val="32"/>
          <w:lang w:val="en-US" w:eastAsia="zh-CN" w:bidi="ar-SA"/>
        </w:rPr>
        <w:t>，</w:t>
      </w:r>
      <w:r>
        <w:rPr>
          <w:rFonts w:hint="eastAsia" w:ascii="Times New Roman" w:hAnsi="Times New Roman" w:eastAsia="仿宋_GB2312" w:cs="仿宋_GB2312"/>
          <w:kern w:val="2"/>
          <w:sz w:val="32"/>
          <w:szCs w:val="32"/>
          <w:lang w:val="en-US" w:eastAsia="zh-CN" w:bidi="ar-SA"/>
        </w:rPr>
        <w:t>故与上年相比</w:t>
      </w:r>
      <w:r>
        <w:rPr>
          <w:rFonts w:hint="eastAsia" w:ascii="Times New Roman" w:hAnsi="Times New Roman" w:eastAsia="仿宋_GB2312" w:cs="仿宋_GB2312"/>
          <w:kern w:val="2"/>
          <w:sz w:val="32"/>
          <w:szCs w:val="32"/>
          <w:lang w:val="zh-CN" w:eastAsia="zh-CN" w:bidi="ar-SA"/>
        </w:rPr>
        <w:t>水利工程运行与维护</w:t>
      </w:r>
      <w:r>
        <w:rPr>
          <w:rFonts w:hint="eastAsia" w:eastAsia="仿宋_GB2312" w:cs="仿宋_GB2312"/>
          <w:kern w:val="2"/>
          <w:sz w:val="32"/>
          <w:szCs w:val="32"/>
          <w:lang w:val="zh-CN" w:eastAsia="zh-CN" w:bidi="ar-SA"/>
        </w:rPr>
        <w:t>增加</w:t>
      </w:r>
      <w:r>
        <w:rPr>
          <w:rFonts w:hint="eastAsia" w:eastAsia="仿宋_GB2312" w:cs="仿宋_GB2312"/>
          <w:kern w:val="2"/>
          <w:sz w:val="32"/>
          <w:szCs w:val="32"/>
          <w:lang w:val="en-US" w:eastAsia="zh-CN" w:bidi="ar-SA"/>
        </w:rPr>
        <w:t>11.76万元</w:t>
      </w:r>
      <w:r>
        <w:rPr>
          <w:rFonts w:hint="eastAsia" w:ascii="Times New Roman" w:hAnsi="Times New Roman" w:eastAsia="仿宋_GB2312" w:cs="仿宋_GB2312"/>
          <w:kern w:val="2"/>
          <w:sz w:val="32"/>
          <w:szCs w:val="32"/>
          <w:lang w:val="zh-CN" w:eastAsia="zh-CN" w:bidi="ar-SA"/>
        </w:rPr>
        <w:t>。</w:t>
      </w:r>
    </w:p>
    <w:p>
      <w:pPr>
        <w:numPr>
          <w:ilvl w:val="0"/>
          <w:numId w:val="3"/>
        </w:num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其他支出（类）其他支出（款）其他支出（项）:支出决算数为1,350.00万元，比上年决算增加1,350.00万元，增长100%，主要原因是：本年财政拨款基础设施建设项目</w:t>
      </w:r>
      <w:r>
        <w:rPr>
          <w:rFonts w:hint="eastAsia" w:ascii="Times New Roman" w:hAnsi="Times New Roman" w:eastAsia="仿宋_GB2312" w:cs="仿宋_GB2312"/>
          <w:kern w:val="2"/>
          <w:sz w:val="32"/>
          <w:szCs w:val="32"/>
          <w:lang w:val="en-US" w:eastAsia="zh-CN" w:bidi="ar-SA"/>
        </w:rPr>
        <w:t>1350万元，故与上年相比增加</w:t>
      </w:r>
      <w:r>
        <w:rPr>
          <w:rFonts w:hint="eastAsia" w:ascii="Times New Roman" w:hAnsi="Times New Roman" w:eastAsia="仿宋_GB2312" w:cs="仿宋_GB2312"/>
          <w:kern w:val="2"/>
          <w:sz w:val="32"/>
          <w:szCs w:val="32"/>
          <w:lang w:val="zh-CN" w:eastAsia="zh-CN" w:bidi="ar-SA"/>
        </w:rPr>
        <w:t>。</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4.农林水支出（类）水利（款）抗旱（项）:支出决算数为0.00万元，比上年决算减少190.00万元，下降100%，主要原因是：本年</w:t>
      </w:r>
      <w:r>
        <w:rPr>
          <w:rFonts w:hint="eastAsia" w:eastAsia="仿宋_GB2312" w:cs="仿宋_GB2312"/>
          <w:kern w:val="2"/>
          <w:sz w:val="32"/>
          <w:szCs w:val="32"/>
          <w:lang w:val="zh-CN" w:eastAsia="zh-CN" w:bidi="ar-SA"/>
        </w:rPr>
        <w:t>无</w:t>
      </w:r>
      <w:r>
        <w:rPr>
          <w:rFonts w:hint="eastAsia" w:ascii="Times New Roman" w:hAnsi="Times New Roman" w:eastAsia="仿宋_GB2312" w:cs="仿宋_GB2312"/>
          <w:kern w:val="2"/>
          <w:sz w:val="32"/>
          <w:szCs w:val="32"/>
          <w:lang w:val="zh-CN" w:eastAsia="zh-CN" w:bidi="ar-SA"/>
        </w:rPr>
        <w:t>财政拨款</w:t>
      </w:r>
      <w:r>
        <w:rPr>
          <w:rFonts w:hint="eastAsia" w:ascii="Times New Roman" w:hAnsi="Times New Roman" w:eastAsia="仿宋_GB2312" w:cs="仿宋_GB2312"/>
          <w:kern w:val="2"/>
          <w:sz w:val="32"/>
          <w:szCs w:val="32"/>
          <w:lang w:val="zh-CN" w:eastAsia="zh-CN" w:bidi="ar-SA"/>
        </w:rPr>
        <w:t>水利（款）抗旱（项）</w:t>
      </w:r>
      <w:r>
        <w:rPr>
          <w:rFonts w:hint="eastAsia" w:eastAsia="仿宋_GB2312" w:cs="仿宋_GB2312"/>
          <w:kern w:val="2"/>
          <w:sz w:val="32"/>
          <w:szCs w:val="32"/>
          <w:lang w:val="zh-CN" w:eastAsia="zh-CN" w:bidi="ar-SA"/>
        </w:rPr>
        <w:t>资金</w:t>
      </w:r>
      <w:r>
        <w:rPr>
          <w:rFonts w:hint="eastAsia" w:ascii="Times New Roman" w:hAnsi="Times New Roman" w:eastAsia="仿宋_GB2312" w:cs="仿宋_GB2312"/>
          <w:kern w:val="2"/>
          <w:sz w:val="32"/>
          <w:szCs w:val="32"/>
          <w:lang w:val="zh-CN" w:eastAsia="zh-CN" w:bidi="ar-SA"/>
        </w:rPr>
        <w:t>，故与上年相比减少</w:t>
      </w:r>
      <w:r>
        <w:rPr>
          <w:rFonts w:hint="eastAsia" w:ascii="Times New Roman" w:hAnsi="Times New Roman" w:eastAsia="仿宋_GB2312" w:cs="仿宋_GB2312"/>
          <w:kern w:val="2"/>
          <w:sz w:val="32"/>
          <w:szCs w:val="32"/>
          <w:lang w:val="zh-CN" w:eastAsia="zh-CN" w:bidi="ar-SA"/>
        </w:rPr>
        <w:t>下降100%</w:t>
      </w:r>
      <w:bookmarkStart w:id="48" w:name="_GoBack"/>
      <w:bookmarkEnd w:id="48"/>
      <w:r>
        <w:rPr>
          <w:rFonts w:hint="eastAsia" w:ascii="Times New Roman" w:hAnsi="Times New Roman" w:eastAsia="仿宋_GB2312" w:cs="仿宋_GB2312"/>
          <w:kern w:val="2"/>
          <w:sz w:val="32"/>
          <w:szCs w:val="32"/>
          <w:lang w:val="zh-CN" w:eastAsia="zh-CN" w:bidi="ar-SA"/>
        </w:rPr>
        <w:t>。</w:t>
      </w:r>
    </w:p>
    <w:p>
      <w:pPr>
        <w:spacing w:before="101" w:line="222" w:lineRule="auto"/>
        <w:ind w:left="304"/>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5.农林水支出（类）水利（款）水资源节约管理与保护（项）:支出决算数为0.00万元，比上年决算减少100.00万元，下降100%，主要原因是：本年无新增项目，故与上年相比减少。</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spacing w:before="101" w:line="222" w:lineRule="auto"/>
        <w:ind w:left="304"/>
        <w:rPr>
          <w:rFonts w:hint="eastAsia" w:ascii="Times New Roman" w:hAnsi="Times New Roman" w:eastAsia="仿宋_GB2312" w:cs="仿宋_GB2312"/>
          <w:kern w:val="2"/>
          <w:sz w:val="32"/>
          <w:szCs w:val="32"/>
          <w:lang w:val="zh-CN" w:eastAsia="zh-CN" w:bidi="ar-SA"/>
        </w:rPr>
      </w:pPr>
      <w:r>
        <w:rPr>
          <w:rFonts w:hint="eastAsia" w:eastAsia="仿宋_GB2312" w:cs="仿宋_GB2312"/>
          <w:kern w:val="2"/>
          <w:sz w:val="32"/>
          <w:szCs w:val="32"/>
          <w:lang w:val="en-US" w:eastAsia="zh-CN" w:bidi="ar-SA"/>
        </w:rPr>
        <w:t xml:space="preserve">   </w:t>
      </w:r>
      <w:r>
        <w:rPr>
          <w:rFonts w:hint="eastAsia" w:ascii="Times New Roman" w:hAnsi="Times New Roman" w:eastAsia="仿宋_GB2312" w:cs="仿宋_GB2312"/>
          <w:kern w:val="2"/>
          <w:sz w:val="32"/>
          <w:szCs w:val="32"/>
          <w:lang w:val="zh-CN" w:eastAsia="zh-CN" w:bidi="ar-SA"/>
        </w:rPr>
        <w:t>2023年度一般公共预算财政拨款基本支出209.07万元，其中：人员经费209.07万元，包括：基本工资、津贴补贴、机关事业单位基本养老保险缴费、职业年金缴费、职工基本医疗保险缴费、公务员医疗补助缴费、其他社会保障缴费、住房公积金。</w:t>
      </w:r>
    </w:p>
    <w:p>
      <w:pPr>
        <w:spacing w:before="101" w:line="222" w:lineRule="auto"/>
        <w:ind w:left="304"/>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公用经费0.00万元，包括：无公用经费。</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spacing w:before="101" w:line="222" w:lineRule="auto"/>
        <w:ind w:left="304"/>
        <w:rPr>
          <w:rFonts w:hint="eastAsia" w:ascii="Times New Roman" w:hAnsi="Times New Roman" w:eastAsia="仿宋_GB2312" w:cs="仿宋_GB2312"/>
          <w:kern w:val="2"/>
          <w:sz w:val="32"/>
          <w:szCs w:val="32"/>
          <w:lang w:val="zh-CN" w:eastAsia="zh-CN" w:bidi="ar-SA"/>
        </w:rPr>
      </w:pPr>
      <w:r>
        <w:rPr>
          <w:rFonts w:hint="eastAsia" w:eastAsia="仿宋_GB2312" w:cs="仿宋_GB2312"/>
          <w:kern w:val="2"/>
          <w:sz w:val="32"/>
          <w:szCs w:val="32"/>
          <w:lang w:val="en-US" w:eastAsia="zh-CN" w:bidi="ar-SA"/>
        </w:rPr>
        <w:t xml:space="preserve">   </w:t>
      </w:r>
      <w:r>
        <w:rPr>
          <w:rFonts w:hint="eastAsia" w:ascii="Times New Roman" w:hAnsi="Times New Roman" w:eastAsia="仿宋_GB2312" w:cs="仿宋_GB2312"/>
          <w:kern w:val="2"/>
          <w:sz w:val="32"/>
          <w:szCs w:val="32"/>
          <w:lang w:val="zh-CN" w:eastAsia="zh-CN" w:bidi="ar-SA"/>
        </w:rPr>
        <w:t>2023年度财政拨款“三公”经费支出0.00万元，比上年增加0.00万元，增长0.00%,主要原因是：我单位无财政拨款“三公”经费支出。其中：因公出国（境）费支出0.00万元，占0.00%，比上年增加0.00万元，增长0.00%,主要原因是：我单位无因公出国(境)费；公务用车购置及运行维护费支出0.00万元，占0.00%，比上年增加0.00万元，增长0.00%,主要原因是：我单位无公务用车购置及运行维护费；公务接待费支出0.00万元，占0.00%，比上年增加0.00万元，增长0.00%,主要原因是：我单位无公务接待费。</w:t>
      </w:r>
    </w:p>
    <w:p>
      <w:pPr>
        <w:spacing w:before="101" w:line="222" w:lineRule="auto"/>
        <w:ind w:left="304"/>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具体情况如下：</w:t>
      </w:r>
    </w:p>
    <w:p>
      <w:pPr>
        <w:spacing w:before="101" w:line="222" w:lineRule="auto"/>
        <w:ind w:left="304"/>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因公出国（境）费支出0.00万元，开支内容包括我单位无因公出国(境)费。单位全年安排的因公出国（境）团组0个，因公出国（境）0人次。</w:t>
      </w:r>
    </w:p>
    <w:p>
      <w:pPr>
        <w:spacing w:before="101" w:line="222" w:lineRule="auto"/>
        <w:ind w:left="304"/>
        <w:rPr>
          <w:rFonts w:hint="eastAsia" w:ascii="Times New Roman" w:hAnsi="Times New Roman" w:eastAsia="仿宋_GB2312" w:cs="仿宋_GB2312"/>
          <w:kern w:val="2"/>
          <w:sz w:val="32"/>
          <w:szCs w:val="32"/>
          <w:lang w:val="zh-CN" w:eastAsia="zh-CN" w:bidi="ar-SA"/>
        </w:rPr>
      </w:pPr>
      <w:r>
        <w:rPr>
          <w:rFonts w:hint="eastAsia" w:eastAsia="仿宋_GB2312" w:cs="仿宋_GB2312"/>
          <w:kern w:val="2"/>
          <w:sz w:val="32"/>
          <w:szCs w:val="32"/>
          <w:lang w:val="en-US" w:eastAsia="zh-CN" w:bidi="ar-SA"/>
        </w:rPr>
        <w:t xml:space="preserve">   </w:t>
      </w:r>
      <w:r>
        <w:rPr>
          <w:rFonts w:hint="eastAsia" w:ascii="Times New Roman" w:hAnsi="Times New Roman" w:eastAsia="仿宋_GB2312" w:cs="仿宋_GB2312"/>
          <w:kern w:val="2"/>
          <w:sz w:val="32"/>
          <w:szCs w:val="32"/>
          <w:lang w:val="zh-CN" w:eastAsia="zh-CN" w:bidi="ar-SA"/>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中固定资产车辆3辆，与公务用车保有量差异原因是：我单位</w:t>
      </w:r>
      <w:r>
        <w:rPr>
          <w:rFonts w:hint="eastAsia" w:ascii="Times New Roman" w:hAnsi="Times New Roman" w:eastAsia="仿宋_GB2312" w:cs="仿宋_GB2312"/>
          <w:kern w:val="2"/>
          <w:sz w:val="32"/>
          <w:szCs w:val="32"/>
          <w:lang w:val="en-US" w:eastAsia="zh-CN" w:bidi="ar-SA"/>
        </w:rPr>
        <w:t>3</w:t>
      </w:r>
      <w:r>
        <w:rPr>
          <w:rFonts w:hint="eastAsia" w:ascii="Times New Roman" w:hAnsi="Times New Roman" w:eastAsia="仿宋_GB2312" w:cs="仿宋_GB2312"/>
          <w:kern w:val="2"/>
          <w:sz w:val="32"/>
          <w:szCs w:val="32"/>
          <w:lang w:val="zh-CN" w:eastAsia="zh-CN" w:bidi="ar-SA"/>
        </w:rPr>
        <w:t>辆车均为业务车辆，故与公务用车保有量形成差异率。</w:t>
      </w:r>
    </w:p>
    <w:p>
      <w:pPr>
        <w:spacing w:before="101" w:line="222" w:lineRule="auto"/>
        <w:ind w:left="304"/>
        <w:rPr>
          <w:rFonts w:hint="eastAsia" w:ascii="Times New Roman" w:hAnsi="Times New Roman" w:eastAsia="仿宋_GB2312" w:cs="仿宋_GB2312"/>
          <w:kern w:val="2"/>
          <w:sz w:val="32"/>
          <w:szCs w:val="32"/>
          <w:lang w:val="zh-CN" w:eastAsia="zh-CN" w:bidi="ar-SA"/>
        </w:rPr>
      </w:pPr>
      <w:r>
        <w:rPr>
          <w:rFonts w:hint="eastAsia" w:eastAsia="仿宋_GB2312" w:cs="仿宋_GB2312"/>
          <w:kern w:val="2"/>
          <w:sz w:val="32"/>
          <w:szCs w:val="32"/>
          <w:lang w:val="en-US" w:eastAsia="zh-CN" w:bidi="ar-SA"/>
        </w:rPr>
        <w:t xml:space="preserve">   </w:t>
      </w:r>
      <w:r>
        <w:rPr>
          <w:rFonts w:hint="eastAsia" w:ascii="Times New Roman" w:hAnsi="Times New Roman" w:eastAsia="仿宋_GB2312" w:cs="仿宋_GB2312"/>
          <w:kern w:val="2"/>
          <w:sz w:val="32"/>
          <w:szCs w:val="32"/>
          <w:lang w:val="zh-CN" w:eastAsia="zh-CN" w:bidi="ar-SA"/>
        </w:rPr>
        <w:t>公务接待费0.00万元，开支内容包括我单位无公务接待费。单位全年安排的国内公务接待0批次，0人次。</w:t>
      </w:r>
    </w:p>
    <w:p>
      <w:pPr>
        <w:spacing w:before="101" w:line="222" w:lineRule="auto"/>
        <w:ind w:left="304"/>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与全年预算相比,财政拨款“三公”经费支出全年预算数0.00万元，决算数0.00万元，预决算差异率0.00%，主要原因是：我单位无财政拨款“三公”经费支出。其中：因公出国（境）费全年预算数0.00万元，决算数0.00万元，预决算差异率0.00%，主要原因是：我单位无因公出国(境)费；公务用车购置费全年预算数0.00万元，决算数0.00万元，预决算差异率0.00%，主要原因是：我单位无公务用车购置及运行维护费；公务用车运行费全年预算数0.00万元，决算数0.00万元，预决算差异率0.00%，主要原因是：我单位无公务用车运行维护费；公务接待费全年预算数0.00万元，决算数0.00万元，预决算差异率0.00%，主要原因是：我单位无公务接待费。</w:t>
      </w:r>
    </w:p>
    <w:p>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jc w:val="left"/>
        <w:rPr>
          <w:rFonts w:eastAsia="仿宋_GB2312"/>
          <w:sz w:val="32"/>
          <w:szCs w:val="32"/>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新疆白杨河流域管理局水利管理中心（事业单位）公用经费支出0.00万元，</w:t>
      </w:r>
      <w:r>
        <w:rPr>
          <w:rFonts w:hint="eastAsia" w:eastAsia="仿宋_GB2312"/>
          <w:sz w:val="32"/>
          <w:szCs w:val="32"/>
          <w:lang w:val="zh-CN"/>
        </w:rPr>
        <w:t>比上年增加0.00万元，增长0.00%，主要原因是：我单位无公用经费预算</w:t>
      </w:r>
      <w:r>
        <w:rPr>
          <w:rFonts w:hint="eastAsia" w:eastAsia="仿宋_GB2312"/>
          <w:sz w:val="32"/>
          <w:szCs w:val="32"/>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2023年度政府采购支出总额502.82万元，其中：政府采购货物支出0.00万元、政府采购工程支出484.87万元、政府采购服务支出17.95万元。</w:t>
      </w:r>
    </w:p>
    <w:p>
      <w:pPr>
        <w:ind w:firstLine="640" w:firstLineChars="200"/>
        <w:jc w:val="left"/>
        <w:rPr>
          <w:rFonts w:eastAsia="仿宋_GB2312"/>
          <w:sz w:val="32"/>
          <w:szCs w:val="32"/>
        </w:rPr>
      </w:pPr>
      <w:r>
        <w:rPr>
          <w:rFonts w:hint="eastAsia" w:eastAsia="仿宋_GB2312"/>
          <w:sz w:val="32"/>
          <w:szCs w:val="32"/>
          <w:lang w:val="zh-CN"/>
        </w:rPr>
        <w:t>授予中小企业合同金额502.82万元，占政府采购支出总额的100.00</w:t>
      </w:r>
      <w:r>
        <w:rPr>
          <w:rFonts w:eastAsia="仿宋_GB2312"/>
          <w:sz w:val="32"/>
          <w:szCs w:val="32"/>
          <w:lang w:val="zh-CN"/>
        </w:rPr>
        <w:t>%</w:t>
      </w:r>
      <w:r>
        <w:rPr>
          <w:rFonts w:hint="eastAsia" w:eastAsia="仿宋_GB2312"/>
          <w:sz w:val="32"/>
          <w:szCs w:val="32"/>
          <w:lang w:val="zh-CN"/>
        </w:rPr>
        <w:t>，其中：授予小微企业合同金额502.82万元，占政府采购支出总额的100.00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hint="eastAsia" w:eastAsia="仿宋_GB2312"/>
          <w:sz w:val="32"/>
          <w:szCs w:val="32"/>
          <w:lang w:val="zh-CN"/>
        </w:rPr>
      </w:pPr>
      <w:r>
        <w:rPr>
          <w:rFonts w:hint="eastAsia" w:eastAsia="仿宋_GB2312"/>
          <w:sz w:val="32"/>
          <w:szCs w:val="32"/>
          <w:lang w:val="zh-CN"/>
        </w:rPr>
        <w:t>截至2023年12月31日，固定资产原值1,857.30万元，房屋1857.81平方米，价值423.78万元。车辆3辆，价值69.96万元，其中：副部（省）级及以上领导用车0辆、主要负责人用车0辆、机要通信用车0辆、应急保障用车0辆、执法执勤用车0辆、特种专业技术用车0辆、离退休干部服务用车0辆、其他用车3辆，其他用车主要是：我单位车辆主要用途为业务用车；单价100万元（含）以上设备（不含车辆）0台（套）。</w:t>
      </w:r>
    </w:p>
    <w:p>
      <w:pPr>
        <w:ind w:firstLine="640" w:firstLineChars="200"/>
        <w:jc w:val="left"/>
        <w:rPr>
          <w:rFonts w:hint="eastAsia" w:eastAsia="仿宋_GB2312"/>
          <w:sz w:val="32"/>
          <w:szCs w:val="32"/>
          <w:lang w:val="zh-CN"/>
        </w:rPr>
      </w:pPr>
      <w:bookmarkStart w:id="28" w:name="_Toc11283"/>
      <w:bookmarkStart w:id="29" w:name="_Toc435"/>
      <w:r>
        <w:rPr>
          <w:rFonts w:hint="eastAsia" w:eastAsia="仿宋_GB2312"/>
          <w:sz w:val="32"/>
          <w:szCs w:val="32"/>
          <w:lang w:val="zh-CN"/>
        </w:rPr>
        <w:t>十一、预算绩效的情况说明</w:t>
      </w:r>
      <w:bookmarkEnd w:id="28"/>
      <w:bookmarkEnd w:id="29"/>
    </w:p>
    <w:p>
      <w:pPr>
        <w:ind w:firstLine="640" w:firstLineChars="200"/>
        <w:jc w:val="left"/>
        <w:rPr>
          <w:rFonts w:hint="eastAsia" w:eastAsia="仿宋_GB2312"/>
          <w:sz w:val="32"/>
          <w:szCs w:val="32"/>
          <w:lang w:val="zh-CN"/>
        </w:rPr>
      </w:pPr>
      <w:r>
        <w:rPr>
          <w:rFonts w:hint="eastAsia" w:eastAsia="仿宋_GB2312"/>
          <w:sz w:val="32"/>
          <w:szCs w:val="32"/>
          <w:lang w:val="zh-CN"/>
        </w:rPr>
        <w:t>根据预算绩效管理要求，我单位2023年度预算绩效管理整体支出绩效自评表</w:t>
      </w:r>
      <w:r>
        <w:rPr>
          <w:rFonts w:hint="eastAsia" w:eastAsia="仿宋_GB2312"/>
          <w:sz w:val="32"/>
          <w:szCs w:val="32"/>
          <w:lang w:val="en-US" w:eastAsia="zh-CN"/>
        </w:rPr>
        <w:t>0</w:t>
      </w:r>
      <w:r>
        <w:rPr>
          <w:rFonts w:hint="eastAsia" w:eastAsia="仿宋_GB2312"/>
          <w:sz w:val="32"/>
          <w:szCs w:val="32"/>
          <w:lang w:val="zh-CN"/>
        </w:rPr>
        <w:t>个，全年预算总额</w:t>
      </w:r>
      <w:r>
        <w:rPr>
          <w:rFonts w:hint="eastAsia" w:eastAsia="仿宋_GB2312"/>
          <w:sz w:val="32"/>
          <w:szCs w:val="32"/>
          <w:lang w:val="en-US" w:eastAsia="zh-CN"/>
        </w:rPr>
        <w:t>0</w:t>
      </w:r>
      <w:r>
        <w:rPr>
          <w:rFonts w:hint="eastAsia" w:eastAsia="仿宋_GB2312"/>
          <w:sz w:val="32"/>
          <w:szCs w:val="32"/>
          <w:lang w:val="zh-CN"/>
        </w:rPr>
        <w:t>万元，实际执行总额</w:t>
      </w:r>
      <w:r>
        <w:rPr>
          <w:rFonts w:hint="eastAsia" w:eastAsia="仿宋_GB2312"/>
          <w:sz w:val="32"/>
          <w:szCs w:val="32"/>
          <w:lang w:val="en-US" w:eastAsia="zh-CN"/>
        </w:rPr>
        <w:t>0</w:t>
      </w:r>
      <w:r>
        <w:rPr>
          <w:rFonts w:hint="eastAsia" w:eastAsia="仿宋_GB2312"/>
          <w:sz w:val="32"/>
          <w:szCs w:val="32"/>
          <w:lang w:val="zh-CN"/>
        </w:rPr>
        <w:t>万元；我单位整体支出单位绩效自评表由主管部门编报并公开。预算绩效评价项目</w:t>
      </w:r>
      <w:r>
        <w:rPr>
          <w:rFonts w:hint="eastAsia" w:eastAsia="仿宋_GB2312"/>
          <w:sz w:val="32"/>
          <w:szCs w:val="32"/>
          <w:lang w:val="en-US" w:eastAsia="zh-CN"/>
        </w:rPr>
        <w:t>2</w:t>
      </w:r>
      <w:r>
        <w:rPr>
          <w:rFonts w:hint="eastAsia" w:eastAsia="仿宋_GB2312"/>
          <w:sz w:val="32"/>
          <w:szCs w:val="32"/>
          <w:lang w:val="zh-CN"/>
        </w:rPr>
        <w:t>个，全年预算数</w:t>
      </w:r>
      <w:r>
        <w:rPr>
          <w:rFonts w:hint="eastAsia" w:eastAsia="仿宋_GB2312"/>
          <w:sz w:val="32"/>
          <w:szCs w:val="32"/>
          <w:lang w:val="en-US" w:eastAsia="zh-CN"/>
        </w:rPr>
        <w:t>64.91</w:t>
      </w:r>
      <w:r>
        <w:rPr>
          <w:rFonts w:hint="eastAsia" w:eastAsia="仿宋_GB2312"/>
          <w:sz w:val="32"/>
          <w:szCs w:val="32"/>
          <w:lang w:val="zh-CN"/>
        </w:rPr>
        <w:t>万元，全年执行数</w:t>
      </w:r>
      <w:r>
        <w:rPr>
          <w:rFonts w:hint="eastAsia" w:eastAsia="仿宋_GB2312"/>
          <w:sz w:val="32"/>
          <w:szCs w:val="32"/>
          <w:lang w:val="en-US" w:eastAsia="zh-CN"/>
        </w:rPr>
        <w:t>51.82</w:t>
      </w:r>
      <w:r>
        <w:rPr>
          <w:rFonts w:hint="eastAsia" w:eastAsia="仿宋_GB2312"/>
          <w:sz w:val="32"/>
          <w:szCs w:val="32"/>
          <w:lang w:val="zh-CN"/>
        </w:rPr>
        <w:t>万元。预算绩效管理取得的成效：我单位资金运行维护决策正确，资金管理规范</w:t>
      </w:r>
      <w:r>
        <w:rPr>
          <w:rFonts w:hint="eastAsia" w:eastAsia="仿宋_GB2312"/>
          <w:sz w:val="32"/>
          <w:szCs w:val="32"/>
          <w:lang w:val="zh-CN" w:eastAsia="zh-CN"/>
        </w:rPr>
        <w:t>，</w:t>
      </w:r>
      <w:r>
        <w:rPr>
          <w:rFonts w:hint="eastAsia" w:eastAsia="仿宋_GB2312"/>
          <w:sz w:val="32"/>
          <w:szCs w:val="32"/>
          <w:lang w:val="zh-CN"/>
        </w:rPr>
        <w:t>项目管理到位，政策执行有力，有效发挥了财政资金的使用效率。一是预算执行方面，支出总额控制在预算总额以内</w:t>
      </w:r>
      <w:r>
        <w:rPr>
          <w:rFonts w:hint="eastAsia" w:eastAsia="仿宋_GB2312"/>
          <w:sz w:val="32"/>
          <w:szCs w:val="32"/>
          <w:lang w:val="zh-CN" w:eastAsia="zh-CN"/>
        </w:rPr>
        <w:t>；</w:t>
      </w:r>
      <w:r>
        <w:rPr>
          <w:rFonts w:hint="eastAsia" w:eastAsia="仿宋_GB2312"/>
          <w:sz w:val="32"/>
          <w:szCs w:val="32"/>
          <w:lang w:val="zh-CN"/>
        </w:rPr>
        <w:t>二是预算管理方面，制度执行总体较为有效；三是资产管理方面，建立了资产管理制度，定期进行了盘点和资产清理，总体执行较好。发现的问题及原因：在资金支付控制上，我单位能严格按照有关规定执行，但在工程项目实施中受天气、环境、地方政策等因素影响，项目进度相对计划会有误差，造成个别时候资金支付迟缓。下一步改进措施：我单位将总结各项目经验，组织工程项目资金支付进度问题研讨会，制定更细致、更贴切实际的项目资金支付制度。具体项目自评情况见附件。具体项目自评情况附绩效自评表及自评报告。</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w:t>
      </w:r>
    </w:p>
    <w:p>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0"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decorative"/>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黑体">
    <w:panose1 w:val="02010609060101010101"/>
    <w:charset w:val="86"/>
    <w:family w:val="roman"/>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黑体">
    <w:panose1 w:val="02010609060101010101"/>
    <w:charset w:val="86"/>
    <w:family w:val="swiss"/>
    <w:pitch w:val="default"/>
    <w:sig w:usb0="800002BF" w:usb1="38CF7CFA" w:usb2="00000016" w:usb3="00000000" w:csb0="00040001" w:csb1="00000000"/>
  </w:font>
  <w:font w:name="仿宋_GB2312">
    <w:panose1 w:val="02010609030101010101"/>
    <w:charset w:val="86"/>
    <w:family w:val="swiss"/>
    <w:pitch w:val="default"/>
    <w:sig w:usb0="00000001" w:usb1="080E0000" w:usb2="00000000" w:usb3="00000000" w:csb0="00040000" w:csb1="00000000"/>
  </w:font>
  <w:font w:name="FangSong_GB2312">
    <w:altName w:val="仿宋_GB2312"/>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Algerian">
    <w:panose1 w:val="04020705040A02060702"/>
    <w:charset w:val="00"/>
    <w:family w:val="auto"/>
    <w:pitch w:val="default"/>
    <w:sig w:usb0="00000003" w:usb1="00000000" w:usb2="00000000" w:usb3="00000000" w:csb0="20000001" w:csb1="00000000"/>
  </w:font>
  <w:font w:name="Andalus">
    <w:panose1 w:val="02020603050405020304"/>
    <w:charset w:val="00"/>
    <w:family w:val="auto"/>
    <w:pitch w:val="default"/>
    <w:sig w:usb0="00002003" w:usb1="80000000" w:usb2="00000008" w:usb3="00000000" w:csb0="00000041" w:csb1="20080000"/>
  </w:font>
  <w:font w:name="Angsana New">
    <w:panose1 w:val="02020603050405020304"/>
    <w:charset w:val="00"/>
    <w:family w:val="auto"/>
    <w:pitch w:val="default"/>
    <w:sig w:usb0="81000003" w:usb1="00000000" w:usb2="00000000" w:usb3="00000000" w:csb0="00010001" w:csb1="00000000"/>
  </w:font>
  <w:font w:name="AngsanaUPC">
    <w:panose1 w:val="02020603050405020304"/>
    <w:charset w:val="00"/>
    <w:family w:val="auto"/>
    <w:pitch w:val="default"/>
    <w:sig w:usb0="81000003" w:usb1="00000000" w:usb2="00000000" w:usb3="00000000" w:csb0="00010001" w:csb1="00000000"/>
  </w:font>
  <w:font w:name="Aparajita">
    <w:panose1 w:val="020B0604020202020204"/>
    <w:charset w:val="00"/>
    <w:family w:val="auto"/>
    <w:pitch w:val="default"/>
    <w:sig w:usb0="00008003" w:usb1="00000000" w:usb2="00000000" w:usb3="00000000" w:csb0="00000001" w:csb1="00000000"/>
  </w:font>
  <w:font w:name="Arabic Typesetting">
    <w:panose1 w:val="03020402040406030203"/>
    <w:charset w:val="00"/>
    <w:family w:val="auto"/>
    <w:pitch w:val="default"/>
    <w:sig w:usb0="A000206F" w:usb1="C0000000" w:usb2="00000008" w:usb3="00000000" w:csb0="200000D3" w:csb1="00000000"/>
  </w:font>
  <w:font w:name="Arial Black">
    <w:panose1 w:val="020B0A04020102020204"/>
    <w:charset w:val="00"/>
    <w:family w:val="auto"/>
    <w:pitch w:val="default"/>
    <w:sig w:usb0="00000287" w:usb1="00000000" w:usb2="00000000" w:usb3="00000000" w:csb0="2000009F" w:csb1="DFD70000"/>
  </w:font>
  <w:font w:name="Arial Narrow">
    <w:panose1 w:val="020B0606020202030204"/>
    <w:charset w:val="00"/>
    <w:family w:val="auto"/>
    <w:pitch w:val="default"/>
    <w:sig w:usb0="00000287" w:usb1="00000800" w:usb2="00000000" w:usb3="00000000" w:csb0="2000009F" w:csb1="DFD70000"/>
  </w:font>
  <w:font w:name="Arial Rounded MT Bold">
    <w:panose1 w:val="020F0704030504030204"/>
    <w:charset w:val="00"/>
    <w:family w:val="auto"/>
    <w:pitch w:val="default"/>
    <w:sig w:usb0="00000003" w:usb1="00000000" w:usb2="00000000" w:usb3="00000000" w:csb0="20000001" w:csb1="00000000"/>
  </w:font>
  <w:font w:name="Berlin Sans FB">
    <w:panose1 w:val="020E0602020502020306"/>
    <w:charset w:val="00"/>
    <w:family w:val="auto"/>
    <w:pitch w:val="default"/>
    <w:sig w:usb0="00000003" w:usb1="00000000" w:usb2="00000000" w:usb3="00000000" w:csb0="20000001" w:csb1="00000000"/>
  </w:font>
  <w:font w:name="Bell MT">
    <w:panose1 w:val="02020503060305020303"/>
    <w:charset w:val="00"/>
    <w:family w:val="auto"/>
    <w:pitch w:val="default"/>
    <w:sig w:usb0="00000003" w:usb1="00000000" w:usb2="00000000" w:usb3="00000000" w:csb0="20000001" w:csb1="00000000"/>
  </w:font>
  <w:font w:name="Bauhaus 93">
    <w:panose1 w:val="04030905020B02020C02"/>
    <w:charset w:val="00"/>
    <w:family w:val="auto"/>
    <w:pitch w:val="default"/>
    <w:sig w:usb0="00000003" w:usb1="00000000" w:usb2="00000000" w:usb3="00000000" w:csb0="20000001" w:csb1="00000000"/>
  </w:font>
  <w:font w:name="Bodoni MT">
    <w:panose1 w:val="02070603080606020203"/>
    <w:charset w:val="00"/>
    <w:family w:val="auto"/>
    <w:pitch w:val="default"/>
    <w:sig w:usb0="00000003" w:usb1="00000000" w:usb2="00000000" w:usb3="00000000" w:csb0="20000001" w:csb1="00000000"/>
  </w:font>
  <w:font w:name="Blackadder ITC">
    <w:panose1 w:val="04020505051007020D02"/>
    <w:charset w:val="00"/>
    <w:family w:val="auto"/>
    <w:pitch w:val="default"/>
    <w:sig w:usb0="00000003" w:usb1="00000000" w:usb2="00000000" w:usb3="00000000" w:csb0="20000001" w:csb1="00000000"/>
  </w:font>
  <w:font w:name="Bernard MT Condensed">
    <w:panose1 w:val="02050806060905020404"/>
    <w:charset w:val="00"/>
    <w:family w:val="auto"/>
    <w:pitch w:val="default"/>
    <w:sig w:usb0="00000003" w:usb1="00000000" w:usb2="00000000" w:usb3="00000000" w:csb0="20000001" w:csb1="00000000"/>
  </w:font>
  <w:font w:name="Berlin Sans FB Demi">
    <w:panose1 w:val="020E0802020502020306"/>
    <w:charset w:val="00"/>
    <w:family w:val="auto"/>
    <w:pitch w:val="default"/>
    <w:sig w:usb0="00000003" w:usb1="00000000" w:usb2="00000000" w:usb3="00000000" w:csb0="20000001" w:csb1="00000000"/>
  </w:font>
  <w:font w:name="Baskerville Old Face">
    <w:panose1 w:val="02020602080505020303"/>
    <w:charset w:val="00"/>
    <w:family w:val="auto"/>
    <w:pitch w:val="default"/>
    <w:sig w:usb0="00000003" w:usb1="00000000" w:usb2="00000000" w:usb3="00000000" w:csb0="20000001" w:csb1="00000000"/>
  </w:font>
  <w:font w:name="Bodoni MT Black">
    <w:panose1 w:val="02070A03080606020203"/>
    <w:charset w:val="00"/>
    <w:family w:val="auto"/>
    <w:pitch w:val="default"/>
    <w:sig w:usb0="00000003" w:usb1="00000000" w:usb2="00000000" w:usb3="00000000" w:csb0="20000001" w:csb1="00000000"/>
  </w:font>
  <w:font w:name="Bodoni MT Poster Compressed">
    <w:panose1 w:val="02070706080601050204"/>
    <w:charset w:val="00"/>
    <w:family w:val="auto"/>
    <w:pitch w:val="default"/>
    <w:sig w:usb0="00000003" w:usb1="00000000" w:usb2="00000000" w:usb3="00000000" w:csb0="20000011" w:csb1="00000000"/>
  </w:font>
  <w:font w:name="Bookman Old Style">
    <w:panose1 w:val="02050604050505020204"/>
    <w:charset w:val="00"/>
    <w:family w:val="auto"/>
    <w:pitch w:val="default"/>
    <w:sig w:usb0="00000287" w:usb1="00000000" w:usb2="00000000" w:usb3="00000000" w:csb0="2000009F" w:csb1="DFD70000"/>
  </w:font>
  <w:font w:name="Bradley Hand ITC">
    <w:panose1 w:val="03070402050302030203"/>
    <w:charset w:val="00"/>
    <w:family w:val="auto"/>
    <w:pitch w:val="default"/>
    <w:sig w:usb0="00000003" w:usb1="00000000" w:usb2="00000000" w:usb3="00000000" w:csb0="20000001" w:csb1="00000000"/>
  </w:font>
  <w:font w:name="Britannic Bold">
    <w:panose1 w:val="020B0903060703020204"/>
    <w:charset w:val="00"/>
    <w:family w:val="auto"/>
    <w:pitch w:val="default"/>
    <w:sig w:usb0="00000003" w:usb1="00000000" w:usb2="00000000" w:usb3="00000000" w:csb0="20000001" w:csb1="00000000"/>
  </w:font>
  <w:font w:name="Broadway">
    <w:panose1 w:val="04040905080B02020502"/>
    <w:charset w:val="00"/>
    <w:family w:val="auto"/>
    <w:pitch w:val="default"/>
    <w:sig w:usb0="00000003" w:usb1="00000000" w:usb2="00000000" w:usb3="00000000" w:csb0="20000001" w:csb1="00000000"/>
  </w:font>
  <w:font w:name="BrowalliaUPC">
    <w:panose1 w:val="020B0604020202020204"/>
    <w:charset w:val="00"/>
    <w:family w:val="auto"/>
    <w:pitch w:val="default"/>
    <w:sig w:usb0="81000003" w:usb1="00000000" w:usb2="00000000" w:usb3="00000000" w:csb0="00010001" w:csb1="00000000"/>
  </w:font>
  <w:font w:name="Calibri Light">
    <w:panose1 w:val="020F0302020204030204"/>
    <w:charset w:val="00"/>
    <w:family w:val="auto"/>
    <w:pitch w:val="default"/>
    <w:sig w:usb0="A00002EF" w:usb1="4000207B" w:usb2="00000000" w:usb3="00000000" w:csb0="2000019F" w:csb1="00000000"/>
  </w:font>
  <w:font w:name="Century Schoolbook">
    <w:panose1 w:val="02040604050505020304"/>
    <w:charset w:val="00"/>
    <w:family w:val="auto"/>
    <w:pitch w:val="default"/>
    <w:sig w:usb0="00000287" w:usb1="00000000" w:usb2="00000000" w:usb3="00000000" w:csb0="2000009F" w:csb1="DFD70000"/>
  </w:font>
  <w:font w:name="Comic Sans MS">
    <w:panose1 w:val="030F0702030302020204"/>
    <w:charset w:val="00"/>
    <w:family w:val="auto"/>
    <w:pitch w:val="default"/>
    <w:sig w:usb0="00000287" w:usb1="00000000" w:usb2="00000000" w:usb3="00000000" w:csb0="2000009F" w:csb1="00000000"/>
  </w:font>
  <w:font w:name="Consolas">
    <w:panose1 w:val="020B0609020204030204"/>
    <w:charset w:val="00"/>
    <w:family w:val="auto"/>
    <w:pitch w:val="default"/>
    <w:sig w:usb0="E10002FF" w:usb1="4000FCFF" w:usb2="00000009" w:usb3="00000000" w:csb0="6000019F" w:csb1="DFD70000"/>
  </w:font>
  <w:font w:name="Copperplate Gothic Bold">
    <w:panose1 w:val="020E0705020206020404"/>
    <w:charset w:val="00"/>
    <w:family w:val="auto"/>
    <w:pitch w:val="default"/>
    <w:sig w:usb0="00000003" w:usb1="00000000" w:usb2="00000000" w:usb3="00000000" w:csb0="20000001" w:csb1="00000000"/>
  </w:font>
  <w:font w:name="Chiller">
    <w:panose1 w:val="04020404031007020602"/>
    <w:charset w:val="00"/>
    <w:family w:val="auto"/>
    <w:pitch w:val="default"/>
    <w:sig w:usb0="00000003" w:usb1="00000000" w:usb2="00000000" w:usb3="00000000" w:csb0="20000001" w:csb1="00000000"/>
  </w:font>
  <w:font w:name="Candara">
    <w:panose1 w:val="020E0502030303020204"/>
    <w:charset w:val="00"/>
    <w:family w:val="auto"/>
    <w:pitch w:val="default"/>
    <w:sig w:usb0="A00002EF" w:usb1="4000A44B" w:usb2="00000000" w:usb3="00000000" w:csb0="2000019F" w:csb1="00000000"/>
  </w:font>
  <w:font w:name="Californian FB">
    <w:panose1 w:val="0207040306080B030204"/>
    <w:charset w:val="00"/>
    <w:family w:val="auto"/>
    <w:pitch w:val="default"/>
    <w:sig w:usb0="00000003" w:usb1="00000000" w:usb2="00000000" w:usb3="00000000" w:csb0="20000001" w:csb1="00000000"/>
  </w:font>
  <w:font w:name="Brush Script MT">
    <w:panose1 w:val="03060802040406070304"/>
    <w:charset w:val="00"/>
    <w:family w:val="auto"/>
    <w:pitch w:val="default"/>
    <w:sig w:usb0="00000003" w:usb1="00000000" w:usb2="00000000" w:usb3="00000000" w:csb0="20000001" w:csb1="00000000"/>
  </w:font>
  <w:font w:name="Calisto MT">
    <w:panose1 w:val="02040603050505030304"/>
    <w:charset w:val="00"/>
    <w:family w:val="auto"/>
    <w:pitch w:val="default"/>
    <w:sig w:usb0="00000003" w:usb1="00000000" w:usb2="00000000" w:usb3="00000000" w:csb0="20000001" w:csb1="00000000"/>
  </w:font>
  <w:font w:name="Browallia New">
    <w:panose1 w:val="020B0604020202020204"/>
    <w:charset w:val="00"/>
    <w:family w:val="auto"/>
    <w:pitch w:val="default"/>
    <w:sig w:usb0="81000003" w:usb1="00000000" w:usb2="00000000" w:usb3="00000000" w:csb0="0001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swiss"/>
    <w:pitch w:val="default"/>
    <w:sig w:usb0="00000003" w:usb1="288F0000" w:usb2="00000006" w:usb3="00000000" w:csb0="00040001" w:csb1="00000000"/>
  </w:font>
  <w:font w:name="新宋体">
    <w:panose1 w:val="02010609030101010101"/>
    <w:charset w:val="86"/>
    <w:family w:val="decorative"/>
    <w:pitch w:val="default"/>
    <w:sig w:usb0="00000003" w:usb1="288F0000" w:usb2="00000006" w:usb3="00000000" w:csb0="00040001" w:csb1="00000000"/>
  </w:font>
  <w:font w:name="新宋体">
    <w:panose1 w:val="02010609030101010101"/>
    <w:charset w:val="86"/>
    <w:family w:val="roman"/>
    <w:pitch w:val="default"/>
    <w:sig w:usb0="00000003" w:usb1="288F0000" w:usb2="00000006" w:usb3="00000000" w:csb0="00040001" w:csb1="00000000"/>
  </w:font>
  <w:font w:name="新宋体">
    <w:panose1 w:val="02010609030101010101"/>
    <w:charset w:val="86"/>
    <w:family w:val="modern"/>
    <w:pitch w:val="default"/>
    <w:sig w:usb0="000000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72565021">
    <w:nsid w:val="103F031D"/>
    <w:multiLevelType w:val="singleLevel"/>
    <w:tmpl w:val="103F031D"/>
    <w:lvl w:ilvl="0" w:tentative="1">
      <w:start w:val="2"/>
      <w:numFmt w:val="chineseCounting"/>
      <w:suff w:val="nothing"/>
      <w:lvlText w:val="（%1）"/>
      <w:lvlJc w:val="left"/>
      <w:rPr>
        <w:rFonts w:hint="eastAsia"/>
      </w:rPr>
    </w:lvl>
  </w:abstractNum>
  <w:abstractNum w:abstractNumId="1724056907">
    <w:nsid w:val="66C3054B"/>
    <w:multiLevelType w:val="singleLevel"/>
    <w:tmpl w:val="66C3054B"/>
    <w:lvl w:ilvl="0" w:tentative="1">
      <w:start w:val="1"/>
      <w:numFmt w:val="chineseCounting"/>
      <w:suff w:val="nothing"/>
      <w:lvlText w:val="%1、"/>
      <w:lvlJc w:val="left"/>
    </w:lvl>
  </w:abstractNum>
  <w:abstractNum w:abstractNumId="1725248627">
    <w:nsid w:val="66D53473"/>
    <w:multiLevelType w:val="singleLevel"/>
    <w:tmpl w:val="66D53473"/>
    <w:lvl w:ilvl="0" w:tentative="1">
      <w:start w:val="2"/>
      <w:numFmt w:val="decimal"/>
      <w:suff w:val="nothing"/>
      <w:lvlText w:val="%1."/>
      <w:lvlJc w:val="left"/>
    </w:lvl>
  </w:abstractNum>
  <w:num w:numId="1">
    <w:abstractNumId w:val="1724056907"/>
  </w:num>
  <w:num w:numId="2">
    <w:abstractNumId w:val="272565021"/>
  </w:num>
  <w:num w:numId="3">
    <w:abstractNumId w:val="17252486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AyOGZmZWJiZjkzMTc5MjUxM2FlYjUzNmFjOTJhZmYifQ=="/>
    <w:docVar w:name="KSO_WPS_MARK_KEY" w:val="41ee2a61-2d54-4f93-83be-afdb9a40d732"/>
  </w:docVars>
  <w:rsids>
    <w:rsidRoot w:val="00A708C4"/>
    <w:rsid w:val="00213C59"/>
    <w:rsid w:val="003210CE"/>
    <w:rsid w:val="006D3838"/>
    <w:rsid w:val="00A708C4"/>
    <w:rsid w:val="00B70D59"/>
    <w:rsid w:val="00D6372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D949E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527354"/>
    <w:rsid w:val="30862F5F"/>
    <w:rsid w:val="314029C9"/>
    <w:rsid w:val="31C63837"/>
    <w:rsid w:val="31C82E39"/>
    <w:rsid w:val="32601BAD"/>
    <w:rsid w:val="329F6389"/>
    <w:rsid w:val="3389023A"/>
    <w:rsid w:val="33CB74FA"/>
    <w:rsid w:val="343642F2"/>
    <w:rsid w:val="343F3010"/>
    <w:rsid w:val="345D0A00"/>
    <w:rsid w:val="34713BFD"/>
    <w:rsid w:val="34C13589"/>
    <w:rsid w:val="353369E3"/>
    <w:rsid w:val="35AA25CE"/>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32E89"/>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950519"/>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77236"/>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DA798E"/>
    <w:rsid w:val="69FF6D2A"/>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312763"/>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0">
    <w:name w:val="Strong"/>
    <w:basedOn w:val="9"/>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1125</Words>
  <Characters>6419</Characters>
  <Lines>53</Lines>
  <Paragraphs>15</Paragraphs>
  <ScaleCrop>false</ScaleCrop>
  <LinksUpToDate>false</LinksUpToDate>
  <CharactersWithSpaces>7529</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2024-08-19T08:29:00Z</dcterms:created>
  <dc:creator>GXR</dc:creator>
  <cp:lastModifiedBy>gyb1</cp:lastModifiedBy>
  <dcterms:modified xsi:type="dcterms:W3CDTF">2024-09-02T03:41:40Z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D624B15633CD43C8BF9435464A96BF70</vt:lpwstr>
  </property>
</Properties>
</file>