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新疆玛纳斯河流域管理局</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spacing w:line="560" w:lineRule="exact"/>
        <w:ind w:firstLine="640" w:firstLineChars="200"/>
        <w:rPr>
          <w:rFonts w:hint="eastAsia" w:ascii="仿宋_GB2312" w:hAnsi="仿宋_GB2312" w:eastAsia="仿宋_GB2312" w:cs="仿宋_GB2312"/>
          <w:sz w:val="32"/>
          <w:szCs w:val="32"/>
        </w:rPr>
      </w:pPr>
      <w:bookmarkStart w:id="4" w:name="_Toc31238"/>
      <w:bookmarkStart w:id="5" w:name="_Toc2151"/>
      <w:r>
        <w:rPr>
          <w:rFonts w:hint="eastAsia" w:ascii="仿宋_GB2312" w:hAnsi="仿宋_GB2312" w:eastAsia="仿宋_GB2312" w:cs="仿宋_GB2312"/>
          <w:sz w:val="32"/>
          <w:szCs w:val="32"/>
        </w:rPr>
        <w:t>新疆玛纳斯河流域，位于石河子市与玛纳斯县之间的交接处，是承担石河子市、玛纳斯县、沙湾县，和克拉玛依的小拐乡，以及新疆生产建设兵团农八师、农六师的十九个大型农牧团场的农业用水，承担新疆最大的玛纳斯火力发电厂和最大的红山嘴梯级水力发电厂的发电用水。灌区内人口86.28万人，有效灌溉面积315万亩，是自治区重要的商品粮棉和轻工业基地。玛纳斯河流域，始建于上世纪五十年代，玛纳斯河流域管理局是新疆维吾尔自治区水利厅直属的玛斯河流域管理机构，肩负着玛纳斯河流域内灌区单位的供水工作,同时，单位承担着水利事业的公益性责任，协调兵团地方的供水矛盾,调配流域内水资源,承担水资源保护、水法宣传、行使水行政执法权；水利设施管理、维护；防洪抢险，河道清障、水土保持及水环境管理等行政职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新疆玛纳斯河流域管理局</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en-US" w:eastAsia="zh-CN"/>
        </w:rPr>
        <w:t>421</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187</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1</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en-US" w:eastAsia="zh-CN"/>
        </w:rPr>
        <w:t>233</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从</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决算单位构成看，</w:t>
      </w:r>
      <w:r>
        <w:rPr>
          <w:rFonts w:hint="eastAsia" w:ascii="仿宋_GB2312" w:eastAsia="仿宋_GB2312"/>
          <w:color w:val="auto"/>
          <w:sz w:val="32"/>
          <w:szCs w:val="32"/>
          <w:highlight w:val="none"/>
          <w:lang w:val="en-US" w:eastAsia="zh-CN"/>
        </w:rPr>
        <w:t>新疆玛纳斯河流域管理局</w:t>
      </w:r>
      <w:r>
        <w:rPr>
          <w:rFonts w:hint="eastAsia" w:ascii="仿宋_GB2312" w:eastAsia="仿宋_GB2312"/>
          <w:color w:val="auto"/>
          <w:sz w:val="32"/>
          <w:szCs w:val="32"/>
          <w:highlight w:val="none"/>
        </w:rPr>
        <w:t>部门决算包括：</w:t>
      </w:r>
      <w:r>
        <w:rPr>
          <w:rFonts w:hint="eastAsia" w:ascii="仿宋_GB2312" w:eastAsia="仿宋_GB2312"/>
          <w:color w:val="auto"/>
          <w:sz w:val="32"/>
          <w:szCs w:val="32"/>
          <w:highlight w:val="none"/>
          <w:lang w:val="en-US" w:eastAsia="zh-CN"/>
        </w:rPr>
        <w:t>新疆玛纳斯河流域管理局</w:t>
      </w:r>
      <w:r>
        <w:rPr>
          <w:rFonts w:hint="eastAsia" w:ascii="仿宋_GB2312" w:eastAsia="仿宋_GB2312"/>
          <w:color w:val="auto"/>
          <w:sz w:val="32"/>
          <w:szCs w:val="32"/>
          <w:highlight w:val="none"/>
        </w:rPr>
        <w:t>本级决算</w:t>
      </w:r>
      <w:r>
        <w:rPr>
          <w:rFonts w:hint="eastAsia" w:ascii="仿宋_GB2312" w:eastAsia="仿宋_GB2312"/>
          <w:color w:val="auto"/>
          <w:sz w:val="32"/>
          <w:szCs w:val="32"/>
          <w:highlight w:val="none"/>
          <w:lang w:eastAsia="zh-CN"/>
        </w:rPr>
        <w:t>及</w:t>
      </w:r>
      <w:r>
        <w:rPr>
          <w:rFonts w:hint="eastAsia" w:ascii="仿宋_GB2312" w:eastAsia="仿宋_GB2312"/>
          <w:color w:val="auto"/>
          <w:sz w:val="32"/>
          <w:szCs w:val="32"/>
          <w:highlight w:val="none"/>
        </w:rPr>
        <w:t>所属单位决算。</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新疆玛纳斯河流域管理局下设7个科室，分别是办公室、组织人事处、计划财务处（会计核算中心）、水政水资源处（水政监察分队）、水利管理处（安监处、防洪办）、纪检监察室、工会（离退休工作办公室）。</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rPr>
        <w:t>纳入</w:t>
      </w:r>
      <w:r>
        <w:rPr>
          <w:rFonts w:hint="eastAsia" w:ascii="仿宋_GB2312" w:eastAsia="仿宋_GB2312"/>
          <w:color w:val="auto"/>
          <w:sz w:val="32"/>
          <w:szCs w:val="32"/>
          <w:highlight w:val="none"/>
          <w:lang w:val="en-US" w:eastAsia="zh-CN"/>
        </w:rPr>
        <w:t>新疆玛纳斯河流域管理局</w:t>
      </w: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rPr>
        <w:t>部门决算编制范围的</w:t>
      </w:r>
      <w:r>
        <w:rPr>
          <w:rFonts w:hint="eastAsia" w:ascii="仿宋_GB2312" w:eastAsia="仿宋_GB2312"/>
          <w:color w:val="auto"/>
          <w:spacing w:val="0"/>
          <w:sz w:val="32"/>
          <w:szCs w:val="32"/>
          <w:highlight w:val="none"/>
          <w:lang w:val="en-US" w:eastAsia="zh-CN"/>
        </w:rPr>
        <w:t>下属预算</w:t>
      </w:r>
      <w:r>
        <w:rPr>
          <w:rFonts w:hint="eastAsia" w:ascii="仿宋_GB2312" w:eastAsia="仿宋_GB2312"/>
          <w:color w:val="auto"/>
          <w:spacing w:val="0"/>
          <w:sz w:val="32"/>
          <w:szCs w:val="32"/>
          <w:highlight w:val="none"/>
        </w:rPr>
        <w:t>单位</w:t>
      </w:r>
      <w:r>
        <w:rPr>
          <w:rFonts w:hint="eastAsia" w:ascii="仿宋_GB2312" w:eastAsia="仿宋_GB2312"/>
          <w:color w:val="auto"/>
          <w:spacing w:val="0"/>
          <w:sz w:val="32"/>
          <w:szCs w:val="32"/>
          <w:highlight w:val="none"/>
          <w:lang w:val="en-US" w:eastAsia="zh-CN"/>
        </w:rPr>
        <w:t>包括</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pacing w:val="0"/>
          <w:sz w:val="32"/>
          <w:szCs w:val="32"/>
          <w:highlight w:val="none"/>
          <w:lang w:val="en-US" w:eastAsia="zh-CN"/>
        </w:rPr>
      </w:pPr>
      <w:r>
        <w:rPr>
          <w:rFonts w:hint="default" w:ascii="仿宋_GB2312" w:eastAsia="仿宋_GB2312"/>
          <w:color w:val="auto"/>
          <w:spacing w:val="0"/>
          <w:sz w:val="32"/>
          <w:szCs w:val="32"/>
          <w:highlight w:val="none"/>
          <w:lang w:val="en-US" w:eastAsia="zh-CN"/>
        </w:rPr>
        <w:t>1.</w:t>
      </w:r>
      <w:r>
        <w:rPr>
          <w:rFonts w:hint="eastAsia" w:ascii="仿宋_GB2312" w:eastAsia="仿宋_GB2312"/>
          <w:color w:val="auto"/>
          <w:sz w:val="32"/>
          <w:szCs w:val="32"/>
          <w:highlight w:val="none"/>
          <w:lang w:val="en-US" w:eastAsia="zh-CN"/>
        </w:rPr>
        <w:t>新疆玛纳斯河流域管理局</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pacing w:val="0"/>
          <w:sz w:val="32"/>
          <w:szCs w:val="32"/>
          <w:highlight w:val="none"/>
          <w:lang w:val="en-US" w:eastAsia="zh-CN"/>
        </w:rPr>
      </w:pPr>
      <w:r>
        <w:rPr>
          <w:rFonts w:hint="default" w:ascii="仿宋_GB2312" w:eastAsia="仿宋_GB2312"/>
          <w:color w:val="auto"/>
          <w:spacing w:val="0"/>
          <w:sz w:val="32"/>
          <w:szCs w:val="32"/>
          <w:highlight w:val="none"/>
          <w:lang w:val="en-US" w:eastAsia="zh-CN"/>
        </w:rPr>
        <w:t>2.</w:t>
      </w:r>
      <w:r>
        <w:rPr>
          <w:rFonts w:hint="eastAsia" w:ascii="仿宋_GB2312" w:eastAsia="仿宋_GB2312"/>
          <w:color w:val="auto"/>
          <w:sz w:val="32"/>
          <w:szCs w:val="32"/>
          <w:highlight w:val="none"/>
          <w:lang w:val="en-US" w:eastAsia="zh-CN"/>
        </w:rPr>
        <w:t>新疆玛纳斯河流域管理局水利管理中心</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7,611.93万元，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5,297.52万元，使用非财政拨款结余2,055.19万元，年初结转和结余259.23万元。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7,611.93万元，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7,368.89万元，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0.00万元，年末结转和结余243.04万元。</w:t>
      </w:r>
    </w:p>
    <w:p>
      <w:pPr>
        <w:ind w:firstLine="640" w:firstLineChars="200"/>
        <w:jc w:val="left"/>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增加5,987.78万元</w:t>
      </w:r>
      <w:r>
        <w:rPr>
          <w:rFonts w:hint="eastAsia" w:ascii="仿宋_GB2312" w:eastAsia="仿宋_GB2312"/>
          <w:color w:val="auto"/>
          <w:spacing w:val="0"/>
          <w:sz w:val="32"/>
          <w:szCs w:val="32"/>
          <w:highlight w:val="none"/>
          <w:lang w:eastAsia="zh-CN"/>
        </w:rPr>
        <w:t>，增长368.67%，主要原因是：</w:t>
      </w:r>
      <w:r>
        <w:rPr>
          <w:rFonts w:hint="eastAsia" w:ascii="仿宋_GB2312" w:eastAsia="仿宋_GB2312"/>
          <w:sz w:val="32"/>
          <w:szCs w:val="32"/>
        </w:rPr>
        <w:t>水利管理单位制度衔接并账，并入了经营收入及支出。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5,297.52</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1,582.54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29.87%</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3,712.75</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70.08%</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2.23</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0.04%</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本年支出7,368.89万元，其中：基本支出3,041.00万元，占41.27%；项目支出615.14万元，占8.35%；上缴上级支出0.00万元，占0.00%；经营支出3,712.75万元，占50.38%；对附属单位补助支出0.00万元，占0.00%。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1,759.74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177.20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1,582.54</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1,759.74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170.03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1,589.70</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增加159.62万元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增长9.98%,</w:t>
      </w:r>
      <w:r>
        <w:rPr>
          <w:rFonts w:hint="eastAsia" w:ascii="仿宋_GB2312" w:eastAsia="仿宋_GB2312"/>
          <w:color w:val="auto"/>
          <w:spacing w:val="0"/>
          <w:sz w:val="32"/>
          <w:szCs w:val="32"/>
          <w:highlight w:val="none"/>
          <w:lang w:eastAsia="zh-CN"/>
        </w:rPr>
        <w:t>主要原因是：</w:t>
      </w:r>
      <w:r>
        <w:rPr>
          <w:rFonts w:hint="eastAsia" w:ascii="仿宋_GB2312" w:hAnsi="Calibri" w:eastAsia="仿宋_GB2312"/>
          <w:sz w:val="32"/>
          <w:szCs w:val="32"/>
        </w:rPr>
        <w:t>调增基本工资</w:t>
      </w:r>
      <w:r>
        <w:rPr>
          <w:rFonts w:hint="eastAsia" w:ascii="仿宋_GB2312" w:hAnsi="Calibri" w:eastAsia="仿宋_GB2312"/>
          <w:sz w:val="32"/>
          <w:szCs w:val="32"/>
          <w:lang w:val="en-US" w:eastAsia="zh-CN"/>
        </w:rPr>
        <w:t>和新增在职人员，追加自治区水利发展资金专项项目资金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1,274.60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1,759.74</w:t>
      </w:r>
      <w:r>
        <w:rPr>
          <w:rFonts w:hint="eastAsia" w:ascii="仿宋_GB2312" w:eastAsia="仿宋_GB2312"/>
          <w:color w:val="auto"/>
          <w:spacing w:val="0"/>
          <w:sz w:val="32"/>
          <w:szCs w:val="32"/>
          <w:highlight w:val="none"/>
          <w:lang w:eastAsia="zh-CN"/>
        </w:rPr>
        <w:t>万元，预决算差异率38.06%，主要原因是：</w:t>
      </w:r>
      <w:r>
        <w:rPr>
          <w:rFonts w:hint="eastAsia" w:ascii="仿宋_GB2312" w:hAnsi="Calibri" w:eastAsia="仿宋_GB2312"/>
          <w:sz w:val="32"/>
          <w:szCs w:val="32"/>
        </w:rPr>
        <w:t>调增基本工资</w:t>
      </w:r>
      <w:r>
        <w:rPr>
          <w:rFonts w:hint="eastAsia" w:ascii="仿宋_GB2312" w:hAnsi="Calibri" w:eastAsia="仿宋_GB2312"/>
          <w:sz w:val="32"/>
          <w:szCs w:val="32"/>
          <w:lang w:val="en-US" w:eastAsia="zh-CN"/>
        </w:rPr>
        <w:t>和新增在职人员经费公用经费，追加自治区水利发展资金专项项目资金</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2023年度一般公共预算财政拨款支出1,589.70万元，占本年支出合计的</w:t>
      </w:r>
      <w:r>
        <w:rPr>
          <w:rFonts w:hint="eastAsia" w:ascii="仿宋_GB2312" w:eastAsia="仿宋_GB2312"/>
          <w:color w:val="auto"/>
          <w:spacing w:val="0"/>
          <w:sz w:val="32"/>
          <w:szCs w:val="32"/>
          <w:highlight w:val="none"/>
          <w:lang w:val="zh-CN" w:eastAsia="zh-CN"/>
        </w:rPr>
        <w:t>21.57%</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增加27.66万元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增长1.77%,</w:t>
      </w:r>
      <w:r>
        <w:rPr>
          <w:rFonts w:hint="eastAsia" w:ascii="仿宋_GB2312" w:eastAsia="仿宋_GB2312"/>
          <w:color w:val="auto"/>
          <w:spacing w:val="0"/>
          <w:sz w:val="32"/>
          <w:szCs w:val="32"/>
          <w:highlight w:val="none"/>
          <w:lang w:eastAsia="zh-CN"/>
        </w:rPr>
        <w:t>主要原因是：</w:t>
      </w:r>
      <w:r>
        <w:rPr>
          <w:rFonts w:hint="eastAsia" w:ascii="仿宋_GB2312" w:hAnsi="Calibri" w:eastAsia="仿宋_GB2312"/>
          <w:sz w:val="32"/>
          <w:szCs w:val="32"/>
        </w:rPr>
        <w:t>调增基本工资</w:t>
      </w:r>
      <w:r>
        <w:rPr>
          <w:rFonts w:hint="eastAsia" w:ascii="仿宋_GB2312" w:hAnsi="Calibri" w:eastAsia="仿宋_GB2312"/>
          <w:sz w:val="32"/>
          <w:szCs w:val="32"/>
          <w:lang w:val="en-US" w:eastAsia="zh-CN"/>
        </w:rPr>
        <w:t>和新增在职人员经费公用经费，追加自治区水利发展资金专项项目资金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1,274.60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1,589.70</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24.72%</w:t>
      </w:r>
      <w:r>
        <w:rPr>
          <w:rFonts w:hint="eastAsia" w:ascii="仿宋_GB2312" w:eastAsia="仿宋_GB2312"/>
          <w:color w:val="auto"/>
          <w:spacing w:val="0"/>
          <w:sz w:val="32"/>
          <w:szCs w:val="32"/>
          <w:highlight w:val="none"/>
          <w:lang w:eastAsia="zh-CN"/>
        </w:rPr>
        <w:t>，主要原因是：</w:t>
      </w:r>
      <w:r>
        <w:rPr>
          <w:rFonts w:hint="eastAsia" w:ascii="仿宋_GB2312" w:hAnsi="Calibri" w:eastAsia="仿宋_GB2312"/>
          <w:sz w:val="32"/>
          <w:szCs w:val="32"/>
        </w:rPr>
        <w:t>调增基本工资</w:t>
      </w:r>
      <w:r>
        <w:rPr>
          <w:rFonts w:hint="eastAsia" w:ascii="仿宋_GB2312" w:hAnsi="Calibri" w:eastAsia="仿宋_GB2312"/>
          <w:sz w:val="32"/>
          <w:szCs w:val="32"/>
          <w:lang w:val="en-US" w:eastAsia="zh-CN"/>
        </w:rPr>
        <w:t>和新增在职人员经费公用经费，追加自治区水利发展资金专项项目资金调增基本工资9.4万元，调增艰边贴3.44万元，下达2023年自治区访惠聚工作经费40.02万元，下达2022年度考核奖14.76万元，增加在职离休人员基础绩效奖26.09万元、退休人员基础绩效奖1.55万元，职业年金缴费7.02万元，追加自治区水利发展资金专项（自治区转移支付）项目资金210万元</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80.88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5.09%</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19.54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1.23%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hAnsi="仿宋_GB2312" w:eastAsia="仿宋_GB2312" w:cs="仿宋_GB2312"/>
          <w:color w:val="auto"/>
          <w:spacing w:val="0"/>
          <w:kern w:val="2"/>
          <w:sz w:val="32"/>
          <w:szCs w:val="32"/>
          <w:highlight w:val="none"/>
          <w:lang w:val="en-US" w:eastAsia="zh-CN" w:bidi="ar-SA"/>
        </w:rPr>
        <w:t>3</w:t>
      </w:r>
      <w:r>
        <w:rPr>
          <w:rFonts w:hint="eastAsia" w:ascii="仿宋_GB2312" w:hAnsi="仿宋_GB2312" w:eastAsia="仿宋_GB2312" w:cs="仿宋_GB2312"/>
          <w:color w:val="auto"/>
          <w:spacing w:val="0"/>
          <w:kern w:val="2"/>
          <w:sz w:val="32"/>
          <w:szCs w:val="32"/>
          <w:highlight w:val="none"/>
          <w:lang w:val="zh-CN" w:eastAsia="zh-CN" w:bidi="ar-SA"/>
        </w:rPr>
        <w:t>.农林水支出（类）1,458.02万元，占</w:t>
      </w:r>
      <w:r>
        <w:rPr>
          <w:rFonts w:hint="eastAsia" w:ascii="仿宋_GB2312" w:eastAsia="仿宋_GB2312" w:cs="Times New Roman"/>
          <w:color w:val="auto"/>
          <w:spacing w:val="0"/>
          <w:kern w:val="2"/>
          <w:sz w:val="32"/>
          <w:szCs w:val="32"/>
          <w:highlight w:val="none"/>
          <w:lang w:val="zh-CN" w:eastAsia="zh-CN" w:bidi="ar-SA"/>
        </w:rPr>
        <w:t>91.72%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red"/>
          <w:lang w:val="en-US"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31.27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1.97%</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1.农林水支出（类）水利（款）水利行业业务管理（项）:支出决算数为422.26万元，比上年决算增加46.02万元，增长12.23%，主要原因是：</w:t>
      </w:r>
      <w:r>
        <w:rPr>
          <w:rFonts w:hint="eastAsia" w:ascii="仿宋_GB2312" w:hAnsi="Calibri" w:eastAsia="仿宋_GB2312"/>
          <w:sz w:val="32"/>
          <w:szCs w:val="32"/>
        </w:rPr>
        <w:t>调增基本工资</w:t>
      </w:r>
      <w:r>
        <w:rPr>
          <w:rFonts w:hint="eastAsia" w:ascii="仿宋_GB2312" w:hAnsi="Calibri" w:eastAsia="仿宋_GB2312"/>
          <w:sz w:val="32"/>
          <w:szCs w:val="32"/>
          <w:lang w:val="en-US" w:eastAsia="zh-CN"/>
        </w:rPr>
        <w:t>和新增在职人员经费公用经费，追加自治区水利发展资金专项项目资金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2.卫生健康支出（类）行政事业单位医疗（款）事业单位医疗（项）:支出决算数为19.54万元，比上年决算增加0.28万元，增长1.45%，主要原因是：</w:t>
      </w:r>
      <w:r>
        <w:rPr>
          <w:rFonts w:hint="eastAsia" w:ascii="仿宋_GB2312" w:hAnsi="Calibri" w:eastAsia="仿宋_GB2312"/>
          <w:sz w:val="32"/>
          <w:szCs w:val="32"/>
        </w:rPr>
        <w:t>调增基本工资</w:t>
      </w:r>
      <w:r>
        <w:rPr>
          <w:rFonts w:hint="eastAsia" w:ascii="仿宋_GB2312" w:hAnsi="Calibri" w:eastAsia="仿宋_GB2312"/>
          <w:sz w:val="32"/>
          <w:szCs w:val="32"/>
          <w:lang w:val="en-US" w:eastAsia="zh-CN"/>
        </w:rPr>
        <w:t>和新增在职人员</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3.农林水支出（类）水利（款）水利工程建设（项）:支出决算数为5.12万元，比上年决算减少67.89万元，下降92.99%，主要原因是：</w:t>
      </w:r>
      <w:r>
        <w:rPr>
          <w:rFonts w:hint="eastAsia" w:ascii="仿宋_GB2312" w:hAnsi="Calibri" w:eastAsia="仿宋_GB2312"/>
          <w:sz w:val="32"/>
          <w:szCs w:val="32"/>
          <w:lang w:val="en-US" w:eastAsia="zh-CN"/>
        </w:rPr>
        <w:t>本年减少水利工程建设项目</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4.住房保障支出（类）住房改革支出（款）住房公积金（项）:支出决算数为31.27万元，比上年决算增加4.45万元，增长16.59%，主要原因是：</w:t>
      </w:r>
      <w:r>
        <w:rPr>
          <w:rFonts w:hint="eastAsia" w:ascii="仿宋_GB2312" w:hAnsi="Calibri" w:eastAsia="仿宋_GB2312"/>
          <w:sz w:val="32"/>
          <w:szCs w:val="32"/>
        </w:rPr>
        <w:t>调增基本工资</w:t>
      </w:r>
      <w:r>
        <w:rPr>
          <w:rFonts w:hint="eastAsia" w:ascii="仿宋_GB2312" w:hAnsi="Calibri" w:eastAsia="仿宋_GB2312"/>
          <w:sz w:val="32"/>
          <w:szCs w:val="32"/>
          <w:lang w:val="en-US" w:eastAsia="zh-CN"/>
        </w:rPr>
        <w:t>和新增在职人员</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5.农林水支出（类）水利（款）水利工程运行与维护（项）:支出决算数为581.63万元，比上年决算减少30.81万元，下降5.03%，主要原因是：</w:t>
      </w:r>
      <w:r>
        <w:rPr>
          <w:rFonts w:hint="eastAsia" w:eastAsia="仿宋_GB2312" w:cs="Times New Roman"/>
          <w:color w:val="auto"/>
          <w:kern w:val="2"/>
          <w:sz w:val="32"/>
          <w:szCs w:val="32"/>
          <w:highlight w:val="none"/>
          <w:lang w:val="en-US" w:eastAsia="zh-CN" w:bidi="ar-SA"/>
        </w:rPr>
        <w:t>水利中心</w:t>
      </w:r>
      <w:r>
        <w:rPr>
          <w:rFonts w:hint="eastAsia" w:ascii="仿宋_GB2312" w:eastAsia="仿宋_GB2312"/>
          <w:sz w:val="32"/>
          <w:szCs w:val="32"/>
        </w:rPr>
        <w:t>财政项目资金减少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6.农林水支出（类）水利（款）水利技术推广（项）:支出决算数为30.00万元，比上年决算增加30.00万元，增长100%，主要原因是：</w:t>
      </w:r>
      <w:r>
        <w:rPr>
          <w:rFonts w:hint="eastAsia" w:eastAsia="仿宋_GB2312" w:cs="Times New Roman"/>
          <w:color w:val="auto"/>
          <w:kern w:val="2"/>
          <w:sz w:val="32"/>
          <w:szCs w:val="32"/>
          <w:highlight w:val="none"/>
          <w:lang w:val="en-US" w:eastAsia="zh-CN" w:bidi="ar-SA"/>
        </w:rPr>
        <w:t>追加</w:t>
      </w:r>
      <w:r>
        <w:rPr>
          <w:rFonts w:hint="eastAsia" w:ascii="Times New Roman" w:hAnsi="Times New Roman" w:eastAsia="仿宋_GB2312" w:cs="Times New Roman"/>
          <w:color w:val="auto"/>
          <w:kern w:val="2"/>
          <w:sz w:val="32"/>
          <w:szCs w:val="32"/>
          <w:highlight w:val="none"/>
          <w:lang w:val="en-US" w:eastAsia="zh-CN" w:bidi="ar-SA"/>
        </w:rPr>
        <w:t>自治区水利发展资金专项（自治区转移支付）</w:t>
      </w:r>
      <w:r>
        <w:rPr>
          <w:rFonts w:hint="eastAsia" w:eastAsia="仿宋_GB2312" w:cs="Times New Roman"/>
          <w:color w:val="auto"/>
          <w:kern w:val="2"/>
          <w:sz w:val="32"/>
          <w:szCs w:val="32"/>
          <w:highlight w:val="none"/>
          <w:lang w:val="en-US" w:eastAsia="zh-CN" w:bidi="ar-SA"/>
        </w:rPr>
        <w:t>项目</w:t>
      </w:r>
      <w:r>
        <w:rPr>
          <w:rFonts w:hint="eastAsia" w:ascii="Times New Roman" w:hAnsi="Times New Roman" w:eastAsia="仿宋_GB2312" w:cs="Times New Roman"/>
          <w:color w:val="auto"/>
          <w:kern w:val="2"/>
          <w:sz w:val="32"/>
          <w:szCs w:val="32"/>
          <w:highlight w:val="none"/>
          <w:lang w:val="en-US" w:eastAsia="zh-CN" w:bidi="ar-SA"/>
        </w:rPr>
        <w:t>210万元</w:t>
      </w:r>
      <w:r>
        <w:rPr>
          <w:rFonts w:hint="eastAsia" w:eastAsia="仿宋_GB2312" w:cs="Times New Roman"/>
          <w:color w:val="auto"/>
          <w:kern w:val="2"/>
          <w:sz w:val="32"/>
          <w:szCs w:val="32"/>
          <w:highlight w:val="none"/>
          <w:lang w:val="en-US" w:eastAsia="zh-CN" w:bidi="ar-SA"/>
        </w:rPr>
        <w:t>，其中</w:t>
      </w:r>
      <w:r>
        <w:rPr>
          <w:rFonts w:hint="eastAsia" w:ascii="Times New Roman" w:hAnsi="Times New Roman" w:eastAsia="仿宋_GB2312" w:cs="Times New Roman"/>
          <w:color w:val="auto"/>
          <w:kern w:val="2"/>
          <w:sz w:val="32"/>
          <w:szCs w:val="32"/>
          <w:highlight w:val="none"/>
          <w:lang w:val="zh-CN" w:eastAsia="zh-CN" w:bidi="ar-SA"/>
        </w:rPr>
        <w:t>玛纳斯河流域内已建水电工程生态流量核定与保障先行先试工作方案报告的委托业务费30万元</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7.农林水支出（类）水利（款）水利执法监督（项）:支出决算数为169.00万元，比上年决算增加119.00万元，增长238.00%，主要原因是：</w:t>
      </w:r>
      <w:r>
        <w:rPr>
          <w:rFonts w:hint="eastAsia" w:eastAsia="仿宋_GB2312"/>
          <w:sz w:val="32"/>
          <w:szCs w:val="32"/>
          <w:lang w:val="zh-CN"/>
        </w:rPr>
        <w:t>水利管理专项项目中水利执法监督项目增加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8.社会保障和就业支出（类）行政事业单位养老支出（款）事业单位离退休（项）:支出决算数为32.16万元，比上年决算减少1.37万元，下降4.09%，主要原因是：上级下拨人员经费不足</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9.农林水支出（类）水利（款）水土保持（项）:支出决算数为20.00万元，比上年决算增加0.00万元，增长0.00%，主要原因是：本年支出决算数与上年支出决算数一致，本年无新增水土保持项目。</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10.农林水支出（类）水利（款）水资源节约管理与保护（项）:支出决算数为230.00万元，比上年决算增加180.00万元，增长360.00%，主要原因是：本年新增财政项目，</w:t>
      </w:r>
      <w:r>
        <w:rPr>
          <w:rFonts w:hint="eastAsia" w:ascii="Times New Roman" w:hAnsi="Times New Roman" w:eastAsia="仿宋_GB2312" w:cs="Times New Roman"/>
          <w:color w:val="auto"/>
          <w:kern w:val="2"/>
          <w:sz w:val="32"/>
          <w:szCs w:val="32"/>
          <w:highlight w:val="none"/>
          <w:lang w:val="zh-CN" w:eastAsia="zh-CN" w:bidi="ar-SA"/>
        </w:rPr>
        <w:t>用于玛纳斯河骨干渠道防护栏维修维护180万元</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11.社会保障和就业支出（类）行政事业单位养老支出（款）机关事业单位职业年金缴费支出（项）:支出决算数为7.03万元，比上年决算增加7.03万元，增长100%，主要原因是：本年开始缴纳职业年金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12.社会保障和就业支出（类）行政事业单位养老支出（款）机关事业单位基本养老保险缴费支出（项）:支出决算数为41.69万元，比上年决算增加5.93万元，增长16.58%，主要原因是：</w:t>
      </w:r>
      <w:r>
        <w:rPr>
          <w:rFonts w:hint="eastAsia" w:eastAsia="仿宋_GB2312" w:cs="Times New Roman"/>
          <w:color w:val="auto"/>
          <w:kern w:val="2"/>
          <w:sz w:val="32"/>
          <w:szCs w:val="32"/>
          <w:highlight w:val="none"/>
          <w:lang w:val="en-US" w:eastAsia="zh-CN" w:bidi="ar-SA"/>
        </w:rPr>
        <w:t>调增缴纳社保基数</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13.卫生健康支出（类）行政事业单位医疗（款）公务员医疗补助（项）:支出决算数为0.00万元，比上年决算减少14.98万元，下降100%，主要原因是：</w:t>
      </w:r>
      <w:r>
        <w:rPr>
          <w:rFonts w:hint="eastAsia" w:eastAsia="仿宋_GB2312" w:cs="Times New Roman"/>
          <w:color w:val="auto"/>
          <w:kern w:val="2"/>
          <w:sz w:val="32"/>
          <w:szCs w:val="32"/>
          <w:highlight w:val="none"/>
          <w:lang w:val="en-US" w:eastAsia="zh-CN" w:bidi="ar-SA"/>
        </w:rPr>
        <w:t>调整公务员医疗补助缴纳途径</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14.农林水支出（类）水利（款）水文测报（项）:支出决算数为0.00万元，比上年决算减少100.00万元，下降100%，主要原因是：</w:t>
      </w:r>
      <w:r>
        <w:rPr>
          <w:rFonts w:hint="eastAsia" w:eastAsia="仿宋_GB2312"/>
          <w:sz w:val="32"/>
          <w:szCs w:val="32"/>
          <w:lang w:val="zh-CN"/>
        </w:rPr>
        <w:t>本年无水文测报项目</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15.农林水支出（类）水利（款）江河湖库水系综合整治（项）:支出决算数为0.00万元，比上年决算减少150.00万元，下降100%，主要原因是：</w:t>
      </w:r>
      <w:r>
        <w:rPr>
          <w:rFonts w:hint="eastAsia" w:eastAsia="仿宋_GB2312"/>
          <w:sz w:val="32"/>
          <w:szCs w:val="32"/>
          <w:lang w:val="zh-CN"/>
        </w:rPr>
        <w:t>本年无江河湖库水系综合整治项目</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983.58</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951.70</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离休费、退休费、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31.88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办公费、水费、电费、邮电费、差旅费、公务接待费、工会经费、福利费、公务用车运行维护费、其他商品和服务支出。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“三公”经费支出4.34万元，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减少0.04万元，</w:t>
      </w:r>
      <w:r>
        <w:rPr>
          <w:rFonts w:hint="eastAsia" w:ascii="仿宋_GB2312" w:eastAsia="仿宋_GB2312"/>
          <w:color w:val="auto"/>
          <w:spacing w:val="0"/>
          <w:sz w:val="32"/>
          <w:szCs w:val="32"/>
          <w:highlight w:val="none"/>
          <w:lang w:val="en-US" w:eastAsia="zh-CN"/>
        </w:rPr>
        <w:t>下降0.91%,</w:t>
      </w:r>
      <w:r>
        <w:rPr>
          <w:rFonts w:hint="eastAsia" w:ascii="仿宋_GB2312" w:eastAsia="仿宋_GB2312"/>
          <w:color w:val="auto"/>
          <w:sz w:val="32"/>
          <w:szCs w:val="32"/>
          <w:highlight w:val="none"/>
          <w:lang w:val="zh-CN" w:eastAsia="zh-CN"/>
        </w:rPr>
        <w:t>主要原因是：厉行节约，</w:t>
      </w:r>
      <w:r>
        <w:rPr>
          <w:rFonts w:hint="eastAsia" w:ascii="仿宋_GB2312" w:eastAsia="仿宋_GB2312"/>
          <w:color w:val="auto"/>
          <w:sz w:val="32"/>
          <w:szCs w:val="32"/>
          <w:highlight w:val="none"/>
          <w:lang w:val="en-US" w:eastAsia="zh-CN"/>
        </w:rPr>
        <w:t>业务招待费本年比上年减少</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因公出国（境）费。公务用车购置及运行维护费支出3.87万元，占89.17%，比上年增加0.00万元，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我单位本年未增加</w:t>
      </w:r>
      <w:r>
        <w:rPr>
          <w:rFonts w:hint="eastAsia" w:ascii="仿宋_GB2312" w:eastAsia="仿宋_GB2312"/>
          <w:color w:val="auto"/>
          <w:sz w:val="32"/>
          <w:szCs w:val="32"/>
          <w:highlight w:val="none"/>
          <w:lang w:val="zh-CN" w:eastAsia="zh-CN"/>
        </w:rPr>
        <w:t>公务用车购置及运行维护费。公务接待费支出0.47万元，占10.83%，比上年减少0.04万元，</w:t>
      </w:r>
      <w:r>
        <w:rPr>
          <w:rFonts w:hint="eastAsia" w:ascii="仿宋_GB2312" w:eastAsia="仿宋_GB2312"/>
          <w:color w:val="auto"/>
          <w:spacing w:val="0"/>
          <w:sz w:val="32"/>
          <w:szCs w:val="32"/>
          <w:highlight w:val="none"/>
          <w:lang w:val="en-US" w:eastAsia="zh-CN"/>
        </w:rPr>
        <w:t>下降7.84%,</w:t>
      </w:r>
      <w:r>
        <w:rPr>
          <w:rFonts w:hint="eastAsia" w:ascii="仿宋_GB2312" w:eastAsia="仿宋_GB2312"/>
          <w:color w:val="auto"/>
          <w:sz w:val="32"/>
          <w:szCs w:val="32"/>
          <w:highlight w:val="none"/>
          <w:lang w:val="zh-CN" w:eastAsia="zh-CN"/>
        </w:rPr>
        <w:t>主要原因是：厉行节约，</w:t>
      </w:r>
      <w:r>
        <w:rPr>
          <w:rFonts w:hint="eastAsia" w:ascii="仿宋_GB2312" w:eastAsia="仿宋_GB2312"/>
          <w:color w:val="auto"/>
          <w:sz w:val="32"/>
          <w:szCs w:val="32"/>
          <w:highlight w:val="none"/>
          <w:lang w:val="en-US" w:eastAsia="zh-CN"/>
        </w:rPr>
        <w:t>业务招待费本年比上年减少</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w:t>
      </w:r>
      <w:r>
        <w:rPr>
          <w:rFonts w:hint="eastAsia" w:ascii="仿宋_GB2312" w:hAnsi="仿宋_GB2312" w:eastAsia="仿宋_GB2312" w:cs="仿宋_GB2312"/>
          <w:bCs/>
          <w:color w:val="auto"/>
          <w:kern w:val="0"/>
          <w:sz w:val="32"/>
          <w:szCs w:val="32"/>
          <w:highlight w:val="none"/>
          <w:lang w:val="zh-CN" w:eastAsia="zh-CN"/>
        </w:rPr>
        <w:t>开支内容包括</w:t>
      </w:r>
      <w:r>
        <w:rPr>
          <w:rFonts w:hint="eastAsia" w:ascii="仿宋_GB2312" w:hAnsi="仿宋_GB2312" w:eastAsia="仿宋_GB2312" w:cs="仿宋_GB2312"/>
          <w:bCs/>
          <w:color w:val="auto"/>
          <w:kern w:val="0"/>
          <w:sz w:val="32"/>
          <w:szCs w:val="32"/>
          <w:highlight w:val="none"/>
          <w:lang w:val="en-US" w:eastAsia="zh-CN"/>
        </w:rPr>
        <w:t>我单位无</w:t>
      </w:r>
      <w:r>
        <w:rPr>
          <w:rFonts w:hint="eastAsia" w:ascii="仿宋_GB2312" w:hAnsi="仿宋_GB2312" w:eastAsia="仿宋_GB2312" w:cs="仿宋_GB2312"/>
          <w:bCs/>
          <w:color w:val="auto"/>
          <w:kern w:val="0"/>
          <w:sz w:val="32"/>
          <w:szCs w:val="32"/>
          <w:highlight w:val="none"/>
          <w:lang w:val="zh-CN" w:eastAsia="zh-CN"/>
        </w:rPr>
        <w:t>因公出</w:t>
      </w:r>
      <w:r>
        <w:rPr>
          <w:rFonts w:hint="eastAsia" w:ascii="仿宋_GB2312" w:eastAsia="仿宋_GB2312"/>
          <w:color w:val="auto"/>
          <w:sz w:val="32"/>
          <w:szCs w:val="32"/>
          <w:highlight w:val="none"/>
          <w:lang w:val="zh-CN" w:eastAsia="zh-CN"/>
        </w:rPr>
        <w:t>国（境）费单位全年安排的因公出国（境）团组0个，因公出国（境）0人次。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公务用车购置及运行维护费3.87万元，其中：公务用车购置费0.00万元，公务用车运行维护费3.87万元。公务用车运行维护费开支内容包括</w:t>
      </w:r>
      <w:r>
        <w:rPr>
          <w:rFonts w:hint="eastAsia" w:ascii="仿宋_GB2312" w:eastAsia="仿宋_GB2312"/>
          <w:color w:val="auto"/>
          <w:sz w:val="32"/>
          <w:szCs w:val="32"/>
          <w:highlight w:val="none"/>
          <w:lang w:val="en-US" w:eastAsia="zh-CN"/>
        </w:rPr>
        <w:t>车辆维修及加油</w:t>
      </w:r>
      <w:r>
        <w:rPr>
          <w:rFonts w:hint="eastAsia" w:ascii="仿宋_GB2312" w:eastAsia="仿宋_GB2312"/>
          <w:color w:val="auto"/>
          <w:sz w:val="32"/>
          <w:szCs w:val="32"/>
          <w:highlight w:val="none"/>
          <w:lang w:val="zh-CN" w:eastAsia="zh-CN"/>
        </w:rPr>
        <w:t>。公务用车购置数0辆，公务用车保有量2辆。国有资产占用情况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13辆，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sz w:val="32"/>
          <w:szCs w:val="32"/>
          <w:lang w:val="zh-CN"/>
        </w:rPr>
        <w:t>我单位固定资产车辆均为自有资金购买</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公务接待费0.47万元，开支内容包括业务接待</w:t>
      </w:r>
      <w:r>
        <w:rPr>
          <w:rFonts w:hint="eastAsia" w:ascii="仿宋_GB2312" w:eastAsia="仿宋_GB2312"/>
          <w:color w:val="auto"/>
          <w:sz w:val="32"/>
          <w:szCs w:val="32"/>
          <w:highlight w:val="none"/>
          <w:lang w:val="en-US" w:eastAsia="zh-CN"/>
        </w:rPr>
        <w:t>就餐</w:t>
      </w:r>
      <w:r>
        <w:rPr>
          <w:rFonts w:hint="eastAsia" w:ascii="仿宋_GB2312" w:eastAsia="仿宋_GB2312"/>
          <w:color w:val="auto"/>
          <w:sz w:val="32"/>
          <w:szCs w:val="32"/>
          <w:highlight w:val="none"/>
          <w:lang w:val="zh-CN" w:eastAsia="zh-CN"/>
        </w:rPr>
        <w:t>。单位全年安排的国内公务接待2批次，60人次。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预算数4.38万元，决算数4.34万元，预决算差异率-0.91%，主要原因是：厉行节约</w:t>
      </w:r>
      <w:r>
        <w:rPr>
          <w:rFonts w:hint="eastAsia" w:ascii="仿宋_GB2312" w:eastAsia="仿宋_GB2312"/>
          <w:color w:val="auto"/>
          <w:sz w:val="32"/>
          <w:szCs w:val="32"/>
          <w:highlight w:val="none"/>
          <w:lang w:val="en-US" w:eastAsia="zh-CN"/>
        </w:rPr>
        <w:t>，业务招待费决算比预算减少</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val="en-US" w:eastAsia="zh-CN"/>
        </w:rPr>
        <w:t>无</w:t>
      </w:r>
      <w:r>
        <w:rPr>
          <w:rFonts w:hint="eastAsia" w:ascii="仿宋_GB2312" w:eastAsia="仿宋_GB2312"/>
          <w:color w:val="auto"/>
          <w:sz w:val="32"/>
          <w:szCs w:val="32"/>
          <w:highlight w:val="none"/>
          <w:lang w:val="zh-CN" w:eastAsia="zh-CN"/>
        </w:rPr>
        <w:t>因公出国（境）费；公务用车购置费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无</w:t>
      </w:r>
      <w:r>
        <w:rPr>
          <w:rFonts w:hint="eastAsia" w:ascii="仿宋_GB2312" w:eastAsia="仿宋_GB2312"/>
          <w:color w:val="auto"/>
          <w:sz w:val="32"/>
          <w:szCs w:val="32"/>
          <w:highlight w:val="none"/>
          <w:lang w:val="zh-CN" w:eastAsia="zh-CN"/>
        </w:rPr>
        <w:t>公务用车购置费；公务用车运行费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预算数3.87万元，决算数3.87万元，预决算差异率0.00%，主要原因是：</w:t>
      </w:r>
      <w:r>
        <w:rPr>
          <w:rFonts w:hint="eastAsia" w:ascii="仿宋_GB2312" w:eastAsia="仿宋_GB2312"/>
          <w:color w:val="auto"/>
          <w:sz w:val="32"/>
          <w:szCs w:val="32"/>
          <w:highlight w:val="none"/>
          <w:lang w:val="en-US" w:eastAsia="zh-CN"/>
        </w:rPr>
        <w:t>加强预算管理，压缩经费，本年未增加公务用车运行费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预算数0.51万元，决算数0.47万元，预决算差异率-7.84%，主要原因是：厉行节约，</w:t>
      </w:r>
      <w:bookmarkStart w:id="48" w:name="_GoBack"/>
      <w:bookmarkEnd w:id="48"/>
      <w:r>
        <w:rPr>
          <w:rFonts w:hint="eastAsia" w:ascii="仿宋_GB2312" w:eastAsia="仿宋_GB2312"/>
          <w:color w:val="auto"/>
          <w:sz w:val="32"/>
          <w:szCs w:val="32"/>
          <w:highlight w:val="none"/>
          <w:lang w:val="en-US" w:eastAsia="zh-CN"/>
        </w:rPr>
        <w:t>业务招待费决算比预算减少</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zh-CN" w:eastAsia="zh-CN"/>
        </w:rPr>
      </w:pPr>
      <w:bookmarkStart w:id="24" w:name="_Toc26704"/>
      <w:bookmarkStart w:id="25" w:name="_Toc227"/>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新疆玛纳斯河流域管理局机关运行经费支出0.00万元，</w:t>
      </w:r>
      <w:r>
        <w:rPr>
          <w:rFonts w:hint="eastAsia" w:ascii="仿宋_GB2312" w:hAnsi="仿宋_GB2312" w:eastAsia="仿宋_GB2312" w:cs="仿宋_GB2312"/>
          <w:color w:val="auto"/>
          <w:sz w:val="32"/>
          <w:szCs w:val="32"/>
          <w:highlight w:val="none"/>
          <w:lang w:val="zh-CN" w:eastAsia="zh-CN"/>
        </w:rPr>
        <w:t>比上年增加0.00万元，增长0.00%，主要原因是：</w:t>
      </w:r>
      <w:r>
        <w:rPr>
          <w:rFonts w:hint="eastAsia" w:ascii="仿宋_GB2312" w:hAnsi="仿宋_GB2312" w:eastAsia="仿宋_GB2312" w:cs="仿宋_GB2312"/>
          <w:color w:val="auto"/>
          <w:sz w:val="32"/>
          <w:szCs w:val="32"/>
          <w:highlight w:val="none"/>
          <w:lang w:val="en-US" w:eastAsia="zh-CN"/>
        </w:rPr>
        <w:t>无机关运行经费</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新疆玛纳斯河流域管理局公用经费31.88万元，</w:t>
      </w:r>
      <w:r>
        <w:rPr>
          <w:rFonts w:hint="eastAsia" w:ascii="仿宋_GB2312" w:hAnsi="仿宋_GB2312" w:eastAsia="仿宋_GB2312" w:cs="仿宋_GB2312"/>
          <w:color w:val="auto"/>
          <w:sz w:val="32"/>
          <w:szCs w:val="32"/>
          <w:highlight w:val="none"/>
          <w:lang w:val="zh-CN" w:eastAsia="zh-CN"/>
        </w:rPr>
        <w:t>比上年减少</w:t>
      </w:r>
      <w:r>
        <w:rPr>
          <w:rFonts w:hint="eastAsia" w:ascii="仿宋_GB2312" w:hAnsi="仿宋_GB2312" w:eastAsia="仿宋_GB2312" w:cs="仿宋_GB2312"/>
          <w:color w:val="auto"/>
          <w:sz w:val="32"/>
          <w:szCs w:val="32"/>
          <w:highlight w:val="none"/>
          <w:lang w:val="en-US" w:eastAsia="zh-CN"/>
        </w:rPr>
        <w:t>8.45万元，</w:t>
      </w:r>
      <w:r>
        <w:rPr>
          <w:rFonts w:hint="eastAsia" w:ascii="仿宋_GB2312" w:hAnsi="仿宋_GB2312" w:eastAsia="仿宋_GB2312" w:cs="仿宋_GB2312"/>
          <w:color w:val="auto"/>
          <w:sz w:val="32"/>
          <w:szCs w:val="32"/>
          <w:highlight w:val="none"/>
          <w:lang w:val="zh-CN" w:eastAsia="zh-CN"/>
        </w:rPr>
        <w:t>下降20.95%，主要原因是：</w:t>
      </w:r>
      <w:r>
        <w:rPr>
          <w:rFonts w:hint="eastAsia" w:ascii="仿宋_GB2312" w:eastAsia="仿宋_GB2312"/>
          <w:color w:val="auto"/>
          <w:sz w:val="32"/>
          <w:szCs w:val="32"/>
          <w:highlight w:val="none"/>
          <w:lang w:val="en-US" w:eastAsia="zh-CN"/>
        </w:rPr>
        <w:t>加强预算管理，压缩公用经费</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870.03万元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其中：政府采购货物支出59.90万元、政府采购工程支出158.89万元、政府采购服务支出651.24万元。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授予中小企业合同金额867.85万元，占政府采购支出总额的99.75%，其中：授予小微企业合同金额676.30万元，占政府采购支出总额的77.73%</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6" w:name="_Toc4591"/>
      <w:bookmarkStart w:id="27" w:name="_Toc8391"/>
      <w:r>
        <w:rPr>
          <w:rFonts w:hint="eastAsia" w:ascii="仿宋_GB2312" w:hAnsi="仿宋_GB2312" w:eastAsia="仿宋_GB2312" w:cs="仿宋_GB2312"/>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36,943.69</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屋33,946.28平方米，价值6,862.71万元。车辆13辆，价值319.41万元，其中：副部（省）级及以上领导用车0辆、主要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用车0辆、机要通信用车0辆、应急保障用车1辆、执法执勤用车3辆、特种专业技术用车0辆、离退休干部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用车0辆、其他用车9辆，其他用车主要是：</w:t>
      </w:r>
      <w:r>
        <w:rPr>
          <w:rFonts w:hint="eastAsia" w:eastAsia="仿宋_GB2312"/>
          <w:sz w:val="32"/>
          <w:szCs w:val="32"/>
          <w:lang w:val="zh-CN"/>
        </w:rPr>
        <w:t>保障单位正常运转用车</w:t>
      </w:r>
      <w:r>
        <w:rPr>
          <w:rFonts w:hint="eastAsia" w:ascii="仿宋_GB2312" w:hAnsi="仿宋_GB2312" w:eastAsia="仿宋_GB2312" w:cs="仿宋_GB2312"/>
          <w:color w:val="auto"/>
          <w:sz w:val="32"/>
          <w:szCs w:val="32"/>
          <w:highlight w:val="none"/>
          <w:lang w:val="zh-CN" w:eastAsia="zh-CN"/>
        </w:rPr>
        <w:t>；单价100万元（含）以上设备（不含车辆）5</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ind w:firstLine="640" w:firstLineChars="200"/>
        <w:jc w:val="left"/>
        <w:rPr>
          <w:rFonts w:ascii="仿宋_GB2312" w:hAnsi="仿宋" w:eastAsia="仿宋_GB2312"/>
          <w:sz w:val="32"/>
          <w:szCs w:val="32"/>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全年预算数1131.9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全年执行数1131.9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w:t>
      </w:r>
      <w:r>
        <w:rPr>
          <w:rFonts w:hint="eastAsia" w:ascii="仿宋_GB2312" w:hAnsi="___WRD_EMBED_SUB_38" w:eastAsia="仿宋_GB2312" w:cs="___WRD_EMBED_SUB_38"/>
          <w:bCs/>
          <w:sz w:val="32"/>
          <w:szCs w:val="32"/>
          <w:lang w:bidi="ar"/>
        </w:rPr>
        <w:t>预算</w:t>
      </w:r>
      <w:r>
        <w:rPr>
          <w:rFonts w:hint="eastAsia" w:ascii="仿宋_GB2312" w:hAnsi="宋体" w:eastAsia="仿宋_GB2312" w:cs="宋体"/>
          <w:bCs/>
          <w:sz w:val="32"/>
          <w:szCs w:val="32"/>
          <w:lang w:bidi="ar"/>
        </w:rPr>
        <w:t>执</w:t>
      </w:r>
      <w:r>
        <w:rPr>
          <w:rFonts w:hint="eastAsia" w:ascii="仿宋_GB2312" w:hAnsi="___WRD_EMBED_SUB_38" w:eastAsia="仿宋_GB2312" w:cs="___WRD_EMBED_SUB_38"/>
          <w:bCs/>
          <w:sz w:val="32"/>
          <w:szCs w:val="32"/>
          <w:lang w:bidi="ar"/>
        </w:rPr>
        <w:t>行方</w:t>
      </w:r>
      <w:r>
        <w:rPr>
          <w:rFonts w:hint="eastAsia" w:ascii="仿宋_GB2312" w:hAnsi="宋体" w:eastAsia="仿宋_GB2312" w:cs="宋体"/>
          <w:bCs/>
          <w:sz w:val="32"/>
          <w:szCs w:val="32"/>
          <w:lang w:bidi="ar"/>
        </w:rPr>
        <w:t>面</w:t>
      </w:r>
      <w:r>
        <w:rPr>
          <w:rFonts w:hint="eastAsia" w:ascii="仿宋_GB2312" w:hAnsi="___WRD_EMBED_SUB_38" w:eastAsia="仿宋_GB2312" w:cs="___WRD_EMBED_SUB_38"/>
          <w:bCs/>
          <w:sz w:val="32"/>
          <w:szCs w:val="32"/>
          <w:lang w:bidi="ar"/>
        </w:rPr>
        <w:t>，支出</w:t>
      </w:r>
      <w:r>
        <w:rPr>
          <w:rFonts w:hint="eastAsia" w:ascii="仿宋_GB2312" w:hAnsi="宋体" w:eastAsia="仿宋_GB2312" w:cs="宋体"/>
          <w:bCs/>
          <w:sz w:val="32"/>
          <w:szCs w:val="32"/>
          <w:lang w:bidi="ar"/>
        </w:rPr>
        <w:t>总</w:t>
      </w:r>
      <w:r>
        <w:rPr>
          <w:rFonts w:hint="eastAsia" w:ascii="仿宋_GB2312" w:hAnsi="___WRD_EMBED_SUB_38" w:eastAsia="仿宋_GB2312" w:cs="___WRD_EMBED_SUB_38"/>
          <w:bCs/>
          <w:sz w:val="32"/>
          <w:szCs w:val="32"/>
          <w:lang w:bidi="ar"/>
        </w:rPr>
        <w:t>额</w:t>
      </w:r>
      <w:r>
        <w:rPr>
          <w:rFonts w:hint="eastAsia" w:ascii="仿宋_GB2312" w:hAnsi="宋体" w:eastAsia="仿宋_GB2312" w:cs="宋体"/>
          <w:bCs/>
          <w:sz w:val="32"/>
          <w:szCs w:val="32"/>
          <w:lang w:bidi="ar"/>
        </w:rPr>
        <w:t>控制在</w:t>
      </w:r>
      <w:r>
        <w:rPr>
          <w:rFonts w:hint="eastAsia" w:ascii="仿宋_GB2312" w:hAnsi="___WRD_EMBED_SUB_38" w:eastAsia="仿宋_GB2312" w:cs="___WRD_EMBED_SUB_38"/>
          <w:bCs/>
          <w:sz w:val="32"/>
          <w:szCs w:val="32"/>
          <w:lang w:bidi="ar"/>
        </w:rPr>
        <w:t>预算</w:t>
      </w:r>
      <w:r>
        <w:rPr>
          <w:rFonts w:hint="eastAsia" w:ascii="仿宋_GB2312" w:hAnsi="宋体" w:eastAsia="仿宋_GB2312" w:cs="宋体"/>
          <w:bCs/>
          <w:sz w:val="32"/>
          <w:szCs w:val="32"/>
          <w:lang w:bidi="ar"/>
        </w:rPr>
        <w:t>总</w:t>
      </w:r>
      <w:r>
        <w:rPr>
          <w:rFonts w:hint="eastAsia" w:ascii="仿宋_GB2312" w:hAnsi="___WRD_EMBED_SUB_38" w:eastAsia="仿宋_GB2312" w:cs="___WRD_EMBED_SUB_38"/>
          <w:bCs/>
          <w:sz w:val="32"/>
          <w:szCs w:val="32"/>
          <w:lang w:bidi="ar"/>
        </w:rPr>
        <w:t>额</w:t>
      </w:r>
      <w:r>
        <w:rPr>
          <w:rFonts w:hint="eastAsia" w:ascii="仿宋_GB2312" w:hAnsi="宋体" w:eastAsia="仿宋_GB2312" w:cs="宋体"/>
          <w:bCs/>
          <w:sz w:val="32"/>
          <w:szCs w:val="32"/>
          <w:lang w:bidi="ar"/>
        </w:rPr>
        <w:t>以内</w:t>
      </w:r>
      <w:r>
        <w:rPr>
          <w:rFonts w:hint="eastAsia" w:ascii="仿宋_GB2312" w:eastAsia="仿宋_GB2312"/>
          <w:color w:val="auto"/>
          <w:sz w:val="32"/>
          <w:szCs w:val="32"/>
          <w:highlight w:val="none"/>
          <w:lang w:eastAsia="zh-CN"/>
        </w:rPr>
        <w:t>；二是</w:t>
      </w:r>
      <w:r>
        <w:rPr>
          <w:rFonts w:hint="eastAsia" w:ascii="仿宋_GB2312" w:hAnsi="___WRD_EMBED_SUB_38" w:eastAsia="仿宋_GB2312" w:cs="___WRD_EMBED_SUB_38"/>
          <w:bCs/>
          <w:sz w:val="32"/>
          <w:szCs w:val="32"/>
          <w:lang w:bidi="ar"/>
        </w:rPr>
        <w:t>预算管理方</w:t>
      </w:r>
      <w:r>
        <w:rPr>
          <w:rFonts w:hint="eastAsia" w:ascii="仿宋_GB2312" w:hAnsi="宋体" w:eastAsia="仿宋_GB2312" w:cs="宋体"/>
          <w:bCs/>
          <w:sz w:val="32"/>
          <w:szCs w:val="32"/>
          <w:lang w:bidi="ar"/>
        </w:rPr>
        <w:t>面</w:t>
      </w:r>
      <w:r>
        <w:rPr>
          <w:rFonts w:hint="eastAsia" w:ascii="仿宋_GB2312" w:hAnsi="___WRD_EMBED_SUB_38" w:eastAsia="仿宋_GB2312" w:cs="___WRD_EMBED_SUB_38"/>
          <w:bCs/>
          <w:sz w:val="32"/>
          <w:szCs w:val="32"/>
          <w:lang w:bidi="ar"/>
        </w:rPr>
        <w:t>，</w:t>
      </w:r>
      <w:r>
        <w:rPr>
          <w:rFonts w:hint="eastAsia" w:ascii="仿宋_GB2312" w:hAnsi="宋体" w:eastAsia="仿宋_GB2312" w:cs="宋体"/>
          <w:bCs/>
          <w:sz w:val="32"/>
          <w:szCs w:val="32"/>
          <w:lang w:bidi="ar"/>
        </w:rPr>
        <w:t>制</w:t>
      </w:r>
      <w:r>
        <w:rPr>
          <w:rFonts w:hint="eastAsia" w:ascii="仿宋_GB2312" w:hAnsi="___WRD_EMBED_SUB_38" w:eastAsia="仿宋_GB2312" w:cs="___WRD_EMBED_SUB_38"/>
          <w:bCs/>
          <w:sz w:val="32"/>
          <w:szCs w:val="32"/>
          <w:lang w:bidi="ar"/>
        </w:rPr>
        <w:t>度</w:t>
      </w:r>
      <w:r>
        <w:rPr>
          <w:rFonts w:hint="eastAsia" w:ascii="仿宋_GB2312" w:hAnsi="宋体" w:eastAsia="仿宋_GB2312" w:cs="宋体"/>
          <w:bCs/>
          <w:sz w:val="32"/>
          <w:szCs w:val="32"/>
          <w:lang w:bidi="ar"/>
        </w:rPr>
        <w:t>执</w:t>
      </w:r>
      <w:r>
        <w:rPr>
          <w:rFonts w:hint="eastAsia" w:ascii="仿宋_GB2312" w:hAnsi="___WRD_EMBED_SUB_38" w:eastAsia="仿宋_GB2312" w:cs="___WRD_EMBED_SUB_38"/>
          <w:bCs/>
          <w:sz w:val="32"/>
          <w:szCs w:val="32"/>
          <w:lang w:bidi="ar"/>
        </w:rPr>
        <w:t>行</w:t>
      </w:r>
      <w:r>
        <w:rPr>
          <w:rFonts w:hint="eastAsia" w:ascii="仿宋_GB2312" w:hAnsi="宋体" w:eastAsia="仿宋_GB2312" w:cs="宋体"/>
          <w:bCs/>
          <w:sz w:val="32"/>
          <w:szCs w:val="32"/>
          <w:lang w:bidi="ar"/>
        </w:rPr>
        <w:t>总体较为</w:t>
      </w:r>
      <w:r>
        <w:rPr>
          <w:rFonts w:hint="eastAsia" w:ascii="仿宋_GB2312" w:hAnsi="___WRD_EMBED_SUB_38" w:eastAsia="仿宋_GB2312" w:cs="___WRD_EMBED_SUB_38"/>
          <w:bCs/>
          <w:sz w:val="32"/>
          <w:szCs w:val="32"/>
          <w:lang w:bidi="ar"/>
        </w:rPr>
        <w:t>有效</w:t>
      </w:r>
      <w:r>
        <w:rPr>
          <w:rFonts w:hint="eastAsia" w:ascii="仿宋_GB2312" w:eastAsia="仿宋_GB2312"/>
          <w:color w:val="auto"/>
          <w:sz w:val="32"/>
          <w:szCs w:val="32"/>
          <w:highlight w:val="none"/>
          <w:lang w:eastAsia="zh-CN"/>
        </w:rPr>
        <w:t>。发现的问题及原因：是</w:t>
      </w:r>
      <w:r>
        <w:rPr>
          <w:rFonts w:hint="eastAsia" w:ascii="仿宋_GB2312" w:hAnsi="仿宋" w:eastAsia="仿宋_GB2312"/>
          <w:sz w:val="32"/>
          <w:szCs w:val="32"/>
        </w:rPr>
        <w:t>绩效监控工作组织管理中存在的问题主要有对项目绩效目标的设定和各项指标的理解、认识不到位，导致目标不够明确、不够细化、缺乏可衡量性</w:t>
      </w:r>
      <w:r>
        <w:rPr>
          <w:rFonts w:hint="eastAsia" w:ascii="仿宋_GB2312" w:eastAsia="仿宋_GB2312"/>
          <w:color w:val="auto"/>
          <w:sz w:val="32"/>
          <w:szCs w:val="32"/>
          <w:highlight w:val="none"/>
          <w:lang w:eastAsia="zh-CN"/>
        </w:rPr>
        <w:t>。下一步改进措施：</w:t>
      </w:r>
      <w:r>
        <w:rPr>
          <w:rFonts w:hint="eastAsia" w:ascii="仿宋_GB2312" w:hAnsi="仿宋" w:eastAsia="仿宋_GB2312"/>
          <w:sz w:val="32"/>
          <w:szCs w:val="32"/>
        </w:rPr>
        <w:t>加强预算管理，提高资金使用效益，确保预算编制的科学性、合理性和可控性。加快资金支付力度，项目负责人加快项目实施进度的推进，加强项目开展进度的跟踪，更加科学地设立绩效目标并开展项目绩效评价，确保项目绩效目标的完成，发挥资金的使用效益，提高预算完成率。</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sz w:val="32"/>
          <w:szCs w:val="32"/>
        </w:rPr>
        <w:t>具体项目自评情况附绩效自评表。</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本部门无其他需说明事项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decorative"/>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___WRD_EMBED_SUB_38">
    <w:altName w:val="宋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213C59"/>
    <w:rsid w:val="003210CE"/>
    <w:rsid w:val="00B70D59"/>
    <w:rsid w:val="00F52A8D"/>
    <w:rsid w:val="019404F8"/>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4F3AA9"/>
    <w:rsid w:val="06792773"/>
    <w:rsid w:val="06FD75CA"/>
    <w:rsid w:val="07093795"/>
    <w:rsid w:val="073007EC"/>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EC084E"/>
    <w:rsid w:val="12F7068C"/>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8EB6D72"/>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3F37CF"/>
    <w:rsid w:val="1FA15E62"/>
    <w:rsid w:val="1FED69B6"/>
    <w:rsid w:val="2064678E"/>
    <w:rsid w:val="20D315E9"/>
    <w:rsid w:val="20DC1AB9"/>
    <w:rsid w:val="20DD6197"/>
    <w:rsid w:val="212631E0"/>
    <w:rsid w:val="2138666F"/>
    <w:rsid w:val="21742080"/>
    <w:rsid w:val="21A53757"/>
    <w:rsid w:val="21F879E1"/>
    <w:rsid w:val="221236C6"/>
    <w:rsid w:val="22D7662C"/>
    <w:rsid w:val="23326B7F"/>
    <w:rsid w:val="2380045B"/>
    <w:rsid w:val="23BC04D2"/>
    <w:rsid w:val="23EF1892"/>
    <w:rsid w:val="2483647E"/>
    <w:rsid w:val="24A32D55"/>
    <w:rsid w:val="24CE6D9A"/>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140F44"/>
    <w:rsid w:val="282459E2"/>
    <w:rsid w:val="283A7FE5"/>
    <w:rsid w:val="285F51FF"/>
    <w:rsid w:val="28DA4193"/>
    <w:rsid w:val="28DF2665"/>
    <w:rsid w:val="29072599"/>
    <w:rsid w:val="291029F3"/>
    <w:rsid w:val="29CB58F0"/>
    <w:rsid w:val="2A053397"/>
    <w:rsid w:val="2A145E96"/>
    <w:rsid w:val="2A2131BB"/>
    <w:rsid w:val="2AF5378F"/>
    <w:rsid w:val="2BB94DBF"/>
    <w:rsid w:val="2BF37410"/>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3F6D82"/>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2C4FCD"/>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6061BDC"/>
    <w:rsid w:val="461404F8"/>
    <w:rsid w:val="462D6EA7"/>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D9515B"/>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AE735E"/>
    <w:rsid w:val="53D03877"/>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9C2A82"/>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C6609"/>
    <w:rsid w:val="5B113480"/>
    <w:rsid w:val="5BD456CE"/>
    <w:rsid w:val="5BDE5238"/>
    <w:rsid w:val="5C0D1F49"/>
    <w:rsid w:val="5C7675E8"/>
    <w:rsid w:val="5CBB0CE2"/>
    <w:rsid w:val="5CC17177"/>
    <w:rsid w:val="5CF306BC"/>
    <w:rsid w:val="5D3F3D64"/>
    <w:rsid w:val="5D833043"/>
    <w:rsid w:val="5DD92690"/>
    <w:rsid w:val="5DDB1CFD"/>
    <w:rsid w:val="5E7E6D93"/>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54705"/>
    <w:rsid w:val="6C4A2E5A"/>
    <w:rsid w:val="6C8138D0"/>
    <w:rsid w:val="6CEF0725"/>
    <w:rsid w:val="6D4B2604"/>
    <w:rsid w:val="6D8030E4"/>
    <w:rsid w:val="6E0E35C4"/>
    <w:rsid w:val="6E0F7A08"/>
    <w:rsid w:val="6E3947F5"/>
    <w:rsid w:val="6E6733A0"/>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B607FE"/>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6621</Words>
  <Characters>22343</Characters>
  <Lines>0</Lines>
  <Paragraphs>0</Paragraphs>
  <TotalTime>6</TotalTime>
  <ScaleCrop>false</ScaleCrop>
  <LinksUpToDate>false</LinksUpToDate>
  <CharactersWithSpaces>22618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2024-09-11T13:46:03Z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