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新疆玛纳斯河流域管理局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 w:eastAsia="仿宋_GB2312"/>
          <w:sz w:val="32"/>
          <w:szCs w:val="32"/>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疆玛纳斯河流域，位于石河子市与玛纳斯县之间的交接处，是承担石河子市、玛纳斯县、沙湾县，和克拉玛依的小拐乡，以及新疆生产建设兵团农八师、农六师的十九个大型农牧团场的农业用水，承担新疆最大的玛纳斯火力发电厂和最大的红山嘴梯级水力发电厂的发电用水。灌区内人口86.28万人，有效灌溉面积315万亩，是自治区重要的商品粮棉和轻工业基地。玛纳斯河流域，始建于上世纪五十年代，玛纳斯河流域管理局是新疆维吾尔自治区水利厅直属的玛斯河流域管理机构，肩负着玛纳斯河流域内灌区单位的供水工作,同时，单位承担着水利事业的公益性责任，协调兵团地方的供水矛盾,调配流域内水资源,承担水资源保护、水法宣传、行使水行政执法权；水利设施管理、维护；防洪抢险，河道清障、水土保持及水环境管理等行政职能。</w:t>
      </w:r>
      <w:bookmarkStart w:id="4" w:name="_Toc31238"/>
      <w:bookmarkStart w:id="5" w:name="_Toc2151"/>
    </w:p>
    <w:p>
      <w:pPr>
        <w:spacing w:line="560" w:lineRule="exact"/>
        <w:ind w:firstLine="640" w:firstLineChars="200"/>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新疆玛纳斯河流域管理局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21</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lang w:val="en-US" w:eastAsia="zh-CN"/>
        </w:rPr>
        <w:t xml:space="preserve">  </w:t>
      </w:r>
      <w:r>
        <w:rPr>
          <w:rFonts w:hint="eastAsia" w:ascii="仿宋_GB2312" w:eastAsia="仿宋_GB2312"/>
          <w:color w:val="auto"/>
          <w:sz w:val="32"/>
          <w:szCs w:val="32"/>
          <w:highlight w:val="none"/>
          <w:lang w:val="en-US" w:eastAsia="zh-CN"/>
        </w:rPr>
        <w:t xml:space="preserve">  单位无下属预算单位，下设7个科室，分别是办公室、组织人事处、计划财务处（会计核算中心）、水政水资源处（水政监察分队）、水利管理处（安监处、防洪办）、纪检监察室、工会（离退休工作办公室）。</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833.98万元，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831.93万元，使用非财政拨款结余0.00万元，年初结转和结余2.05万元。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833.98万元，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833.98万元，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增加255.32万元</w:t>
      </w:r>
      <w:r>
        <w:rPr>
          <w:rFonts w:hint="eastAsia" w:ascii="仿宋_GB2312" w:eastAsia="仿宋_GB2312"/>
          <w:color w:val="auto"/>
          <w:spacing w:val="0"/>
          <w:sz w:val="32"/>
          <w:szCs w:val="32"/>
          <w:highlight w:val="none"/>
          <w:lang w:eastAsia="zh-CN"/>
        </w:rPr>
        <w:t>，增长44.12%，主要原因是：</w:t>
      </w:r>
      <w:r>
        <w:rPr>
          <w:rFonts w:hint="eastAsia" w:ascii="仿宋_GB2312" w:hAnsi="Calibri" w:eastAsia="仿宋_GB2312"/>
          <w:sz w:val="32"/>
          <w:szCs w:val="32"/>
        </w:rPr>
        <w:t>调增基本工资</w:t>
      </w:r>
      <w:r>
        <w:rPr>
          <w:rFonts w:hint="eastAsia" w:ascii="仿宋_GB2312" w:hAnsi="Calibri" w:eastAsia="仿宋_GB2312"/>
          <w:sz w:val="32"/>
          <w:szCs w:val="32"/>
          <w:lang w:val="en-US" w:eastAsia="zh-CN"/>
        </w:rPr>
        <w:t>和新增在职人员</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831.93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831.91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本年支出833.98万元，其中：基本支出553.98万元，占66.43%；项目支出280.00万元，占33.57%；上缴上级支出0.00万元，占0.00%；经营支出0.00万元，占0.00%；对附属单位补助支出0.00万元，占0.00%。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833.95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2.05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831.91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833.95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833.95</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增加255.32万元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增长44.12%,</w:t>
      </w:r>
      <w:r>
        <w:rPr>
          <w:rFonts w:hint="eastAsia" w:ascii="仿宋_GB2312" w:eastAsia="仿宋_GB2312"/>
          <w:color w:val="auto"/>
          <w:spacing w:val="0"/>
          <w:sz w:val="32"/>
          <w:szCs w:val="32"/>
          <w:highlight w:val="none"/>
          <w:lang w:eastAsia="zh-CN"/>
        </w:rPr>
        <w:t>主要原因是：</w:t>
      </w:r>
      <w:r>
        <w:rPr>
          <w:rFonts w:hint="eastAsia" w:ascii="仿宋_GB2312" w:hAnsi="Calibri" w:eastAsia="仿宋_GB2312"/>
          <w:sz w:val="32"/>
          <w:szCs w:val="32"/>
        </w:rPr>
        <w:t>调增基本工资</w:t>
      </w:r>
      <w:r>
        <w:rPr>
          <w:rFonts w:hint="eastAsia" w:ascii="仿宋_GB2312" w:hAnsi="Calibri" w:eastAsia="仿宋_GB2312"/>
          <w:sz w:val="32"/>
          <w:szCs w:val="32"/>
          <w:lang w:val="en-US" w:eastAsia="zh-CN"/>
        </w:rPr>
        <w:t>和新增在职人员，追加自治区水利发展资金专项项目资金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531.16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833.95</w:t>
      </w:r>
      <w:r>
        <w:rPr>
          <w:rFonts w:hint="eastAsia" w:ascii="仿宋_GB2312" w:eastAsia="仿宋_GB2312"/>
          <w:color w:val="auto"/>
          <w:spacing w:val="0"/>
          <w:sz w:val="32"/>
          <w:szCs w:val="32"/>
          <w:highlight w:val="none"/>
          <w:lang w:eastAsia="zh-CN"/>
        </w:rPr>
        <w:t>万元，预决算差异率57.01%，主要原因是：</w:t>
      </w:r>
      <w:r>
        <w:rPr>
          <w:rFonts w:hint="eastAsia" w:ascii="仿宋_GB2312" w:hAnsi="Calibri" w:eastAsia="仿宋_GB2312"/>
          <w:sz w:val="32"/>
          <w:szCs w:val="32"/>
        </w:rPr>
        <w:t>调增基本工资</w:t>
      </w:r>
      <w:r>
        <w:rPr>
          <w:rFonts w:hint="eastAsia" w:ascii="仿宋_GB2312" w:hAnsi="Calibri" w:eastAsia="仿宋_GB2312"/>
          <w:sz w:val="32"/>
          <w:szCs w:val="32"/>
          <w:lang w:val="en-US" w:eastAsia="zh-CN"/>
        </w:rPr>
        <w:t>和新增在职人员经费公用经费，追加自治区水利发展资金专项项目资金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2023年度一般公共预算财政拨款支出833.95万元，占本年支出合计的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增加257.36万元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增长44.64%,</w:t>
      </w:r>
      <w:r>
        <w:rPr>
          <w:rFonts w:hint="eastAsia" w:ascii="仿宋_GB2312" w:eastAsia="仿宋_GB2312"/>
          <w:color w:val="auto"/>
          <w:spacing w:val="0"/>
          <w:sz w:val="32"/>
          <w:szCs w:val="32"/>
          <w:highlight w:val="none"/>
          <w:lang w:eastAsia="zh-CN"/>
        </w:rPr>
        <w:t>主要原因是：</w:t>
      </w:r>
      <w:r>
        <w:rPr>
          <w:rFonts w:hint="eastAsia" w:ascii="仿宋_GB2312" w:hAnsi="Calibri" w:eastAsia="仿宋_GB2312"/>
          <w:sz w:val="32"/>
          <w:szCs w:val="32"/>
        </w:rPr>
        <w:t>调增基本工资</w:t>
      </w:r>
      <w:r>
        <w:rPr>
          <w:rFonts w:hint="eastAsia" w:ascii="仿宋_GB2312" w:hAnsi="Calibri" w:eastAsia="仿宋_GB2312"/>
          <w:sz w:val="32"/>
          <w:szCs w:val="32"/>
          <w:lang w:val="en-US" w:eastAsia="zh-CN"/>
        </w:rPr>
        <w:t>和新增在职人员经费公用经费，追加自治区水利发展资金专项项目资金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531.16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833.95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57.01%</w:t>
      </w:r>
      <w:r>
        <w:rPr>
          <w:rFonts w:hint="eastAsia" w:ascii="仿宋_GB2312" w:eastAsia="仿宋_GB2312"/>
          <w:color w:val="auto"/>
          <w:spacing w:val="0"/>
          <w:sz w:val="32"/>
          <w:szCs w:val="32"/>
          <w:highlight w:val="none"/>
          <w:lang w:eastAsia="zh-CN"/>
        </w:rPr>
        <w:t>，主要原因是：</w:t>
      </w:r>
      <w:r>
        <w:rPr>
          <w:rFonts w:hint="eastAsia" w:ascii="仿宋_GB2312" w:hAnsi="Calibri" w:eastAsia="仿宋_GB2312"/>
          <w:sz w:val="32"/>
          <w:szCs w:val="32"/>
        </w:rPr>
        <w:t>调增基本工资</w:t>
      </w:r>
      <w:r>
        <w:rPr>
          <w:rFonts w:hint="eastAsia" w:ascii="仿宋_GB2312" w:hAnsi="Calibri" w:eastAsia="仿宋_GB2312"/>
          <w:sz w:val="32"/>
          <w:szCs w:val="32"/>
          <w:lang w:val="en-US" w:eastAsia="zh-CN"/>
        </w:rPr>
        <w:t>和新增在职人员经费公用经费，追加自治区水利发展资金专项项目资金调增基本工资9.4万元，调增艰边贴3.44万元，下达2023年自治区访惠聚工作经费40.02万元，下达2022年度考核奖14.76万元，增加在职离休人员基础绩效奖26.09万元、退休人员基础绩效奖1.55万元，职业年金缴费7.02万元，追加自治区水利发展资金专项（自治区转移支付）项目资金210万元</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80.88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9.70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19.54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2.34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702.26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84.21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31.27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3.75</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1.农林水支出（类）水利（款）水利行业业务管理（项）:支出决算数为422.26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46.03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12.23%，主要原因是：</w:t>
      </w:r>
      <w:r>
        <w:rPr>
          <w:rFonts w:hint="eastAsia" w:ascii="仿宋_GB2312" w:hAnsi="Calibri" w:eastAsia="仿宋_GB2312"/>
          <w:sz w:val="32"/>
          <w:szCs w:val="32"/>
        </w:rPr>
        <w:t>调增基本工资</w:t>
      </w:r>
      <w:r>
        <w:rPr>
          <w:rFonts w:hint="eastAsia" w:ascii="仿宋_GB2312" w:hAnsi="Calibri" w:eastAsia="仿宋_GB2312"/>
          <w:sz w:val="32"/>
          <w:szCs w:val="32"/>
          <w:lang w:val="en-US" w:eastAsia="zh-CN"/>
        </w:rPr>
        <w:t>和新增在职人员经费公用经费，追加自治区水利发展资金专项项目资金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2.卫生健康支出（类）行政事业单位医疗（款）事业单位医疗（项）:支出决算数为19.54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1.47%，主要原因是：</w:t>
      </w:r>
      <w:r>
        <w:rPr>
          <w:rFonts w:hint="eastAsia" w:ascii="仿宋_GB2312" w:hAnsi="Calibri" w:eastAsia="仿宋_GB2312"/>
          <w:sz w:val="32"/>
          <w:szCs w:val="32"/>
        </w:rPr>
        <w:t>调增基本工资</w:t>
      </w:r>
      <w:r>
        <w:rPr>
          <w:rFonts w:hint="eastAsia" w:ascii="仿宋_GB2312" w:hAnsi="Calibri" w:eastAsia="仿宋_GB2312"/>
          <w:sz w:val="32"/>
          <w:szCs w:val="32"/>
          <w:lang w:val="en-US" w:eastAsia="zh-CN"/>
        </w:rPr>
        <w:t>和新增在职人员</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3.住房保障支出（类）住房改革支出（款）住房公积金（项）:支出决算数为31.27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16.57%，主要原因是：</w:t>
      </w:r>
      <w:r>
        <w:rPr>
          <w:rFonts w:hint="eastAsia" w:ascii="仿宋_GB2312" w:hAnsi="Calibri" w:eastAsia="仿宋_GB2312"/>
          <w:sz w:val="32"/>
          <w:szCs w:val="32"/>
        </w:rPr>
        <w:t>调增基本工资</w:t>
      </w:r>
      <w:r>
        <w:rPr>
          <w:rFonts w:hint="eastAsia" w:ascii="仿宋_GB2312" w:hAnsi="Calibri" w:eastAsia="仿宋_GB2312"/>
          <w:sz w:val="32"/>
          <w:szCs w:val="32"/>
          <w:lang w:val="en-US" w:eastAsia="zh-CN"/>
        </w:rPr>
        <w:t>和新增在职人员</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4.农林水支出（类）水利（款）水利技术推广（项）:支出决算数为30.00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追加</w:t>
      </w:r>
      <w:r>
        <w:rPr>
          <w:rFonts w:hint="eastAsia" w:ascii="Times New Roman" w:hAnsi="Times New Roman" w:eastAsia="仿宋_GB2312" w:cs="Times New Roman"/>
          <w:color w:val="auto"/>
          <w:kern w:val="2"/>
          <w:sz w:val="32"/>
          <w:szCs w:val="32"/>
          <w:highlight w:val="none"/>
          <w:lang w:val="en-US" w:eastAsia="zh-CN" w:bidi="ar-SA"/>
        </w:rPr>
        <w:t>自治区水利发展资金专项（自治区转移支付）</w:t>
      </w:r>
      <w:r>
        <w:rPr>
          <w:rFonts w:hint="eastAsia" w:eastAsia="仿宋_GB2312" w:cs="Times New Roman"/>
          <w:color w:val="auto"/>
          <w:kern w:val="2"/>
          <w:sz w:val="32"/>
          <w:szCs w:val="32"/>
          <w:highlight w:val="none"/>
          <w:lang w:val="en-US" w:eastAsia="zh-CN" w:bidi="ar-SA"/>
        </w:rPr>
        <w:t>项目</w:t>
      </w:r>
      <w:r>
        <w:rPr>
          <w:rFonts w:hint="eastAsia" w:ascii="Times New Roman" w:hAnsi="Times New Roman" w:eastAsia="仿宋_GB2312" w:cs="Times New Roman"/>
          <w:color w:val="auto"/>
          <w:kern w:val="2"/>
          <w:sz w:val="32"/>
          <w:szCs w:val="32"/>
          <w:highlight w:val="none"/>
          <w:lang w:val="en-US" w:eastAsia="zh-CN" w:bidi="ar-SA"/>
        </w:rPr>
        <w:t>210万元</w:t>
      </w:r>
      <w:r>
        <w:rPr>
          <w:rFonts w:hint="eastAsia" w:eastAsia="仿宋_GB2312" w:cs="Times New Roman"/>
          <w:color w:val="auto"/>
          <w:kern w:val="2"/>
          <w:sz w:val="32"/>
          <w:szCs w:val="32"/>
          <w:highlight w:val="none"/>
          <w:lang w:val="en-US" w:eastAsia="zh-CN" w:bidi="ar-SA"/>
        </w:rPr>
        <w:t>，其中</w:t>
      </w:r>
      <w:r>
        <w:rPr>
          <w:rFonts w:hint="eastAsia" w:ascii="Times New Roman" w:hAnsi="Times New Roman" w:eastAsia="仿宋_GB2312" w:cs="Times New Roman"/>
          <w:color w:val="auto"/>
          <w:kern w:val="2"/>
          <w:sz w:val="32"/>
          <w:szCs w:val="32"/>
          <w:highlight w:val="none"/>
          <w:lang w:val="zh-CN" w:eastAsia="zh-CN" w:bidi="ar-SA"/>
        </w:rPr>
        <w:t>玛纳斯河流域内已建水电工程生态流量核定与保障先行先试工作方案报告的委托业务费30万元</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5.社会保障和就业支出（类）行政事业单位养老支出（款）事业单位离退休（项）:支出决算数为32.16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4.07%，主要原因是</w:t>
      </w:r>
      <w:r>
        <w:rPr>
          <w:rFonts w:hint="eastAsia" w:eastAsia="仿宋_GB2312" w:cs="Times New Roman"/>
          <w:color w:val="auto"/>
          <w:kern w:val="2"/>
          <w:sz w:val="32"/>
          <w:szCs w:val="32"/>
          <w:highlight w:val="none"/>
          <w:lang w:val="en-US" w:eastAsia="zh-CN" w:bidi="ar-SA"/>
        </w:rPr>
        <w:t>：退休人员工资调整</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6.农林水支出（类）水利（款）水土保持（项）:支出决算数为20.00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：本年无新增水土保持项目。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7.农林水支出（类）水利（款）水资源节约管理与保护（项）:支出决算数为230.00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360.00%，主要原因是：</w:t>
      </w:r>
      <w:r>
        <w:rPr>
          <w:rFonts w:hint="eastAsia" w:eastAsia="仿宋_GB2312" w:cs="Times New Roman"/>
          <w:color w:val="auto"/>
          <w:kern w:val="2"/>
          <w:sz w:val="32"/>
          <w:szCs w:val="32"/>
          <w:highlight w:val="none"/>
          <w:lang w:val="en-US" w:eastAsia="zh-CN" w:bidi="ar-SA"/>
        </w:rPr>
        <w:t>追加</w:t>
      </w:r>
      <w:r>
        <w:rPr>
          <w:rFonts w:hint="eastAsia" w:ascii="Times New Roman" w:hAnsi="Times New Roman" w:eastAsia="仿宋_GB2312" w:cs="Times New Roman"/>
          <w:color w:val="auto"/>
          <w:kern w:val="2"/>
          <w:sz w:val="32"/>
          <w:szCs w:val="32"/>
          <w:highlight w:val="none"/>
          <w:lang w:val="zh-CN" w:eastAsia="zh-CN" w:bidi="ar-SA"/>
        </w:rPr>
        <w:t>自治区水利发展资金专项（自治区转移支付）210万元，用于玛纳斯河骨干渠道防护栏维修维护180万元</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8.社会保障和就业支出（类）行政事业单位养老支出（款）机关事业单位职业年金缴费支出（项）:支出决算数为7.03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2023年开始缴纳职业年金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9.社会保障和就业支出（类）行政事业单位养老支出（款）机关事业单位基本养老保险缴费支出（项）:支出决算数为41.69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16.57%，主要原因是：</w:t>
      </w:r>
      <w:r>
        <w:rPr>
          <w:rFonts w:hint="eastAsia" w:eastAsia="仿宋_GB2312" w:cs="Times New Roman"/>
          <w:color w:val="auto"/>
          <w:kern w:val="2"/>
          <w:sz w:val="32"/>
          <w:szCs w:val="32"/>
          <w:highlight w:val="none"/>
          <w:lang w:val="en-US" w:eastAsia="zh-CN" w:bidi="ar-SA"/>
        </w:rPr>
        <w:t>调增缴纳社保基数</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10.卫生健康支出（类）行政事业单位医疗（款）公务员医疗补助（项）:支出决算数为0.00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14.98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调整公务员医疗补助缴纳途径</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553.95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522.07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w:t>
      </w:r>
      <w:r>
        <w:rPr>
          <w:rFonts w:hint="eastAsia" w:ascii="仿宋_GB2312" w:hAnsi="Times New Roman" w:eastAsia="仿宋_GB2312" w:cs="Times New Roman"/>
          <w:color w:val="auto"/>
          <w:sz w:val="32"/>
          <w:szCs w:val="32"/>
          <w:highlight w:val="none"/>
          <w:lang w:val="en-US" w:eastAsia="zh-CN"/>
        </w:rPr>
        <w:t>公务员医疗补助缴费、其他社会保障缴费、住房公积金、</w:t>
      </w:r>
      <w:r>
        <w:rPr>
          <w:rFonts w:hint="eastAsia" w:ascii="仿宋_GB2312" w:eastAsia="仿宋_GB2312"/>
          <w:color w:val="auto"/>
          <w:sz w:val="32"/>
          <w:szCs w:val="32"/>
          <w:highlight w:val="none"/>
          <w:lang w:val="en-US" w:eastAsia="zh-CN"/>
        </w:rPr>
        <w:t>离休费、退休费、其他对个人和家庭的补助。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31.88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办公费、水费、电费、邮电费、差旅费、公务接待费、工会经费、福利费、公务用车运行维护费、其他商品和服务支出。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“三公”经费支出4.34万元，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减少0.04万元，</w:t>
      </w:r>
      <w:r>
        <w:rPr>
          <w:rFonts w:hint="eastAsia" w:ascii="仿宋_GB2312" w:eastAsia="仿宋_GB2312"/>
          <w:color w:val="auto"/>
          <w:spacing w:val="0"/>
          <w:sz w:val="32"/>
          <w:szCs w:val="32"/>
          <w:highlight w:val="none"/>
          <w:lang w:val="en-US" w:eastAsia="zh-CN"/>
        </w:rPr>
        <w:t>下降0.91%,</w:t>
      </w:r>
      <w:r>
        <w:rPr>
          <w:rFonts w:hint="eastAsia" w:ascii="仿宋_GB2312" w:eastAsia="仿宋_GB2312"/>
          <w:color w:val="auto"/>
          <w:sz w:val="32"/>
          <w:szCs w:val="32"/>
          <w:highlight w:val="none"/>
          <w:lang w:val="zh-CN" w:eastAsia="zh-CN"/>
        </w:rPr>
        <w:t>主要原因是：厉行节约，</w:t>
      </w:r>
      <w:r>
        <w:rPr>
          <w:rFonts w:hint="eastAsia" w:ascii="仿宋_GB2312" w:eastAsia="仿宋_GB2312"/>
          <w:color w:val="auto"/>
          <w:sz w:val="32"/>
          <w:szCs w:val="32"/>
          <w:highlight w:val="none"/>
          <w:lang w:val="en-US" w:eastAsia="zh-CN"/>
        </w:rPr>
        <w:t>业务招待费本年比上年减少</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增长0.00%，主要原因是：我单位无</w:t>
      </w:r>
      <w:r>
        <w:rPr>
          <w:rFonts w:hint="eastAsia" w:ascii="仿宋_GB2312" w:eastAsia="仿宋_GB2312"/>
          <w:color w:val="auto"/>
          <w:sz w:val="32"/>
          <w:szCs w:val="32"/>
          <w:highlight w:val="none"/>
          <w:lang w:val="zh-CN" w:eastAsia="zh-CN"/>
        </w:rPr>
        <w:t>因公出国（境）费。公务用车购置及运行维护费支出3.87万元，占89.1</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lang w:val="zh-CN" w:eastAsia="zh-CN"/>
        </w:rPr>
        <w:t>%，比上年增加0.00万元，</w:t>
      </w:r>
      <w:r>
        <w:rPr>
          <w:rFonts w:hint="eastAsia" w:ascii="仿宋_GB2312" w:eastAsia="仿宋_GB2312"/>
          <w:color w:val="auto"/>
          <w:spacing w:val="0"/>
          <w:sz w:val="32"/>
          <w:szCs w:val="32"/>
          <w:highlight w:val="none"/>
          <w:lang w:val="en-US" w:eastAsia="zh-CN"/>
        </w:rPr>
        <w:t>增长0.00%，主要原因是：本年未增加</w:t>
      </w:r>
      <w:r>
        <w:rPr>
          <w:rFonts w:hint="eastAsia" w:ascii="仿宋_GB2312" w:eastAsia="仿宋_GB2312"/>
          <w:color w:val="auto"/>
          <w:sz w:val="32"/>
          <w:szCs w:val="32"/>
          <w:highlight w:val="none"/>
          <w:lang w:val="zh-CN" w:eastAsia="zh-CN"/>
        </w:rPr>
        <w:t>公务用车购置及运行维护费。公务接待费支出0.47万元，占10.8</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%，比上年减少0.04万元，</w:t>
      </w:r>
      <w:r>
        <w:rPr>
          <w:rFonts w:hint="eastAsia" w:ascii="仿宋_GB2312" w:eastAsia="仿宋_GB2312"/>
          <w:color w:val="auto"/>
          <w:spacing w:val="0"/>
          <w:sz w:val="32"/>
          <w:szCs w:val="32"/>
          <w:highlight w:val="none"/>
          <w:lang w:val="en-US" w:eastAsia="zh-CN"/>
        </w:rPr>
        <w:t>下降7.84%,</w:t>
      </w:r>
      <w:r>
        <w:rPr>
          <w:rFonts w:hint="eastAsia" w:ascii="仿宋_GB2312" w:eastAsia="仿宋_GB2312"/>
          <w:color w:val="auto"/>
          <w:sz w:val="32"/>
          <w:szCs w:val="32"/>
          <w:highlight w:val="none"/>
          <w:lang w:val="zh-CN" w:eastAsia="zh-CN"/>
        </w:rPr>
        <w:t>主要原因是：厉行节约，</w:t>
      </w:r>
      <w:r>
        <w:rPr>
          <w:rFonts w:hint="eastAsia" w:ascii="仿宋_GB2312" w:eastAsia="仿宋_GB2312"/>
          <w:color w:val="auto"/>
          <w:sz w:val="32"/>
          <w:szCs w:val="32"/>
          <w:highlight w:val="none"/>
          <w:lang w:val="en-US" w:eastAsia="zh-CN"/>
        </w:rPr>
        <w:t>业务招待费本年比上年减少</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因公出国（境）费支出0.00万元，开支内容</w:t>
      </w:r>
      <w:r>
        <w:rPr>
          <w:rFonts w:hint="eastAsia" w:ascii="仿宋_GB2312" w:eastAsia="仿宋_GB2312"/>
          <w:color w:val="auto"/>
          <w:sz w:val="32"/>
          <w:szCs w:val="32"/>
          <w:highlight w:val="none"/>
          <w:lang w:val="en-US" w:eastAsia="zh-CN"/>
        </w:rPr>
        <w:t>包括我单位无</w:t>
      </w:r>
      <w:r>
        <w:rPr>
          <w:rFonts w:hint="eastAsia" w:ascii="仿宋_GB2312" w:eastAsia="仿宋_GB2312"/>
          <w:color w:val="auto"/>
          <w:sz w:val="32"/>
          <w:szCs w:val="32"/>
          <w:highlight w:val="none"/>
          <w:lang w:val="zh-CN" w:eastAsia="zh-CN"/>
        </w:rPr>
        <w:t>因公出国（境）费，单位全年安排的因公出国（境）团组0个，因公出国（境）0人次。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公务用车购置及运行维护费3.87万元，其中：公务用车购置费0.00万元，公务用车运行维护费3.87万元。公务用车运行维护费开支内容</w:t>
      </w:r>
      <w:r>
        <w:rPr>
          <w:rFonts w:hint="eastAsia" w:ascii="仿宋_GB2312" w:eastAsia="仿宋_GB2312"/>
          <w:color w:val="auto"/>
          <w:sz w:val="32"/>
          <w:szCs w:val="32"/>
          <w:highlight w:val="none"/>
          <w:lang w:val="en-US" w:eastAsia="zh-CN"/>
        </w:rPr>
        <w:t>包括车辆维修及加油</w:t>
      </w:r>
      <w:r>
        <w:rPr>
          <w:rFonts w:hint="eastAsia" w:ascii="仿宋_GB2312" w:eastAsia="仿宋_GB2312"/>
          <w:color w:val="auto"/>
          <w:sz w:val="32"/>
          <w:szCs w:val="32"/>
          <w:highlight w:val="none"/>
          <w:lang w:val="zh-CN" w:eastAsia="zh-CN"/>
        </w:rPr>
        <w:t>。公务用车购置数0辆，公务用车保有量2辆。国有资产占用情况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本年固定资产车辆与公务用车保有量相同</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公务接待费0.47万元，开支内容包括业务接待</w:t>
      </w:r>
      <w:r>
        <w:rPr>
          <w:rFonts w:hint="eastAsia" w:ascii="仿宋_GB2312" w:eastAsia="仿宋_GB2312"/>
          <w:color w:val="auto"/>
          <w:sz w:val="32"/>
          <w:szCs w:val="32"/>
          <w:highlight w:val="none"/>
          <w:lang w:val="en-US" w:eastAsia="zh-CN"/>
        </w:rPr>
        <w:t>就餐</w:t>
      </w:r>
      <w:r>
        <w:rPr>
          <w:rFonts w:hint="eastAsia" w:ascii="仿宋_GB2312" w:eastAsia="仿宋_GB2312"/>
          <w:color w:val="auto"/>
          <w:sz w:val="32"/>
          <w:szCs w:val="32"/>
          <w:highlight w:val="none"/>
          <w:lang w:val="zh-CN" w:eastAsia="zh-CN"/>
        </w:rPr>
        <w:t>。单位全年安排的国内公务接待2批次，60人次。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预算数4.38万元，决算数4.34万元，预决算差异率-0.</w:t>
      </w:r>
      <w:r>
        <w:rPr>
          <w:rFonts w:hint="eastAsia" w:ascii="仿宋_GB2312" w:eastAsia="仿宋_GB2312"/>
          <w:color w:val="auto"/>
          <w:sz w:val="32"/>
          <w:szCs w:val="32"/>
          <w:highlight w:val="none"/>
          <w:lang w:val="en-US" w:eastAsia="zh-CN"/>
        </w:rPr>
        <w:t>91</w:t>
      </w:r>
      <w:r>
        <w:rPr>
          <w:rFonts w:hint="eastAsia" w:ascii="仿宋_GB2312" w:eastAsia="仿宋_GB2312"/>
          <w:color w:val="auto"/>
          <w:sz w:val="32"/>
          <w:szCs w:val="32"/>
          <w:highlight w:val="none"/>
          <w:lang w:val="zh-CN" w:eastAsia="zh-CN"/>
        </w:rPr>
        <w:t>%，主要原因是：厉行节约，</w:t>
      </w:r>
      <w:r>
        <w:rPr>
          <w:rFonts w:hint="eastAsia" w:ascii="仿宋_GB2312" w:eastAsia="仿宋_GB2312"/>
          <w:color w:val="auto"/>
          <w:sz w:val="32"/>
          <w:szCs w:val="32"/>
          <w:highlight w:val="none"/>
          <w:lang w:val="en-US" w:eastAsia="zh-CN"/>
        </w:rPr>
        <w:t>业务招待费决算比预算减少</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本年无</w:t>
      </w:r>
      <w:r>
        <w:rPr>
          <w:rFonts w:hint="eastAsia" w:ascii="仿宋_GB2312" w:eastAsia="仿宋_GB2312"/>
          <w:color w:val="auto"/>
          <w:sz w:val="32"/>
          <w:szCs w:val="32"/>
          <w:highlight w:val="none"/>
          <w:lang w:val="zh-CN" w:eastAsia="zh-CN"/>
        </w:rPr>
        <w:t>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本年未</w:t>
      </w:r>
      <w:r>
        <w:rPr>
          <w:rFonts w:hint="eastAsia" w:ascii="仿宋_GB2312" w:eastAsia="仿宋_GB2312"/>
          <w:color w:val="auto"/>
          <w:sz w:val="32"/>
          <w:szCs w:val="32"/>
          <w:highlight w:val="none"/>
          <w:lang w:val="zh-CN" w:eastAsia="zh-CN"/>
        </w:rPr>
        <w:t>购置公务用车；公务用车运行费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预算数3.87万元，决算数3.87万元，预决算差异率0.00%，主要原因是：</w:t>
      </w:r>
      <w:r>
        <w:rPr>
          <w:rFonts w:hint="eastAsia" w:ascii="仿宋_GB2312" w:eastAsia="仿宋_GB2312"/>
          <w:color w:val="auto"/>
          <w:sz w:val="32"/>
          <w:szCs w:val="32"/>
          <w:highlight w:val="none"/>
          <w:lang w:val="en-US" w:eastAsia="zh-CN"/>
        </w:rPr>
        <w:t>本年</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未新增与结余</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预算数0.51万元，决算数0.47万元，预决算差异率-7.</w:t>
      </w:r>
      <w:r>
        <w:rPr>
          <w:rFonts w:hint="eastAsia" w:ascii="仿宋_GB2312" w:eastAsia="仿宋_GB2312"/>
          <w:color w:val="auto"/>
          <w:sz w:val="32"/>
          <w:szCs w:val="32"/>
          <w:highlight w:val="none"/>
          <w:lang w:val="en-US" w:eastAsia="zh-CN"/>
        </w:rPr>
        <w:t>84</w:t>
      </w:r>
      <w:r>
        <w:rPr>
          <w:rFonts w:hint="eastAsia" w:ascii="仿宋_GB2312" w:eastAsia="仿宋_GB2312"/>
          <w:color w:val="auto"/>
          <w:sz w:val="32"/>
          <w:szCs w:val="32"/>
          <w:highlight w:val="none"/>
          <w:lang w:val="zh-CN" w:eastAsia="zh-CN"/>
        </w:rPr>
        <w:t>%，主要原因是：厉行节约，</w:t>
      </w:r>
      <w:r>
        <w:rPr>
          <w:rFonts w:hint="eastAsia" w:ascii="仿宋_GB2312" w:eastAsia="仿宋_GB2312"/>
          <w:color w:val="auto"/>
          <w:sz w:val="32"/>
          <w:szCs w:val="32"/>
          <w:highlight w:val="none"/>
          <w:lang w:val="en-US" w:eastAsia="zh-CN"/>
        </w:rPr>
        <w:t>业务招待费决算比预算减少</w:t>
      </w:r>
      <w:bookmarkStart w:id="48" w:name="_GoBack"/>
      <w:bookmarkEnd w:id="48"/>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新疆玛纳斯河流域管理局（事业单位）公用经费支出31.88万元，</w:t>
      </w:r>
      <w:r>
        <w:rPr>
          <w:rFonts w:hint="eastAsia" w:ascii="Times New Roman" w:hAnsi="Times New Roman" w:eastAsia="仿宋_GB2312" w:cs="Times New Roman"/>
          <w:color w:val="auto"/>
          <w:sz w:val="32"/>
          <w:szCs w:val="32"/>
          <w:highlight w:val="none"/>
          <w:lang w:val="zh-CN" w:eastAsia="zh-CN"/>
        </w:rPr>
        <w:t>比上年减少8.44万元，下降20.94%，主要原因是：</w:t>
      </w:r>
      <w:r>
        <w:rPr>
          <w:rFonts w:hint="eastAsia" w:ascii="仿宋_GB2312" w:eastAsia="仿宋_GB2312"/>
          <w:color w:val="auto"/>
          <w:sz w:val="32"/>
          <w:szCs w:val="32"/>
          <w:highlight w:val="none"/>
          <w:lang w:val="en-US" w:eastAsia="zh-CN"/>
        </w:rPr>
        <w:t>加强预算管理，压缩公用经费</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52.35万元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其中：政府采购货物支出1.70万元、政府采购工程支出0.00万元、政府采购服务支出50.65万元。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授予中小企业合同金额50.69万元，占政府采购支出总额的96.83</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，其中：授予小微企业合同金额45.32万元，占政府采购支出总额的86.57</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155.90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屋0.00平方米，价值0.00万元。车辆2辆，价值86.08万元，其中：副部（省）级及以上领导用车0辆、主要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用车0辆、机要通信用车0辆、应急保障用车1辆、执法执勤用车1辆、特种专业技术用车0辆、离退休干部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eastAsia="仿宋_GB2312" w:cs="Times New Roman"/>
          <w:color w:val="auto"/>
          <w:sz w:val="32"/>
          <w:szCs w:val="32"/>
          <w:highlight w:val="none"/>
          <w:lang w:val="en-US" w:eastAsia="zh-CN"/>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全年预算70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全年执行数70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项目实施紧扣各个环节，逐步推进，及时与职能部门跟踪项目进展，加强项目督办，开展河长专项巡河调研1次，监测项目严格按照年度预期目标执行，完成年初制定绩效目标。保障玛纳斯河河湖长制工作持续推进，为玛纳斯河经济社会绿色发展和持续健康协调发展提供更加坚实的支撑和保障；二是按照新疆玛纳斯河流域管理局单位职责，规范水土保持管理、水土流失防治工作，改善生态环境，加强与有关部门的紧密配合，深入流域基层做好水土保持监督检查工作，完成5次水土保持监督执法巡查检查，组织开展河道巡查6次。发现的问题及原因：我单位整体支出绩效监控总体完成率与预算执行率有偏差，预算资金执行较慢，有调整预算现象。下一步改进措施：一是加强预算管理，提高资金使用效益，确保预算编制的科学性、合理性和可控性；二是加快资金支付力度，项目负责人加快项目实施进度的推进，加强项目开展进度的跟踪，开展项目绩效评价，确保项目绩效目标的完成，发挥资金的使用效益，提高预算完成率。具体</w:t>
      </w:r>
      <w:r>
        <w:rPr>
          <w:rFonts w:hint="eastAsia" w:ascii="仿宋_GB2312" w:eastAsia="仿宋_GB2312"/>
          <w:color w:val="auto"/>
          <w:sz w:val="32"/>
          <w:szCs w:val="32"/>
          <w:highlight w:val="none"/>
        </w:rPr>
        <w:t>项目自评情况附绩效自评表。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D3179"/>
    <w:rsid w:val="1A3E3450"/>
    <w:rsid w:val="1AD807E5"/>
    <w:rsid w:val="1B39345B"/>
    <w:rsid w:val="1BE60D53"/>
    <w:rsid w:val="1BFB2A1F"/>
    <w:rsid w:val="1C015D4A"/>
    <w:rsid w:val="1C290ED5"/>
    <w:rsid w:val="1C317E4F"/>
    <w:rsid w:val="1C472464"/>
    <w:rsid w:val="1D22799A"/>
    <w:rsid w:val="1D5C1A72"/>
    <w:rsid w:val="1DAF458D"/>
    <w:rsid w:val="1E086ACE"/>
    <w:rsid w:val="1E62130A"/>
    <w:rsid w:val="1E97358B"/>
    <w:rsid w:val="1EAA4A5F"/>
    <w:rsid w:val="1EE869A7"/>
    <w:rsid w:val="1F1A3B15"/>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486C7A"/>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4807A8"/>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085310"/>
    <w:rsid w:val="51141503"/>
    <w:rsid w:val="518D0ED5"/>
    <w:rsid w:val="525C687F"/>
    <w:rsid w:val="525F2759"/>
    <w:rsid w:val="52F647F7"/>
    <w:rsid w:val="52F92565"/>
    <w:rsid w:val="53643763"/>
    <w:rsid w:val="53D03877"/>
    <w:rsid w:val="542F73CA"/>
    <w:rsid w:val="5430786D"/>
    <w:rsid w:val="545A1D2A"/>
    <w:rsid w:val="54C811C0"/>
    <w:rsid w:val="556A442D"/>
    <w:rsid w:val="55DA564E"/>
    <w:rsid w:val="55E816A3"/>
    <w:rsid w:val="5604127D"/>
    <w:rsid w:val="56166703"/>
    <w:rsid w:val="561E6357"/>
    <w:rsid w:val="56510474"/>
    <w:rsid w:val="56861525"/>
    <w:rsid w:val="56A93273"/>
    <w:rsid w:val="56BD550C"/>
    <w:rsid w:val="56E07045"/>
    <w:rsid w:val="56FF28AF"/>
    <w:rsid w:val="570D2D08"/>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13509"/>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2375F"/>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10E6"/>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6460</Words>
  <Characters>20598</Characters>
  <Lines>0</Lines>
  <Paragraphs>0</Paragraphs>
  <TotalTime>1</TotalTime>
  <ScaleCrop>false</ScaleCrop>
  <LinksUpToDate>false</LinksUpToDate>
  <CharactersWithSpaces>20832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2024-09-11T13:48:49Z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