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240" w:lineRule="auto"/>
        <w:textAlignment w:val="auto"/>
        <w:rPr>
          <w:rFonts w:ascii="黑体" w:hAnsi="黑体" w:eastAsia="黑体"/>
          <w:color w:val="auto"/>
          <w:sz w:val="32"/>
          <w:szCs w:val="32"/>
          <w:highlight w:val="none"/>
        </w:rPr>
      </w:pP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新疆水利水电学校（新疆水利水电技工学校，河海大学乌鲁木齐教学中心）</w:t>
      </w: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widowControl w:val="0"/>
        <w:wordWrap/>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widowControl w:val="0"/>
        <w:wordWrap/>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widowControl w:val="0"/>
        <w:wordWrap/>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widowControl w:val="0"/>
        <w:wordWrap/>
        <w:adjustRightInd/>
        <w:snapToGrid/>
        <w:spacing w:line="240" w:lineRule="auto"/>
        <w:ind w:firstLine="640" w:firstLineChars="200"/>
        <w:jc w:val="both"/>
        <w:textAlignment w:val="auto"/>
        <w:rPr>
          <w:rFonts w:hint="eastAsia" w:ascii="仿宋_GB2312" w:eastAsia="仿宋_GB2312"/>
          <w:sz w:val="32"/>
          <w:szCs w:val="32"/>
          <w:highlight w:val="none"/>
          <w:lang w:val="en-US" w:eastAsia="zh-CN"/>
        </w:rPr>
      </w:pPr>
      <w:bookmarkStart w:id="4" w:name="_Toc31238"/>
      <w:bookmarkStart w:id="5" w:name="_Toc2151"/>
      <w:r>
        <w:rPr>
          <w:rFonts w:hint="eastAsia" w:ascii="仿宋_GB2312" w:eastAsia="仿宋_GB2312"/>
          <w:sz w:val="32"/>
          <w:szCs w:val="32"/>
          <w:highlight w:val="none"/>
        </w:rPr>
        <w:t>我校于19</w:t>
      </w:r>
      <w:r>
        <w:rPr>
          <w:rFonts w:hint="eastAsia" w:ascii="仿宋_GB2312" w:eastAsia="仿宋_GB2312"/>
          <w:sz w:val="32"/>
          <w:szCs w:val="32"/>
          <w:highlight w:val="none"/>
          <w:lang w:val="en-US" w:eastAsia="zh-CN"/>
        </w:rPr>
        <w:t>78</w:t>
      </w:r>
      <w:r>
        <w:rPr>
          <w:rFonts w:hint="eastAsia" w:ascii="仿宋_GB2312" w:eastAsia="仿宋_GB2312"/>
          <w:sz w:val="32"/>
          <w:szCs w:val="32"/>
          <w:highlight w:val="none"/>
        </w:rPr>
        <w:t>年经市人民政府批准成立，系</w:t>
      </w:r>
      <w:r>
        <w:rPr>
          <w:rFonts w:hint="eastAsia" w:ascii="仿宋_GB2312" w:eastAsia="仿宋_GB2312"/>
          <w:sz w:val="32"/>
          <w:szCs w:val="32"/>
          <w:highlight w:val="none"/>
          <w:lang w:val="en-US" w:eastAsia="zh-CN"/>
        </w:rPr>
        <w:t>自治区水利厅下属二级差额</w:t>
      </w:r>
      <w:r>
        <w:rPr>
          <w:rFonts w:hint="eastAsia" w:ascii="仿宋_GB2312" w:eastAsia="仿宋_GB2312"/>
          <w:sz w:val="32"/>
          <w:szCs w:val="32"/>
          <w:highlight w:val="none"/>
        </w:rPr>
        <w:t>拨款事业</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为新疆水利事业培养了一大批职业技能型的合格人才。根据《关于印发新疆维吾尔自治区水利厅所属事业单位分类改革方案的通知》新事改办[2014]85号</w:t>
      </w:r>
      <w:r>
        <w:rPr>
          <w:rFonts w:hint="eastAsia" w:ascii="仿宋_GB2312" w:eastAsia="仿宋_GB2312"/>
          <w:sz w:val="32"/>
          <w:szCs w:val="32"/>
          <w:highlight w:val="none"/>
          <w:lang w:val="en-US" w:eastAsia="zh-CN"/>
        </w:rPr>
        <w:t>文件</w:t>
      </w:r>
      <w:r>
        <w:rPr>
          <w:rFonts w:hint="eastAsia" w:ascii="仿宋_GB2312" w:eastAsia="仿宋_GB2312"/>
          <w:sz w:val="32"/>
          <w:szCs w:val="32"/>
          <w:highlight w:val="none"/>
        </w:rPr>
        <w:t>，将新疆水利水电学校和新疆水利水电技工学校整合，组建新疆水利水电学校（新疆水利水电技工学校）。</w:t>
      </w:r>
      <w:r>
        <w:rPr>
          <w:rFonts w:hint="eastAsia" w:ascii="仿宋_GB2312" w:eastAsia="仿宋_GB2312"/>
          <w:sz w:val="32"/>
          <w:szCs w:val="32"/>
          <w:highlight w:val="none"/>
          <w:lang w:val="en-US" w:eastAsia="zh-CN"/>
        </w:rPr>
        <w:t>根据《关于新疆水利水电学校（新疆水利水电技工学校）加挂“河海大学乌鲁木齐教学中心”牌子的批复》新党编办[2016]101号文件，将新疆水利水电学校（新疆水利水电技工学校）加挂“河海大学乌鲁木齐教学中心”牌子，承担河海大学安排的教学任务。</w:t>
      </w:r>
    </w:p>
    <w:p>
      <w:pPr>
        <w:widowControl w:val="0"/>
        <w:wordWrap/>
        <w:adjustRightInd/>
        <w:snapToGrid/>
        <w:spacing w:line="240" w:lineRule="auto"/>
        <w:ind w:firstLine="640" w:firstLineChars="200"/>
        <w:jc w:val="both"/>
        <w:textAlignment w:val="auto"/>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按照《关于印发新疆水利水电学校并入新疆职业大学工作方案的通知》（新政办函[2022]321号）文件要求，于2022年12月已与新疆职业大学合并。</w:t>
      </w: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新疆水利水电学校（新疆水利水电技工学校，河海大学乌鲁木齐教学中心）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379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180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198</w:t>
      </w:r>
      <w:r>
        <w:rPr>
          <w:rFonts w:hint="eastAsia" w:ascii="仿宋_GB2312" w:eastAsia="仿宋_GB2312"/>
          <w:color w:val="auto"/>
          <w:sz w:val="32"/>
          <w:szCs w:val="32"/>
          <w:highlight w:val="none"/>
        </w:rPr>
        <w:t>人。</w:t>
      </w:r>
    </w:p>
    <w:p>
      <w:pPr>
        <w:widowControl w:val="0"/>
        <w:wordWrap/>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4"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21</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sz w:val="32"/>
          <w:szCs w:val="32"/>
          <w:highlight w:val="none"/>
          <w:lang w:val="en-US" w:eastAsia="zh-CN"/>
        </w:rPr>
        <w:t>党政办、纪检监察室、教育督导处、工会、保卫后勤处、计划财务处、人事处、教务处、思想政治教研部、河海大学教学部、电气工程学院、水利工程学院、信息工程学院、旅游学院、团委、学生工作处、图书档案馆、培训处、智能控制学院、资源环境学院、能源学院。</w:t>
      </w: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8,363.87万元，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7,296.58万元，使用非财政拨款结余0.00万元，年初结转和结余1,067.29万元。</w:t>
      </w:r>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8,363.87万元，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6,842.23万元，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0.00万元，年末结转和结余1,521.64万元。</w:t>
      </w:r>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增加662.24万元</w:t>
      </w:r>
      <w:r>
        <w:rPr>
          <w:rFonts w:hint="eastAsia" w:ascii="仿宋_GB2312" w:eastAsia="仿宋_GB2312"/>
          <w:color w:val="auto"/>
          <w:spacing w:val="0"/>
          <w:sz w:val="32"/>
          <w:szCs w:val="32"/>
          <w:highlight w:val="none"/>
          <w:lang w:eastAsia="zh-CN"/>
        </w:rPr>
        <w:t>，增长8.60%，主要原因是：</w:t>
      </w:r>
      <w:r>
        <w:rPr>
          <w:rFonts w:hint="eastAsia" w:ascii="仿宋_GB2312" w:eastAsia="仿宋_GB2312"/>
          <w:color w:val="auto"/>
          <w:spacing w:val="0"/>
          <w:sz w:val="32"/>
          <w:szCs w:val="32"/>
          <w:highlight w:val="none"/>
          <w:lang w:val="en-US" w:eastAsia="zh-CN"/>
        </w:rPr>
        <w:t>财政拨款资金增加，其中基本支出人员经费和公用经费拨款均有增加，在校学生人数增加，学生资助补助资金拨付增加</w:t>
      </w:r>
      <w:r>
        <w:rPr>
          <w:rFonts w:hint="eastAsia" w:ascii="仿宋_GB2312" w:eastAsia="仿宋_GB2312"/>
          <w:color w:val="auto"/>
          <w:spacing w:val="0"/>
          <w:sz w:val="32"/>
          <w:szCs w:val="32"/>
          <w:highlight w:val="none"/>
          <w:lang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7,296.58</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5,430.15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74.42%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252.44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3.46%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1,613.99</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22.12%</w:t>
      </w:r>
      <w:r>
        <w:rPr>
          <w:rFonts w:hint="eastAsia" w:ascii="仿宋_GB2312" w:eastAsia="仿宋_GB2312"/>
          <w:color w:val="auto"/>
          <w:sz w:val="32"/>
          <w:szCs w:val="32"/>
          <w:highlight w:val="none"/>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本年支出6,842.23万元，其中：基本支出5,388.07万元，占78.75%；项目支出1,201.72万元，占17.56%；上缴上级支出0.00万元，占0.00%；经营支出252.44万元，占3.69%；对附属单位补助支出0.00万元，占0.00%。</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5,817.54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387.39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5,430.15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5,817.54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5,817.54</w:t>
      </w:r>
      <w:r>
        <w:rPr>
          <w:rFonts w:hint="eastAsia" w:ascii="仿宋_GB2312" w:eastAsia="仿宋_GB2312"/>
          <w:color w:val="auto"/>
          <w:spacing w:val="0"/>
          <w:sz w:val="32"/>
          <w:szCs w:val="32"/>
          <w:highlight w:val="none"/>
          <w:lang w:eastAsia="zh-CN"/>
        </w:rPr>
        <w:t>万元。</w:t>
      </w:r>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增加798.86万元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增长15.92%,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财政拨款资金增加，其中基本支出人员经费和公用经费拨款均有增加，在校学生人数增加，学生资助补助资金拨付增加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4,658.18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5,817.54</w:t>
      </w:r>
      <w:r>
        <w:rPr>
          <w:rFonts w:hint="eastAsia" w:ascii="仿宋_GB2312" w:eastAsia="仿宋_GB2312"/>
          <w:color w:val="auto"/>
          <w:spacing w:val="0"/>
          <w:sz w:val="32"/>
          <w:szCs w:val="32"/>
          <w:highlight w:val="none"/>
          <w:lang w:eastAsia="zh-CN"/>
        </w:rPr>
        <w:t>万元，预决算差异率24.89%，主要原因是：中央、自治区财政拨付助学金、免学费、免住宿费和免教材费等资助补助资金未纳入年初预算数，</w:t>
      </w:r>
      <w:r>
        <w:rPr>
          <w:rFonts w:hint="eastAsia" w:ascii="仿宋_GB2312" w:eastAsia="仿宋_GB2312"/>
          <w:color w:val="auto"/>
          <w:spacing w:val="0"/>
          <w:sz w:val="32"/>
          <w:szCs w:val="32"/>
          <w:highlight w:val="none"/>
          <w:lang w:val="en-US" w:eastAsia="zh-CN"/>
        </w:rPr>
        <w:t>年中追加资金后进行支付</w:t>
      </w:r>
      <w:r>
        <w:rPr>
          <w:rFonts w:hint="eastAsia" w:ascii="仿宋_GB2312" w:eastAsia="仿宋_GB2312"/>
          <w:color w:val="auto"/>
          <w:spacing w:val="0"/>
          <w:sz w:val="32"/>
          <w:szCs w:val="32"/>
          <w:highlight w:val="none"/>
          <w:lang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widowControl w:val="0"/>
        <w:wordWrap/>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2023年度一般公共预算财政拨款支出5,817.54万元，占本年支出合计的</w:t>
      </w:r>
      <w:r>
        <w:rPr>
          <w:rFonts w:hint="eastAsia" w:ascii="仿宋_GB2312" w:eastAsia="仿宋_GB2312"/>
          <w:color w:val="auto"/>
          <w:spacing w:val="0"/>
          <w:sz w:val="32"/>
          <w:szCs w:val="32"/>
          <w:highlight w:val="none"/>
          <w:lang w:val="zh-CN" w:eastAsia="zh-CN"/>
        </w:rPr>
        <w:t>85.02%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增加1,260.74万元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增长27.67%,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财政拨款人员经费和公用经费增加，在校学生人数增加，学生资助补助资金拨付增加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4,658.18</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5,817.54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24.89%</w:t>
      </w:r>
      <w:r>
        <w:rPr>
          <w:rFonts w:hint="eastAsia" w:ascii="仿宋_GB2312" w:eastAsia="仿宋_GB2312"/>
          <w:color w:val="auto"/>
          <w:spacing w:val="0"/>
          <w:sz w:val="32"/>
          <w:szCs w:val="32"/>
          <w:highlight w:val="none"/>
          <w:lang w:eastAsia="zh-CN"/>
        </w:rPr>
        <w:t>，主要原因是：中央、自治区财政拨付助学金、免学费、免住宿费和免教材费等资助补助资金未纳入年初预算数，</w:t>
      </w:r>
      <w:r>
        <w:rPr>
          <w:rFonts w:hint="eastAsia" w:ascii="仿宋_GB2312" w:eastAsia="仿宋_GB2312"/>
          <w:color w:val="auto"/>
          <w:spacing w:val="0"/>
          <w:sz w:val="32"/>
          <w:szCs w:val="32"/>
          <w:highlight w:val="none"/>
          <w:lang w:val="en-US" w:eastAsia="zh-CN"/>
        </w:rPr>
        <w:t>年中追加资金后进行支付</w:t>
      </w:r>
      <w:r>
        <w:rPr>
          <w:rFonts w:hint="eastAsia" w:ascii="仿宋_GB2312" w:eastAsia="仿宋_GB2312"/>
          <w:color w:val="auto"/>
          <w:spacing w:val="0"/>
          <w:sz w:val="32"/>
          <w:szCs w:val="32"/>
          <w:highlight w:val="none"/>
          <w:lang w:eastAsia="zh-CN"/>
        </w:rPr>
        <w:t>。</w:t>
      </w:r>
    </w:p>
    <w:p>
      <w:pPr>
        <w:widowControl w:val="0"/>
        <w:numPr>
          <w:ilvl w:val="0"/>
          <w:numId w:val="1"/>
        </w:numPr>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5,254.78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90.33%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562.76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9.67%</w:t>
      </w:r>
      <w:r>
        <w:rPr>
          <w:rFonts w:hint="default" w:ascii="仿宋_GB2312" w:hAnsi="Times New Roman" w:eastAsia="仿宋_GB2312" w:cs="Times New Roman"/>
          <w:color w:val="auto"/>
          <w:spacing w:val="0"/>
          <w:kern w:val="2"/>
          <w:sz w:val="32"/>
          <w:szCs w:val="32"/>
          <w:highlight w:val="none"/>
          <w:lang w:val="zh-CN" w:eastAsia="zh-CN" w:bidi="ar-SA"/>
        </w:rPr>
        <w:t>；</w:t>
      </w:r>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widowControl w:val="0"/>
        <w:wordWrap/>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1.社会保障和就业支出（类）行政事业单位养老支出（款）事业单位离退休（项）:支出决算数为43.54万元，比上年决算增加43.54万元，增长100%，主要原因是：年中追加拨付2022-2023年退休人员提高基础绩效奖资金</w:t>
      </w:r>
      <w:r>
        <w:rPr>
          <w:rFonts w:hint="eastAsia" w:ascii="仿宋_GB2312" w:hAnsi="仿宋_GB2312" w:eastAsia="仿宋_GB2312" w:cs="仿宋_GB2312"/>
          <w:color w:val="auto"/>
          <w:kern w:val="2"/>
          <w:sz w:val="32"/>
          <w:szCs w:val="32"/>
          <w:highlight w:val="none"/>
          <w:lang w:val="zh-CN" w:eastAsia="zh-CN" w:bidi="ar-SA"/>
        </w:rPr>
        <w:t>。</w:t>
      </w:r>
    </w:p>
    <w:p>
      <w:pPr>
        <w:widowControl w:val="0"/>
        <w:wordWrap/>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2.教育支出（类）职业教育（款）技校教育（项）:支出决算数为24.63万元，比上年决算增加24.63万元，增长100%，主要原因是：年中追加拨付技工院校学生的资助补助资金</w:t>
      </w:r>
      <w:r>
        <w:rPr>
          <w:rFonts w:hint="eastAsia" w:ascii="仿宋_GB2312" w:hAnsi="仿宋_GB2312" w:eastAsia="仿宋_GB2312" w:cs="仿宋_GB2312"/>
          <w:color w:val="auto"/>
          <w:kern w:val="2"/>
          <w:sz w:val="32"/>
          <w:szCs w:val="32"/>
          <w:highlight w:val="none"/>
          <w:lang w:val="zh-CN" w:eastAsia="zh-CN" w:bidi="ar-SA"/>
        </w:rPr>
        <w:t>。</w:t>
      </w:r>
    </w:p>
    <w:p>
      <w:pPr>
        <w:widowControl w:val="0"/>
        <w:wordWrap/>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3.教育支出（类）职业教育（款）中等职业教育（项）:支出决算数为5,230.15万元，比上年决算增加1,119.88万元，增长27.25%，主要原因是：</w:t>
      </w:r>
      <w:r>
        <w:rPr>
          <w:rFonts w:hint="eastAsia" w:ascii="仿宋_GB2312" w:hAnsi="仿宋_GB2312" w:eastAsia="仿宋_GB2312" w:cs="仿宋_GB2312"/>
          <w:color w:val="auto"/>
          <w:kern w:val="2"/>
          <w:sz w:val="32"/>
          <w:szCs w:val="32"/>
          <w:highlight w:val="none"/>
          <w:lang w:val="zh-CN" w:eastAsia="zh-CN" w:bidi="ar-SA"/>
        </w:rPr>
        <w:t>财政拨款人员经费和公用经费增加，在校</w:t>
      </w:r>
      <w:r>
        <w:rPr>
          <w:rFonts w:hint="eastAsia" w:ascii="仿宋_GB2312" w:hAnsi="仿宋_GB2312" w:eastAsia="仿宋_GB2312" w:cs="仿宋_GB2312"/>
          <w:color w:val="auto"/>
          <w:kern w:val="2"/>
          <w:sz w:val="32"/>
          <w:szCs w:val="32"/>
          <w:highlight w:val="none"/>
          <w:lang w:val="en-US" w:eastAsia="zh-CN" w:bidi="ar-SA"/>
        </w:rPr>
        <w:t>中职</w:t>
      </w:r>
      <w:r>
        <w:rPr>
          <w:rFonts w:hint="eastAsia" w:ascii="仿宋_GB2312" w:hAnsi="仿宋_GB2312" w:eastAsia="仿宋_GB2312" w:cs="仿宋_GB2312"/>
          <w:color w:val="auto"/>
          <w:kern w:val="2"/>
          <w:sz w:val="32"/>
          <w:szCs w:val="32"/>
          <w:highlight w:val="none"/>
          <w:lang w:val="zh-CN" w:eastAsia="zh-CN" w:bidi="ar-SA"/>
        </w:rPr>
        <w:t>学生人数增加，学生资助补助资金拨付增加。</w:t>
      </w:r>
    </w:p>
    <w:p>
      <w:pPr>
        <w:widowControl w:val="0"/>
        <w:wordWrap/>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社会保障和就业支出（类）行政事业单位养老支出（款）机关事业单位职业年金缴费支出（项）:支出决算数为173.07万元，比上年决算增加27.10万元，增长18.57%，主要原因是：较上年增加在职职工人数，财政拨款职业年金增加</w:t>
      </w:r>
      <w:r>
        <w:rPr>
          <w:rFonts w:hint="eastAsia" w:ascii="仿宋_GB2312" w:hAnsi="仿宋_GB2312" w:eastAsia="仿宋_GB2312" w:cs="仿宋_GB2312"/>
          <w:color w:val="auto"/>
          <w:kern w:val="2"/>
          <w:sz w:val="32"/>
          <w:szCs w:val="32"/>
          <w:highlight w:val="none"/>
          <w:lang w:val="zh-CN" w:eastAsia="zh-CN" w:bidi="ar-SA"/>
        </w:rPr>
        <w:t>。</w:t>
      </w:r>
    </w:p>
    <w:p>
      <w:pPr>
        <w:widowControl w:val="0"/>
        <w:wordWrap/>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机关事业单位基本养老保险缴费支出（项）:支出决算数为346.15万元，比上年决算增加45.59万元，增长15.17%，主要原因是：较上年增加在职职工人数，财政拨款机关事业单位基本养老保险增加</w:t>
      </w:r>
      <w:r>
        <w:rPr>
          <w:rFonts w:hint="eastAsia" w:ascii="仿宋_GB2312" w:hAnsi="仿宋_GB2312" w:eastAsia="仿宋_GB2312" w:cs="仿宋_GB2312"/>
          <w:color w:val="auto"/>
          <w:kern w:val="2"/>
          <w:sz w:val="32"/>
          <w:szCs w:val="32"/>
          <w:highlight w:val="none"/>
          <w:lang w:val="zh-CN" w:eastAsia="zh-CN" w:bidi="ar-SA"/>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4,687.36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4,048.89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基本工资、津贴补贴、奖金、绩效工资、机关事业单位基本养老保险缴费、职业年金缴费、职工基本医疗保险缴费、公务员医疗补助缴费、其他社会保障缴费、住房公积金、离休费、退休费、抚恤金、。</w:t>
      </w:r>
    </w:p>
    <w:p>
      <w:pPr>
        <w:widowControl w:val="0"/>
        <w:wordWrap/>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638.47</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手续费、水费、电费、邮电费、取暖费、差旅费、维修（护）费、培训费、专用材料费、劳务费、委托业务费、工会经费、福利费、公务用车运行维护费、其他交通费用、其他商品和服务支出、办公设备购置。</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“三公”经费支出10.60万元，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增加2.60万元，</w:t>
      </w:r>
      <w:r>
        <w:rPr>
          <w:rFonts w:hint="eastAsia" w:ascii="仿宋_GB2312" w:eastAsia="仿宋_GB2312"/>
          <w:color w:val="auto"/>
          <w:spacing w:val="0"/>
          <w:sz w:val="32"/>
          <w:szCs w:val="32"/>
          <w:highlight w:val="none"/>
          <w:lang w:val="en-US" w:eastAsia="zh-CN"/>
        </w:rPr>
        <w:t>增长32.50%,</w:t>
      </w:r>
      <w:r>
        <w:rPr>
          <w:rFonts w:hint="eastAsia" w:ascii="仿宋_GB2312" w:eastAsia="仿宋_GB2312"/>
          <w:color w:val="auto"/>
          <w:sz w:val="32"/>
          <w:szCs w:val="32"/>
          <w:highlight w:val="none"/>
          <w:lang w:val="zh-CN" w:eastAsia="zh-CN"/>
        </w:rPr>
        <w:t>主要原因是：使用免学费资金追加公务用车运行维护费预算。其中：因公出国（境）费支出0.00万元，占0.00%，比上年增加0.00万元，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与上年一致，无变化</w:t>
      </w:r>
      <w:r>
        <w:rPr>
          <w:rFonts w:hint="eastAsia" w:ascii="仿宋_GB2312" w:eastAsia="仿宋_GB2312"/>
          <w:color w:val="auto"/>
          <w:sz w:val="32"/>
          <w:szCs w:val="32"/>
          <w:highlight w:val="none"/>
          <w:lang w:val="zh-CN" w:eastAsia="zh-CN"/>
        </w:rPr>
        <w:t>；公务用车购置及运行维护费支出10.60万元，占100.00%，比上年增加2.60万元，</w:t>
      </w:r>
      <w:r>
        <w:rPr>
          <w:rFonts w:hint="eastAsia" w:ascii="仿宋_GB2312" w:eastAsia="仿宋_GB2312"/>
          <w:color w:val="auto"/>
          <w:spacing w:val="0"/>
          <w:sz w:val="32"/>
          <w:szCs w:val="32"/>
          <w:highlight w:val="none"/>
          <w:lang w:val="en-US" w:eastAsia="zh-CN"/>
        </w:rPr>
        <w:t>增长32.50%,</w:t>
      </w:r>
      <w:r>
        <w:rPr>
          <w:rFonts w:hint="eastAsia" w:ascii="仿宋_GB2312" w:eastAsia="仿宋_GB2312"/>
          <w:color w:val="auto"/>
          <w:sz w:val="32"/>
          <w:szCs w:val="32"/>
          <w:highlight w:val="none"/>
          <w:lang w:val="zh-CN" w:eastAsia="zh-CN"/>
        </w:rPr>
        <w:t>主要原因是：使用免学费资金追加公务用车运行维护费预算；公务接待费支出0.00万元，占0.00%，比上年增加0.00万元，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与上年一致，无变化</w:t>
      </w:r>
      <w:r>
        <w:rPr>
          <w:rFonts w:hint="eastAsia" w:ascii="仿宋_GB2312" w:eastAsia="仿宋_GB2312"/>
          <w:color w:val="auto"/>
          <w:sz w:val="32"/>
          <w:szCs w:val="32"/>
          <w:highlight w:val="none"/>
          <w:lang w:val="zh-CN" w:eastAsia="zh-CN"/>
        </w:rPr>
        <w:t>。</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因公出国（境）费。单位全年安排的因公出国（境）团组0个，因公出国（境）0人次。</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公务用车购置及运行维护费10.60万元，其中：公务用车购置费0.00万元，公务用车运行维护费10.60万元。公务用车运行维护费开支内容包括</w:t>
      </w:r>
      <w:r>
        <w:rPr>
          <w:rFonts w:hint="eastAsia" w:ascii="仿宋_GB2312" w:eastAsia="仿宋_GB2312"/>
          <w:color w:val="auto"/>
          <w:sz w:val="32"/>
          <w:szCs w:val="32"/>
          <w:highlight w:val="none"/>
          <w:lang w:val="en-US" w:eastAsia="zh-CN"/>
        </w:rPr>
        <w:t>公务车辆的燃油费、维修费和保险费等</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根据《关于同意新疆水利水电学校资产无偿划转至新疆职业大学的批复》文件，将所有资产包括公务用车于2023年11月划转新疆职业大学，故产生差异</w:t>
      </w:r>
      <w:r>
        <w:rPr>
          <w:rFonts w:hint="eastAsia" w:ascii="仿宋_GB2312" w:eastAsia="仿宋_GB2312"/>
          <w:color w:val="auto"/>
          <w:sz w:val="32"/>
          <w:szCs w:val="32"/>
          <w:highlight w:val="none"/>
          <w:lang w:val="zh-CN" w:eastAsia="zh-CN"/>
        </w:rPr>
        <w:t>。</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预算数11.15万元，决算数10.60万元，预决算差异率-4.93%，主要原因是：</w:t>
      </w:r>
      <w:r>
        <w:rPr>
          <w:rFonts w:hint="eastAsia" w:ascii="仿宋_GB2312" w:eastAsia="仿宋_GB2312"/>
          <w:color w:val="auto"/>
          <w:sz w:val="32"/>
          <w:szCs w:val="32"/>
          <w:highlight w:val="none"/>
          <w:lang w:val="en-US" w:eastAsia="zh-CN"/>
        </w:rPr>
        <w:t>根据“三公”经费只减不增原则进行支出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预算数10.60万元，决算数10.60万元，预决算差异率0.00%，主要原因是：</w:t>
      </w:r>
      <w:r>
        <w:rPr>
          <w:rFonts w:hint="eastAsia" w:ascii="仿宋_GB2312" w:eastAsia="仿宋_GB2312"/>
          <w:color w:val="auto"/>
          <w:sz w:val="32"/>
          <w:szCs w:val="32"/>
          <w:highlight w:val="none"/>
          <w:lang w:val="en-US" w:eastAsia="zh-CN"/>
        </w:rPr>
        <w:t>我单位严格按预算执行，无差异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预算数0.55万元，决算数0.00万元，预决算差异率-100.00%，主要原因是：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widowControl w:val="0"/>
        <w:numPr>
          <w:numId w:val="0"/>
        </w:numPr>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widowControl w:val="0"/>
        <w:numPr>
          <w:numId w:val="0"/>
        </w:numPr>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widowControl w:val="0"/>
        <w:wordWrap/>
        <w:adjustRightInd/>
        <w:snapToGrid/>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新疆水利水电学校（新疆水利水电技工学校，河海大学乌鲁木齐教学中心）（事业单位）公用经费支出638.47万元，</w:t>
      </w:r>
      <w:r>
        <w:rPr>
          <w:rFonts w:hint="eastAsia" w:ascii="仿宋_GB2312" w:hAnsi="仿宋_GB2312" w:eastAsia="仿宋_GB2312" w:cs="仿宋_GB2312"/>
          <w:color w:val="auto"/>
          <w:sz w:val="32"/>
          <w:szCs w:val="32"/>
          <w:highlight w:val="none"/>
          <w:lang w:val="zh-CN" w:eastAsia="zh-CN"/>
        </w:rPr>
        <w:t>比上年增加37.90万元，增长6.31%，主要原因是：</w:t>
      </w:r>
      <w:r>
        <w:rPr>
          <w:rFonts w:hint="eastAsia" w:ascii="仿宋_GB2312" w:hAnsi="仿宋_GB2312" w:eastAsia="仿宋_GB2312" w:cs="仿宋_GB2312"/>
          <w:color w:val="auto"/>
          <w:sz w:val="32"/>
          <w:szCs w:val="32"/>
          <w:highlight w:val="none"/>
          <w:lang w:val="en-US" w:eastAsia="zh-CN"/>
        </w:rPr>
        <w:t>招生人数增加，财政拨款生均公用经费增加</w:t>
      </w:r>
      <w:r>
        <w:rPr>
          <w:rFonts w:hint="eastAsia" w:ascii="仿宋_GB2312" w:hAnsi="仿宋_GB2312" w:eastAsia="仿宋_GB2312" w:cs="仿宋_GB2312"/>
          <w:color w:val="auto"/>
          <w:sz w:val="32"/>
          <w:szCs w:val="32"/>
          <w:highlight w:val="none"/>
          <w:lang w:val="zh-CN" w:eastAsia="zh-CN"/>
        </w:rPr>
        <w:t>。</w:t>
      </w:r>
    </w:p>
    <w:p>
      <w:pPr>
        <w:widowControl w:val="0"/>
        <w:wordWrap/>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799.20万元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其中：政府采购货物支出606.00万元、政府采购工程支出170.30万元、政府采购服务支出22.90万元。</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授予中小企业合同金额761.61万元，占政府采购支出总额的95.30%，其中：授予小微企业合同金额738.23万元，占政府采购支出总额的92.37%</w:t>
      </w:r>
      <w:r>
        <w:rPr>
          <w:rFonts w:hint="eastAsia" w:ascii="仿宋_GB2312" w:hAnsi="仿宋_GB2312" w:eastAsia="仿宋_GB2312" w:cs="仿宋_GB2312"/>
          <w:color w:val="auto"/>
          <w:sz w:val="32"/>
          <w:szCs w:val="32"/>
          <w:highlight w:val="none"/>
          <w:lang w:val="en-US" w:eastAsia="zh-CN"/>
        </w:rPr>
        <w:t>。</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hAnsi="仿宋_GB2312" w:eastAsia="仿宋_GB2312" w:cs="仿宋_GB2312"/>
          <w:color w:val="auto"/>
          <w:sz w:val="32"/>
          <w:szCs w:val="32"/>
          <w:highlight w:val="none"/>
          <w:lang w:val="en-US" w:eastAsia="zh-CN"/>
        </w:rPr>
        <w:t>我单位无其他用车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预算总额2340.47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实际执行总额1866.43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全年预算数2340.47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全年执行数1866.43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保证学生能够在日常生活中正常开支，也为困难学生提供基本生活保障，提高了学生的满意度；二是弥补了学校学生公寓的维修维护费、学校日常运转的支出、人员经费不足等相关费用，提高了学生、职工的满意度。发现的问题及原因：一是资助补助资金剩余金额较大</w:t>
      </w:r>
      <w:bookmarkStart w:id="48" w:name="_GoBack"/>
      <w:bookmarkEnd w:id="48"/>
      <w:r>
        <w:rPr>
          <w:rFonts w:hint="eastAsia" w:ascii="仿宋_GB2312" w:eastAsia="仿宋_GB2312"/>
          <w:color w:val="auto"/>
          <w:sz w:val="32"/>
          <w:szCs w:val="32"/>
          <w:highlight w:val="none"/>
          <w:lang w:eastAsia="zh-CN"/>
        </w:rPr>
        <w:t>，资助补助资金按会计年度拨付，但实际支出是按学年申报，存在跨年支付的现象，故剩余财政拨款结转资金为第二学期补助支出；二是因与新疆职业大学合并，2023年安排的预算资金在实际使用中存在差异，新疆职业大学统筹安排预算资金使用。下一步改进措施：一是协调学生工作部，加快学生助学金申报审核支付进度；二是与新疆职业大学合并后，2024年预算已合并，进一步加强单位预算管理，合理规划单位下一年度资金使用情况。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widowControl w:val="0"/>
        <w:wordWrap/>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widowControl w:val="0"/>
        <w:wordWrap/>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widowControl w:val="0"/>
        <w:wordWrap/>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widowControl w:val="0"/>
        <w:wordWrap/>
        <w:adjustRightInd/>
        <w:snapToGrid/>
        <w:spacing w:line="240" w:lineRule="auto"/>
        <w:ind w:firstLine="640" w:firstLineChars="200"/>
        <w:textAlignment w:val="auto"/>
        <w:rPr>
          <w:rFonts w:hint="eastAsia" w:ascii="仿宋_GB2312" w:eastAsia="仿宋_GB2312"/>
          <w:color w:val="auto"/>
          <w:sz w:val="32"/>
          <w:szCs w:val="32"/>
          <w:highlight w:val="none"/>
        </w:rPr>
      </w:pP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Times New Roman" w:hAnsi="Times New Roman" w:eastAsia="宋体" w:cs="Times New Roman"/>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565021">
    <w:nsid w:val="103F031D"/>
    <w:multiLevelType w:val="singleLevel"/>
    <w:tmpl w:val="103F031D"/>
    <w:lvl w:ilvl="0" w:tentative="1">
      <w:start w:val="2"/>
      <w:numFmt w:val="chineseCounting"/>
      <w:suff w:val="nothing"/>
      <w:lvlText w:val="（%1）"/>
      <w:lvlJc w:val="left"/>
      <w:rPr>
        <w:rFonts w:hint="eastAsia"/>
      </w:rPr>
    </w:lvl>
  </w:abstractNum>
  <w:num w:numId="1">
    <w:abstractNumId w:val="2725650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690779"/>
    <w:rsid w:val="417C1CE7"/>
    <w:rsid w:val="41900018"/>
    <w:rsid w:val="41944406"/>
    <w:rsid w:val="41CE128F"/>
    <w:rsid w:val="41DA6F12"/>
    <w:rsid w:val="42171FB1"/>
    <w:rsid w:val="428B1B56"/>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126430"/>
    <w:rsid w:val="6A2C39D4"/>
    <w:rsid w:val="6B68175F"/>
    <w:rsid w:val="6BFD799F"/>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Style w:val="11"/>
      <w:tblLayout w:type="fixed"/>
      <w:tblCellMar>
        <w:top w:w="0" w:type="dxa"/>
        <w:left w:w="108" w:type="dxa"/>
        <w:bottom w:w="0" w:type="dxa"/>
        <w:right w:w="108" w:type="dxa"/>
      </w:tblCellMar>
    </w:tblPr>
    <w:tcPr>
      <w:textDirection w:val="lrTb"/>
    </w:tc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lang w:val="en-US" w:eastAsia="zh-CN" w:bidi="ar-SA"/>
    </w:rPr>
  </w:style>
  <w:style w:type="paragraph" w:customStyle="1" w:styleId="13">
    <w:name w:val="WPSOffice手动目录 2"/>
    <w:qFormat/>
    <w:uiPriority w:val="0"/>
    <w:pPr>
      <w:ind w:leftChars="200"/>
    </w:pPr>
    <w:rPr>
      <w:rFonts w:ascii="Times New Roman" w:hAnsi="Times New Roman" w:eastAsia="宋体" w:cs="Times New Roman"/>
      <w:sz w:val="20"/>
      <w:szCs w:val="20"/>
      <w:lang w:val="en-US" w:eastAsia="zh-CN" w:bidi="ar-SA"/>
    </w:rPr>
  </w:style>
  <w:style w:type="paragraph" w:customStyle="1" w:styleId="14">
    <w:name w:val="WPSOffice手动目录 1"/>
    <w:qFormat/>
    <w:uiPriority w:val="0"/>
    <w:pPr>
      <w:ind w:leftChars="0"/>
    </w:pPr>
    <w:rPr>
      <w:rFonts w:ascii="Times New Roman" w:hAnsi="Times New Roman" w:eastAsia="宋体" w:cs="Times New Roman"/>
      <w:sz w:val="20"/>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2024-08-30T10:56:26Z</dcterms:modified>
  <dc:title>新疆水利水电学校（新疆水利水电技工学校，河海大学乌鲁木齐教学中心）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y fmtid="{D5CDD505-2E9C-101B-9397-08002B2CF9AE}" pid="3" name="ICV">
    <vt:lpwstr>D624B15633CD43C8BF9435464A96BF70</vt:lpwstr>
  </property>
</Properties>
</file>